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7DEA9" w14:textId="77777777" w:rsidR="00131C9E" w:rsidRDefault="00131C9E" w:rsidP="001E310A">
      <w:r>
        <w:rPr>
          <w:noProof/>
          <w:lang w:val="fr-CA"/>
        </w:rPr>
        <w:drawing>
          <wp:anchor distT="0" distB="0" distL="114300" distR="114300" simplePos="0" relativeHeight="251659264" behindDoc="0" locked="1" layoutInCell="1" allowOverlap="1" wp14:anchorId="7DDC40C4" wp14:editId="3402F5CB">
            <wp:simplePos x="0" y="0"/>
            <wp:positionH relativeFrom="margin">
              <wp:posOffset>-670560</wp:posOffset>
            </wp:positionH>
            <wp:positionV relativeFrom="margin">
              <wp:posOffset>-282575</wp:posOffset>
            </wp:positionV>
            <wp:extent cx="2286000" cy="93218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57C0" w:rsidRPr="001E310A">
        <w:br w:type="column"/>
      </w:r>
    </w:p>
    <w:p w14:paraId="6A898914" w14:textId="1052D7A7" w:rsidR="001E310A" w:rsidRPr="001E310A" w:rsidRDefault="001E310A" w:rsidP="001E310A">
      <w:pPr>
        <w:rPr>
          <w:b/>
          <w:lang w:val="en-GB"/>
        </w:rPr>
      </w:pPr>
      <w:r w:rsidRPr="001E310A">
        <w:rPr>
          <w:b/>
          <w:lang w:val="en-GB"/>
        </w:rPr>
        <w:t>Ministry of the Environment, Conservation and Parks</w:t>
      </w:r>
    </w:p>
    <w:p w14:paraId="0F00C00B" w14:textId="77777777" w:rsidR="00131C9E" w:rsidRDefault="00FB57C0" w:rsidP="001E310A">
      <w:pPr>
        <w:rPr>
          <w:lang w:val="fr-CA"/>
        </w:rPr>
      </w:pPr>
      <w:r w:rsidRPr="00467154">
        <w:rPr>
          <w:lang w:val="fr-CA"/>
        </w:rPr>
        <w:br w:type="column"/>
      </w:r>
    </w:p>
    <w:p w14:paraId="28E9DD9C" w14:textId="7595CDB0" w:rsidR="001E310A" w:rsidRPr="001E310A" w:rsidRDefault="001E310A" w:rsidP="001E310A">
      <w:pPr>
        <w:rPr>
          <w:b/>
          <w:lang w:val="fr-CA"/>
        </w:rPr>
      </w:pPr>
      <w:r w:rsidRPr="001E310A">
        <w:rPr>
          <w:b/>
          <w:lang w:val="fr-CA"/>
        </w:rPr>
        <w:t>Ministère de l'Environnement, de la Protection de la nature et des Parcs</w:t>
      </w:r>
    </w:p>
    <w:p w14:paraId="55A40B73" w14:textId="34E3F990" w:rsidR="00FB57C0" w:rsidRDefault="00FB57C0" w:rsidP="00FB57C0">
      <w:pPr>
        <w:rPr>
          <w:lang w:val="fr-CA"/>
        </w:rPr>
        <w:sectPr w:rsidR="00FB57C0" w:rsidSect="00D077FE">
          <w:footerReference w:type="default" r:id="rId12"/>
          <w:pgSz w:w="12240" w:h="15840"/>
          <w:pgMar w:top="360" w:right="1440" w:bottom="1440" w:left="1440" w:header="360" w:footer="432" w:gutter="0"/>
          <w:cols w:num="3" w:space="288"/>
          <w:docGrid w:linePitch="360"/>
        </w:sectPr>
      </w:pPr>
    </w:p>
    <w:p w14:paraId="55A40B74" w14:textId="77777777" w:rsidR="00AF5828" w:rsidRPr="00716B21" w:rsidRDefault="00AF5828" w:rsidP="00AF5828">
      <w:pPr>
        <w:widowControl w:val="0"/>
        <w:autoSpaceDE w:val="0"/>
        <w:autoSpaceDN w:val="0"/>
        <w:adjustRightInd w:val="0"/>
        <w:spacing w:after="0"/>
        <w:jc w:val="center"/>
        <w:rPr>
          <w:b/>
          <w:bCs/>
          <w:color w:val="336600"/>
          <w:sz w:val="44"/>
          <w:szCs w:val="44"/>
          <w:lang w:val="fr-CA"/>
        </w:rPr>
      </w:pPr>
    </w:p>
    <w:p w14:paraId="55A40B75" w14:textId="77777777" w:rsidR="00AF5828" w:rsidRPr="003B50D1" w:rsidRDefault="00AF5828" w:rsidP="00AF5828">
      <w:pPr>
        <w:widowControl w:val="0"/>
        <w:autoSpaceDE w:val="0"/>
        <w:autoSpaceDN w:val="0"/>
        <w:adjustRightInd w:val="0"/>
        <w:spacing w:after="0"/>
        <w:jc w:val="center"/>
        <w:rPr>
          <w:b/>
          <w:bCs/>
          <w:color w:val="336600"/>
          <w:sz w:val="44"/>
          <w:szCs w:val="44"/>
        </w:rPr>
      </w:pPr>
      <w:r w:rsidRPr="003B50D1">
        <w:rPr>
          <w:b/>
          <w:bCs/>
          <w:color w:val="336600"/>
          <w:sz w:val="44"/>
          <w:szCs w:val="44"/>
        </w:rPr>
        <w:t>Certificate of Property Use</w:t>
      </w:r>
    </w:p>
    <w:p w14:paraId="55A40B76" w14:textId="72B73BA3" w:rsidR="00AF5828" w:rsidRPr="003B50D1" w:rsidRDefault="00131C9E" w:rsidP="009438F1">
      <w:pPr>
        <w:widowControl w:val="0"/>
        <w:autoSpaceDE w:val="0"/>
        <w:autoSpaceDN w:val="0"/>
        <w:adjustRightInd w:val="0"/>
        <w:spacing w:after="0"/>
        <w:jc w:val="center"/>
        <w:rPr>
          <w:rFonts w:cs="Arial"/>
          <w:b/>
          <w:bCs/>
          <w:color w:val="000000"/>
          <w:szCs w:val="20"/>
        </w:rPr>
      </w:pPr>
      <w:r w:rsidRPr="00131C9E">
        <w:rPr>
          <w:b/>
          <w:bCs/>
          <w:color w:val="336600"/>
          <w:szCs w:val="20"/>
          <w:lang w:val="en-US"/>
        </w:rPr>
        <w:t>Issued under the authority of the Environmental Protection Act, R.S.O. 1990, c. E.19, sections 168.6 (CPU) and 197 (Order</w:t>
      </w:r>
      <w:r>
        <w:rPr>
          <w:b/>
          <w:bCs/>
          <w:color w:val="336600"/>
          <w:szCs w:val="20"/>
          <w:lang w:val="en-US"/>
        </w:rPr>
        <w:t>)</w:t>
      </w:r>
      <w:r w:rsidR="009438F1">
        <w:rPr>
          <w:b/>
          <w:bCs/>
          <w:color w:val="336600"/>
          <w:szCs w:val="20"/>
        </w:rPr>
        <w:br/>
      </w:r>
    </w:p>
    <w:p w14:paraId="55A40B77" w14:textId="4437CCA6" w:rsidR="00AF5828" w:rsidRPr="002E71B4" w:rsidRDefault="00AF5828" w:rsidP="00AF5828">
      <w:pPr>
        <w:widowControl w:val="0"/>
        <w:autoSpaceDE w:val="0"/>
        <w:autoSpaceDN w:val="0"/>
        <w:adjustRightInd w:val="0"/>
        <w:spacing w:after="0"/>
        <w:jc w:val="right"/>
        <w:rPr>
          <w:b/>
          <w:bCs/>
          <w:color w:val="0000FF"/>
          <w:sz w:val="18"/>
          <w:szCs w:val="18"/>
        </w:rPr>
      </w:pPr>
      <w:r w:rsidRPr="003B50D1">
        <w:rPr>
          <w:rFonts w:cs="Arial"/>
          <w:b/>
          <w:bCs/>
          <w:color w:val="000000"/>
          <w:szCs w:val="20"/>
        </w:rPr>
        <w:t xml:space="preserve"> </w:t>
      </w:r>
      <w:r w:rsidRPr="003B50D1">
        <w:rPr>
          <w:b/>
          <w:bCs/>
          <w:color w:val="0000FF"/>
          <w:sz w:val="18"/>
          <w:szCs w:val="18"/>
        </w:rPr>
        <w:t xml:space="preserve">Certificate of Property use number </w:t>
      </w:r>
      <w:r w:rsidR="00A41553" w:rsidRPr="00A41553">
        <w:rPr>
          <w:b/>
          <w:bCs/>
          <w:color w:val="0000FF"/>
          <w:sz w:val="18"/>
          <w:szCs w:val="18"/>
          <w:lang w:val="en-US"/>
        </w:rPr>
        <w:t>3687-C4GFSG</w:t>
      </w:r>
      <w:r w:rsidR="00277D36">
        <w:rPr>
          <w:b/>
          <w:bCs/>
          <w:color w:val="0000FF"/>
          <w:sz w:val="18"/>
          <w:szCs w:val="18"/>
        </w:rPr>
        <w:br/>
      </w:r>
      <w:r w:rsidRPr="002E71B4">
        <w:rPr>
          <w:b/>
          <w:bCs/>
          <w:color w:val="0000FF"/>
          <w:sz w:val="18"/>
          <w:szCs w:val="18"/>
        </w:rPr>
        <w:t xml:space="preserve">Risk Assessment number </w:t>
      </w:r>
      <w:r w:rsidR="00722806" w:rsidRPr="00722806">
        <w:rPr>
          <w:b/>
          <w:bCs/>
          <w:color w:val="0000FF"/>
          <w:sz w:val="18"/>
          <w:szCs w:val="18"/>
          <w:lang w:val="en-US"/>
        </w:rPr>
        <w:t>6732-BC6HSZ</w:t>
      </w:r>
    </w:p>
    <w:p w14:paraId="55A40B78" w14:textId="77777777" w:rsidR="00AF5828" w:rsidRPr="002E71B4" w:rsidRDefault="00AF5828" w:rsidP="00AF5828">
      <w:pPr>
        <w:widowControl w:val="0"/>
        <w:autoSpaceDE w:val="0"/>
        <w:autoSpaceDN w:val="0"/>
        <w:adjustRightInd w:val="0"/>
        <w:rPr>
          <w:rFonts w:cs="Arial"/>
          <w:b/>
          <w:bCs/>
          <w:color w:val="000000"/>
          <w:szCs w:val="20"/>
        </w:rPr>
      </w:pPr>
    </w:p>
    <w:p w14:paraId="17C71A4D" w14:textId="2BD45AF5" w:rsidR="00CD3945" w:rsidRDefault="00AF5828" w:rsidP="00CD3945">
      <w:pPr>
        <w:widowControl w:val="0"/>
        <w:autoSpaceDE w:val="0"/>
        <w:autoSpaceDN w:val="0"/>
        <w:adjustRightInd w:val="0"/>
        <w:spacing w:after="0"/>
        <w:ind w:left="1418" w:hanging="1418"/>
        <w:rPr>
          <w:rFonts w:ascii="Times New Roman" w:hAnsi="Times New Roman" w:cs="Times New Roman"/>
          <w:color w:val="000000"/>
          <w:sz w:val="24"/>
          <w:szCs w:val="24"/>
          <w:lang w:val="en-US"/>
        </w:rPr>
      </w:pPr>
      <w:r>
        <w:rPr>
          <w:b/>
          <w:bCs/>
          <w:szCs w:val="20"/>
        </w:rPr>
        <w:t>Owner:</w:t>
      </w:r>
      <w:r w:rsidR="00575D01">
        <w:rPr>
          <w:b/>
          <w:bCs/>
          <w:szCs w:val="20"/>
        </w:rPr>
        <w:tab/>
      </w:r>
      <w:r w:rsidR="00722806" w:rsidRPr="00722806">
        <w:rPr>
          <w:rFonts w:ascii="Times New Roman" w:hAnsi="Times New Roman" w:cs="Times New Roman"/>
          <w:color w:val="000000"/>
          <w:sz w:val="24"/>
          <w:szCs w:val="24"/>
          <w:lang w:val="en-US"/>
        </w:rPr>
        <w:t xml:space="preserve">2720 Dundas Junction GP Inc., as general partner </w:t>
      </w:r>
      <w:r w:rsidR="00991CAD">
        <w:rPr>
          <w:rFonts w:ascii="Times New Roman" w:hAnsi="Times New Roman" w:cs="Times New Roman"/>
          <w:color w:val="000000"/>
          <w:sz w:val="24"/>
          <w:szCs w:val="24"/>
          <w:lang w:val="en-US"/>
        </w:rPr>
        <w:t>of</w:t>
      </w:r>
      <w:r w:rsidR="00722806" w:rsidRPr="00722806">
        <w:rPr>
          <w:rFonts w:ascii="Times New Roman" w:hAnsi="Times New Roman" w:cs="Times New Roman"/>
          <w:color w:val="000000"/>
          <w:sz w:val="24"/>
          <w:szCs w:val="24"/>
          <w:lang w:val="en-US"/>
        </w:rPr>
        <w:t xml:space="preserve"> </w:t>
      </w:r>
      <w:r w:rsidR="00722806" w:rsidRPr="00722806">
        <w:rPr>
          <w:rFonts w:ascii="Times New Roman" w:hAnsi="Times New Roman" w:cs="Times New Roman"/>
          <w:color w:val="000000"/>
          <w:sz w:val="24"/>
          <w:szCs w:val="24"/>
          <w:lang w:val="en-US"/>
        </w:rPr>
        <w:br/>
        <w:t>and on behalf of 2720 Dundas Junction L.P.</w:t>
      </w:r>
      <w:r w:rsidR="00722806" w:rsidRPr="00722806">
        <w:rPr>
          <w:rFonts w:ascii="Times New Roman" w:hAnsi="Times New Roman" w:cs="Times New Roman"/>
          <w:color w:val="000000"/>
          <w:sz w:val="24"/>
          <w:szCs w:val="24"/>
          <w:lang w:val="en-US"/>
        </w:rPr>
        <w:br/>
        <w:t>Unit 200 - 121 King Street West</w:t>
      </w:r>
      <w:r w:rsidR="00722806" w:rsidRPr="00722806">
        <w:rPr>
          <w:rFonts w:ascii="Times New Roman" w:hAnsi="Times New Roman" w:cs="Times New Roman"/>
          <w:color w:val="000000"/>
          <w:sz w:val="24"/>
          <w:szCs w:val="24"/>
          <w:lang w:val="en-US"/>
        </w:rPr>
        <w:br/>
        <w:t xml:space="preserve">Toronto, </w:t>
      </w:r>
      <w:r w:rsidR="00722806">
        <w:rPr>
          <w:rFonts w:ascii="Times New Roman" w:hAnsi="Times New Roman" w:cs="Times New Roman"/>
          <w:color w:val="000000"/>
          <w:sz w:val="24"/>
          <w:szCs w:val="24"/>
          <w:lang w:val="en-US"/>
        </w:rPr>
        <w:t xml:space="preserve">ON </w:t>
      </w:r>
      <w:r w:rsidR="00722806" w:rsidRPr="00722806">
        <w:rPr>
          <w:rFonts w:ascii="Times New Roman" w:hAnsi="Times New Roman" w:cs="Times New Roman"/>
          <w:color w:val="000000"/>
          <w:sz w:val="24"/>
          <w:szCs w:val="24"/>
          <w:lang w:val="en-US"/>
        </w:rPr>
        <w:t>M5H 3T9</w:t>
      </w:r>
    </w:p>
    <w:p w14:paraId="4D1B04DE" w14:textId="77777777" w:rsidR="00722806" w:rsidRPr="009E40C8" w:rsidRDefault="00722806" w:rsidP="00CD3945">
      <w:pPr>
        <w:widowControl w:val="0"/>
        <w:autoSpaceDE w:val="0"/>
        <w:autoSpaceDN w:val="0"/>
        <w:adjustRightInd w:val="0"/>
        <w:spacing w:after="0"/>
        <w:ind w:left="1418" w:hanging="1418"/>
        <w:rPr>
          <w:szCs w:val="20"/>
        </w:rPr>
      </w:pPr>
    </w:p>
    <w:p w14:paraId="697E7AE7" w14:textId="206DCA33" w:rsidR="00517A87" w:rsidRPr="007A6F58" w:rsidRDefault="00AF5828" w:rsidP="00EE03A6">
      <w:pPr>
        <w:widowControl w:val="0"/>
        <w:autoSpaceDE w:val="0"/>
        <w:autoSpaceDN w:val="0"/>
        <w:adjustRightInd w:val="0"/>
        <w:spacing w:after="0"/>
        <w:rPr>
          <w:bCs/>
          <w:szCs w:val="20"/>
        </w:rPr>
      </w:pPr>
      <w:r>
        <w:rPr>
          <w:b/>
          <w:bCs/>
          <w:szCs w:val="20"/>
        </w:rPr>
        <w:t>Site:</w:t>
      </w:r>
      <w:r>
        <w:rPr>
          <w:b/>
          <w:bCs/>
          <w:szCs w:val="20"/>
        </w:rPr>
        <w:tab/>
      </w:r>
      <w:r>
        <w:rPr>
          <w:b/>
          <w:bCs/>
          <w:szCs w:val="20"/>
        </w:rPr>
        <w:tab/>
      </w:r>
      <w:r w:rsidR="00722806" w:rsidRPr="00722806">
        <w:rPr>
          <w:bCs/>
          <w:szCs w:val="20"/>
          <w:lang w:val="en-US"/>
        </w:rPr>
        <w:t>2706, 2708, 2710, 2720 and 2730 Dundas</w:t>
      </w:r>
      <w:r w:rsidR="00722806">
        <w:rPr>
          <w:bCs/>
          <w:szCs w:val="20"/>
          <w:lang w:val="en-US"/>
        </w:rPr>
        <w:t xml:space="preserve"> Street West, Toronto, ON</w:t>
      </w:r>
    </w:p>
    <w:p w14:paraId="55A40B80" w14:textId="77777777" w:rsidR="00EE03A6" w:rsidRPr="007A6F58" w:rsidRDefault="00EE03A6" w:rsidP="00EE03A6">
      <w:pPr>
        <w:widowControl w:val="0"/>
        <w:autoSpaceDE w:val="0"/>
        <w:autoSpaceDN w:val="0"/>
        <w:adjustRightInd w:val="0"/>
        <w:spacing w:after="0"/>
        <w:rPr>
          <w:bCs/>
          <w:szCs w:val="20"/>
        </w:rPr>
      </w:pPr>
    </w:p>
    <w:p w14:paraId="55A40B81" w14:textId="68CBFA64" w:rsidR="00EE03A6" w:rsidRDefault="00EE03A6" w:rsidP="00EE03A6">
      <w:pPr>
        <w:widowControl w:val="0"/>
        <w:autoSpaceDE w:val="0"/>
        <w:autoSpaceDN w:val="0"/>
        <w:adjustRightInd w:val="0"/>
        <w:spacing w:after="0"/>
        <w:ind w:left="720" w:firstLine="720"/>
        <w:rPr>
          <w:bCs/>
          <w:szCs w:val="20"/>
        </w:rPr>
      </w:pPr>
      <w:r w:rsidRPr="007A6F58">
        <w:rPr>
          <w:bCs/>
          <w:szCs w:val="20"/>
        </w:rPr>
        <w:t>with a legal description</w:t>
      </w:r>
      <w:r w:rsidR="00A468A3">
        <w:rPr>
          <w:bCs/>
          <w:szCs w:val="20"/>
        </w:rPr>
        <w:t xml:space="preserve"> as set out below: </w:t>
      </w:r>
    </w:p>
    <w:p w14:paraId="7451BCD8" w14:textId="7EC6A798" w:rsidR="00A468A3" w:rsidRDefault="00A468A3" w:rsidP="00EE03A6">
      <w:pPr>
        <w:widowControl w:val="0"/>
        <w:autoSpaceDE w:val="0"/>
        <w:autoSpaceDN w:val="0"/>
        <w:adjustRightInd w:val="0"/>
        <w:spacing w:after="0"/>
        <w:ind w:left="720" w:firstLine="720"/>
        <w:rPr>
          <w:bCs/>
          <w:szCs w:val="20"/>
        </w:rPr>
      </w:pPr>
    </w:p>
    <w:p w14:paraId="26187F9C" w14:textId="0FAEA85D" w:rsidR="00A468A3" w:rsidRDefault="00A468A3" w:rsidP="00991CAD">
      <w:pPr>
        <w:widowControl w:val="0"/>
        <w:autoSpaceDE w:val="0"/>
        <w:autoSpaceDN w:val="0"/>
        <w:adjustRightInd w:val="0"/>
        <w:spacing w:after="0"/>
        <w:ind w:left="1418" w:firstLine="11"/>
        <w:rPr>
          <w:bCs/>
          <w:szCs w:val="20"/>
        </w:rPr>
      </w:pPr>
      <w:r>
        <w:rPr>
          <w:bCs/>
          <w:szCs w:val="20"/>
        </w:rPr>
        <w:t xml:space="preserve">Lots 41, 42, </w:t>
      </w:r>
      <w:r w:rsidR="00991CAD">
        <w:rPr>
          <w:bCs/>
          <w:szCs w:val="20"/>
        </w:rPr>
        <w:t>43 and Part of Lots 40 and 44, Plan 899</w:t>
      </w:r>
      <w:r w:rsidR="00BD7649">
        <w:rPr>
          <w:bCs/>
          <w:szCs w:val="20"/>
        </w:rPr>
        <w:t>,</w:t>
      </w:r>
      <w:r w:rsidR="00991CAD">
        <w:rPr>
          <w:bCs/>
          <w:szCs w:val="20"/>
        </w:rPr>
        <w:t xml:space="preserve"> West Toronto Junction, designated as Parts 1 to 5 on Plan 66R-30785, City of Toronto.</w:t>
      </w:r>
    </w:p>
    <w:p w14:paraId="1E50A6F0" w14:textId="17210780" w:rsidR="00991CAD" w:rsidRDefault="00991CAD" w:rsidP="00991CAD">
      <w:pPr>
        <w:widowControl w:val="0"/>
        <w:autoSpaceDE w:val="0"/>
        <w:autoSpaceDN w:val="0"/>
        <w:adjustRightInd w:val="0"/>
        <w:spacing w:after="0"/>
        <w:ind w:left="1418" w:firstLine="11"/>
        <w:rPr>
          <w:bCs/>
          <w:szCs w:val="20"/>
        </w:rPr>
      </w:pPr>
    </w:p>
    <w:p w14:paraId="692989D2" w14:textId="5166FE90" w:rsidR="00991CAD" w:rsidRPr="007A6F58" w:rsidRDefault="00991CAD" w:rsidP="00991CAD">
      <w:pPr>
        <w:widowControl w:val="0"/>
        <w:autoSpaceDE w:val="0"/>
        <w:autoSpaceDN w:val="0"/>
        <w:adjustRightInd w:val="0"/>
        <w:spacing w:after="0"/>
        <w:ind w:left="1418" w:firstLine="11"/>
        <w:rPr>
          <w:bCs/>
          <w:szCs w:val="20"/>
        </w:rPr>
      </w:pPr>
      <w:r>
        <w:rPr>
          <w:bCs/>
          <w:szCs w:val="20"/>
        </w:rPr>
        <w:t>Being all of PIN 21356-0216 (LT)</w:t>
      </w:r>
    </w:p>
    <w:p w14:paraId="66F8C5F6" w14:textId="77777777" w:rsidR="007A6F58" w:rsidRDefault="007A6F58" w:rsidP="00EE03A6">
      <w:pPr>
        <w:widowControl w:val="0"/>
        <w:autoSpaceDE w:val="0"/>
        <w:autoSpaceDN w:val="0"/>
        <w:adjustRightInd w:val="0"/>
        <w:spacing w:after="0"/>
        <w:ind w:left="720" w:firstLine="720"/>
        <w:rPr>
          <w:b/>
          <w:bCs/>
          <w:szCs w:val="20"/>
        </w:rPr>
      </w:pPr>
    </w:p>
    <w:p w14:paraId="0955DE42" w14:textId="5D064D66" w:rsidR="00A05E66" w:rsidRDefault="00A05E66" w:rsidP="007A6F58">
      <w:pPr>
        <w:widowControl w:val="0"/>
        <w:autoSpaceDE w:val="0"/>
        <w:autoSpaceDN w:val="0"/>
        <w:adjustRightInd w:val="0"/>
        <w:spacing w:after="0"/>
        <w:ind w:left="1418" w:firstLine="22"/>
        <w:rPr>
          <w:bCs/>
          <w:szCs w:val="20"/>
        </w:rPr>
      </w:pPr>
    </w:p>
    <w:p w14:paraId="55A40B88" w14:textId="77777777" w:rsidR="00AF5828" w:rsidRPr="00D714D9" w:rsidRDefault="00AF5828" w:rsidP="00AF5828">
      <w:pPr>
        <w:widowControl w:val="0"/>
        <w:autoSpaceDE w:val="0"/>
        <w:autoSpaceDN w:val="0"/>
        <w:adjustRightInd w:val="0"/>
        <w:spacing w:after="0"/>
        <w:ind w:left="900"/>
        <w:rPr>
          <w:b/>
          <w:bCs/>
          <w:szCs w:val="20"/>
        </w:rPr>
      </w:pPr>
      <w:r w:rsidRPr="00D714D9">
        <w:rPr>
          <w:b/>
          <w:bCs/>
          <w:szCs w:val="20"/>
        </w:rPr>
        <w:t>The conditions of this Certificate of Property Use (CPU) address the Risk Management Measures in the Risk Assessment noted above and described in detail in Part 1 below (Risk Assessment).  In the event of a conflict between the CPU and the Risk Assessment, the conditions of the CPU take precedence.</w:t>
      </w:r>
    </w:p>
    <w:p w14:paraId="55A40B89" w14:textId="77777777" w:rsidR="00AF5828" w:rsidRPr="00D714D9" w:rsidRDefault="00AF5828" w:rsidP="00AF5828">
      <w:pPr>
        <w:widowControl w:val="0"/>
        <w:autoSpaceDE w:val="0"/>
        <w:autoSpaceDN w:val="0"/>
        <w:adjustRightInd w:val="0"/>
        <w:spacing w:after="0"/>
        <w:rPr>
          <w:b/>
          <w:bCs/>
          <w:szCs w:val="20"/>
        </w:rPr>
      </w:pPr>
    </w:p>
    <w:p w14:paraId="55A40B8A" w14:textId="77777777" w:rsidR="00AF5828" w:rsidRPr="00BB129B" w:rsidRDefault="00AF5828" w:rsidP="00BB129B">
      <w:pPr>
        <w:rPr>
          <w:b/>
          <w:i/>
        </w:rPr>
      </w:pPr>
      <w:r w:rsidRPr="00BB129B">
        <w:rPr>
          <w:b/>
          <w:i/>
        </w:rPr>
        <w:t>Summary:</w:t>
      </w:r>
    </w:p>
    <w:p w14:paraId="55A40B8B" w14:textId="77777777" w:rsidR="00AF5828" w:rsidRPr="00D714D9" w:rsidRDefault="00AF5828" w:rsidP="00AF5828">
      <w:pPr>
        <w:autoSpaceDE w:val="0"/>
        <w:autoSpaceDN w:val="0"/>
        <w:adjustRightInd w:val="0"/>
        <w:spacing w:after="0"/>
        <w:ind w:left="900"/>
        <w:rPr>
          <w:b/>
          <w:bCs/>
          <w:i/>
          <w:szCs w:val="20"/>
        </w:rPr>
      </w:pPr>
      <w:r w:rsidRPr="00D714D9">
        <w:rPr>
          <w:b/>
          <w:bCs/>
          <w:i/>
          <w:szCs w:val="20"/>
        </w:rPr>
        <w:t>Refer to Part 1 of the CPU, Interpretation, for the meaning of all the defined capitalized terms that apply to the CPU.</w:t>
      </w:r>
    </w:p>
    <w:p w14:paraId="55A40B8C" w14:textId="77777777" w:rsidR="00AF5828" w:rsidRPr="00D714D9" w:rsidRDefault="00AF5828" w:rsidP="00AF5828">
      <w:pPr>
        <w:autoSpaceDE w:val="0"/>
        <w:autoSpaceDN w:val="0"/>
        <w:adjustRightInd w:val="0"/>
        <w:rPr>
          <w:b/>
          <w:bCs/>
          <w:szCs w:val="20"/>
        </w:rPr>
      </w:pPr>
    </w:p>
    <w:p w14:paraId="55A40B8D" w14:textId="77777777" w:rsidR="00AF5828" w:rsidRPr="00D714D9" w:rsidRDefault="00AF5828" w:rsidP="00AF5828">
      <w:pPr>
        <w:widowControl w:val="0"/>
        <w:autoSpaceDE w:val="0"/>
        <w:autoSpaceDN w:val="0"/>
        <w:adjustRightInd w:val="0"/>
        <w:spacing w:after="0"/>
        <w:ind w:left="720" w:hanging="720"/>
        <w:rPr>
          <w:szCs w:val="20"/>
        </w:rPr>
      </w:pPr>
      <w:r w:rsidRPr="00D714D9">
        <w:rPr>
          <w:szCs w:val="20"/>
        </w:rPr>
        <w:t xml:space="preserve">i) </w:t>
      </w:r>
      <w:r>
        <w:rPr>
          <w:szCs w:val="20"/>
        </w:rPr>
        <w:tab/>
      </w:r>
      <w:r w:rsidRPr="00D714D9">
        <w:rPr>
          <w:szCs w:val="20"/>
        </w:rPr>
        <w:t>CPU requirements addressed in Part 4 of the CPU, Director Requirements, are summarized as follows:</w:t>
      </w:r>
    </w:p>
    <w:p w14:paraId="55A40B8E" w14:textId="64879EC3" w:rsidR="00AF5828" w:rsidRPr="00575A61" w:rsidRDefault="00AF5828" w:rsidP="00C91A86">
      <w:pPr>
        <w:pStyle w:val="ListParagraph"/>
        <w:numPr>
          <w:ilvl w:val="1"/>
          <w:numId w:val="13"/>
        </w:numPr>
        <w:tabs>
          <w:tab w:val="right" w:pos="8640"/>
        </w:tabs>
        <w:spacing w:after="0"/>
        <w:ind w:left="1080"/>
        <w:rPr>
          <w:szCs w:val="20"/>
        </w:rPr>
      </w:pPr>
      <w:r w:rsidRPr="00575A61">
        <w:rPr>
          <w:szCs w:val="20"/>
        </w:rPr>
        <w:t xml:space="preserve">Installing/maintaining any equipment </w:t>
      </w:r>
      <w:r w:rsidR="00277D36">
        <w:rPr>
          <w:szCs w:val="20"/>
        </w:rPr>
        <w:tab/>
      </w:r>
      <w:r w:rsidR="00131C9E">
        <w:rPr>
          <w:szCs w:val="20"/>
        </w:rPr>
        <w:t>Yes</w:t>
      </w:r>
    </w:p>
    <w:p w14:paraId="55A40B8F" w14:textId="6FCCB25B" w:rsidR="00AF5828" w:rsidRPr="00575A61" w:rsidRDefault="00AF5828" w:rsidP="00C91A86">
      <w:pPr>
        <w:pStyle w:val="ListParagraph"/>
        <w:numPr>
          <w:ilvl w:val="1"/>
          <w:numId w:val="13"/>
        </w:numPr>
        <w:tabs>
          <w:tab w:val="right" w:pos="8640"/>
        </w:tabs>
        <w:spacing w:after="0"/>
        <w:ind w:left="1080"/>
        <w:rPr>
          <w:szCs w:val="20"/>
        </w:rPr>
      </w:pPr>
      <w:r w:rsidRPr="00575A61">
        <w:rPr>
          <w:szCs w:val="20"/>
        </w:rPr>
        <w:t xml:space="preserve">Monitoring any contaminant </w:t>
      </w:r>
      <w:r w:rsidRPr="00575A61">
        <w:rPr>
          <w:szCs w:val="20"/>
        </w:rPr>
        <w:tab/>
      </w:r>
      <w:r w:rsidR="00131C9E">
        <w:rPr>
          <w:szCs w:val="20"/>
        </w:rPr>
        <w:t>Yes</w:t>
      </w:r>
    </w:p>
    <w:p w14:paraId="55A40B90" w14:textId="77777777" w:rsidR="00AF5828" w:rsidRPr="00575A61" w:rsidRDefault="00AF5828" w:rsidP="00C91A86">
      <w:pPr>
        <w:pStyle w:val="ListParagraph"/>
        <w:numPr>
          <w:ilvl w:val="1"/>
          <w:numId w:val="13"/>
        </w:numPr>
        <w:tabs>
          <w:tab w:val="right" w:pos="8640"/>
        </w:tabs>
        <w:spacing w:after="0"/>
        <w:ind w:left="1080"/>
        <w:rPr>
          <w:szCs w:val="20"/>
        </w:rPr>
      </w:pPr>
      <w:r w:rsidRPr="00575A61">
        <w:rPr>
          <w:szCs w:val="20"/>
        </w:rPr>
        <w:t>Refraining from constructing any building specified</w:t>
      </w:r>
      <w:r w:rsidRPr="00575A61">
        <w:rPr>
          <w:szCs w:val="20"/>
        </w:rPr>
        <w:tab/>
        <w:t>Yes</w:t>
      </w:r>
    </w:p>
    <w:p w14:paraId="55A40B91" w14:textId="0B860B18" w:rsidR="00AF5828" w:rsidRPr="00575A61" w:rsidRDefault="00AF5828" w:rsidP="00C91A86">
      <w:pPr>
        <w:pStyle w:val="ListParagraph"/>
        <w:numPr>
          <w:ilvl w:val="1"/>
          <w:numId w:val="13"/>
        </w:numPr>
        <w:tabs>
          <w:tab w:val="right" w:pos="8640"/>
        </w:tabs>
        <w:spacing w:after="0"/>
        <w:ind w:left="1080"/>
        <w:rPr>
          <w:szCs w:val="20"/>
        </w:rPr>
      </w:pPr>
      <w:r w:rsidRPr="00575A61">
        <w:rPr>
          <w:szCs w:val="20"/>
        </w:rPr>
        <w:t>Refraining from using the Property for any use specified</w:t>
      </w:r>
      <w:r w:rsidRPr="00575A61">
        <w:rPr>
          <w:szCs w:val="20"/>
        </w:rPr>
        <w:tab/>
      </w:r>
      <w:r w:rsidR="00131C9E">
        <w:rPr>
          <w:szCs w:val="20"/>
        </w:rPr>
        <w:t>No</w:t>
      </w:r>
    </w:p>
    <w:p w14:paraId="55A40B92" w14:textId="56268D81" w:rsidR="00AF5828" w:rsidRPr="00575A61" w:rsidRDefault="00AF5828" w:rsidP="00C91A86">
      <w:pPr>
        <w:pStyle w:val="ListParagraph"/>
        <w:numPr>
          <w:ilvl w:val="1"/>
          <w:numId w:val="13"/>
        </w:numPr>
        <w:tabs>
          <w:tab w:val="right" w:pos="8640"/>
        </w:tabs>
        <w:spacing w:after="0"/>
        <w:ind w:left="1080"/>
        <w:rPr>
          <w:szCs w:val="20"/>
        </w:rPr>
      </w:pPr>
      <w:r w:rsidRPr="00575A61">
        <w:rPr>
          <w:szCs w:val="20"/>
        </w:rPr>
        <w:lastRenderedPageBreak/>
        <w:t xml:space="preserve">Other: Maintaining a barrier to site </w:t>
      </w:r>
      <w:r w:rsidR="00ED4FA5" w:rsidRPr="00575A61">
        <w:rPr>
          <w:szCs w:val="20"/>
        </w:rPr>
        <w:t>soils and</w:t>
      </w:r>
      <w:r w:rsidRPr="00575A61">
        <w:rPr>
          <w:szCs w:val="20"/>
        </w:rPr>
        <w:t xml:space="preserve"> preparing and implementing a soil</w:t>
      </w:r>
      <w:r w:rsidR="00330CAC">
        <w:rPr>
          <w:szCs w:val="20"/>
        </w:rPr>
        <w:t xml:space="preserve"> and groundwater</w:t>
      </w:r>
      <w:r w:rsidRPr="00575A61">
        <w:rPr>
          <w:szCs w:val="20"/>
        </w:rPr>
        <w:t xml:space="preserve"> management plan and health and safety plan for the Property.</w:t>
      </w:r>
      <w:r w:rsidRPr="00575A61">
        <w:rPr>
          <w:szCs w:val="20"/>
        </w:rPr>
        <w:tab/>
        <w:t>Yes</w:t>
      </w:r>
      <w:r w:rsidR="00313B0E">
        <w:rPr>
          <w:szCs w:val="20"/>
        </w:rPr>
        <w:br/>
      </w:r>
    </w:p>
    <w:p w14:paraId="55A40B94" w14:textId="09E8AA99" w:rsidR="00AF5828" w:rsidRDefault="00AF5828" w:rsidP="000F20B3">
      <w:pPr>
        <w:widowControl w:val="0"/>
        <w:autoSpaceDE w:val="0"/>
        <w:autoSpaceDN w:val="0"/>
        <w:adjustRightInd w:val="0"/>
        <w:spacing w:after="0"/>
        <w:ind w:left="720" w:hanging="720"/>
        <w:rPr>
          <w:szCs w:val="20"/>
        </w:rPr>
      </w:pPr>
      <w:r>
        <w:rPr>
          <w:szCs w:val="20"/>
        </w:rPr>
        <w:t>ii)</w:t>
      </w:r>
      <w:r>
        <w:rPr>
          <w:szCs w:val="20"/>
        </w:rPr>
        <w:tab/>
      </w:r>
      <w:r w:rsidRPr="00D714D9">
        <w:rPr>
          <w:szCs w:val="20"/>
        </w:rPr>
        <w:t>Duration of Risk Management Measures identified in Part 4 of the CPU is summarized as follows:</w:t>
      </w:r>
    </w:p>
    <w:p w14:paraId="699410EB" w14:textId="77777777" w:rsidR="00FA20D7" w:rsidRPr="00D714D9" w:rsidRDefault="00FA20D7" w:rsidP="000F20B3">
      <w:pPr>
        <w:widowControl w:val="0"/>
        <w:autoSpaceDE w:val="0"/>
        <w:autoSpaceDN w:val="0"/>
        <w:adjustRightInd w:val="0"/>
        <w:spacing w:after="0"/>
        <w:ind w:left="720" w:hanging="720"/>
        <w:rPr>
          <w:szCs w:val="20"/>
        </w:rPr>
      </w:pPr>
    </w:p>
    <w:p w14:paraId="55A40B95" w14:textId="21C30625" w:rsidR="00AF5828" w:rsidRPr="0033527B" w:rsidRDefault="00AF5828" w:rsidP="00C91A86">
      <w:pPr>
        <w:widowControl w:val="0"/>
        <w:numPr>
          <w:ilvl w:val="0"/>
          <w:numId w:val="5"/>
        </w:numPr>
        <w:tabs>
          <w:tab w:val="clear" w:pos="1080"/>
          <w:tab w:val="num" w:pos="1440"/>
        </w:tabs>
        <w:autoSpaceDE w:val="0"/>
        <w:autoSpaceDN w:val="0"/>
        <w:adjustRightInd w:val="0"/>
        <w:spacing w:after="0" w:line="240" w:lineRule="auto"/>
        <w:ind w:left="1440" w:hanging="720"/>
        <w:rPr>
          <w:szCs w:val="20"/>
        </w:rPr>
      </w:pPr>
      <w:r w:rsidRPr="0033527B">
        <w:rPr>
          <w:szCs w:val="20"/>
        </w:rPr>
        <w:t>The barrier</w:t>
      </w:r>
      <w:r>
        <w:rPr>
          <w:szCs w:val="20"/>
        </w:rPr>
        <w:t xml:space="preserve"> to site soils</w:t>
      </w:r>
      <w:r w:rsidRPr="0033527B">
        <w:rPr>
          <w:szCs w:val="20"/>
        </w:rPr>
        <w:t xml:space="preserve"> over the entirety of the Property shall be maintained indefinitely until the Director </w:t>
      </w:r>
      <w:r>
        <w:rPr>
          <w:szCs w:val="20"/>
        </w:rPr>
        <w:t>alters</w:t>
      </w:r>
      <w:r w:rsidRPr="0033527B">
        <w:rPr>
          <w:szCs w:val="20"/>
        </w:rPr>
        <w:t xml:space="preserve"> or revokes the CPU. </w:t>
      </w:r>
    </w:p>
    <w:p w14:paraId="55A40B96" w14:textId="77777777" w:rsidR="00AF5828" w:rsidRPr="00D467AD" w:rsidRDefault="00AF5828" w:rsidP="00AF5828">
      <w:pPr>
        <w:widowControl w:val="0"/>
        <w:autoSpaceDE w:val="0"/>
        <w:autoSpaceDN w:val="0"/>
        <w:adjustRightInd w:val="0"/>
        <w:spacing w:after="0"/>
        <w:ind w:left="720"/>
        <w:rPr>
          <w:szCs w:val="20"/>
        </w:rPr>
      </w:pPr>
    </w:p>
    <w:p w14:paraId="55A40B97" w14:textId="34B06939" w:rsidR="00AF5828" w:rsidRDefault="00AF5828" w:rsidP="00C91A86">
      <w:pPr>
        <w:widowControl w:val="0"/>
        <w:numPr>
          <w:ilvl w:val="0"/>
          <w:numId w:val="5"/>
        </w:numPr>
        <w:tabs>
          <w:tab w:val="clear" w:pos="1080"/>
          <w:tab w:val="num" w:pos="1440"/>
        </w:tabs>
        <w:autoSpaceDE w:val="0"/>
        <w:autoSpaceDN w:val="0"/>
        <w:adjustRightInd w:val="0"/>
        <w:spacing w:after="0" w:line="240" w:lineRule="auto"/>
        <w:ind w:left="1440" w:hanging="720"/>
        <w:rPr>
          <w:szCs w:val="20"/>
        </w:rPr>
      </w:pPr>
      <w:r w:rsidRPr="00CA5E33">
        <w:rPr>
          <w:szCs w:val="20"/>
        </w:rPr>
        <w:t xml:space="preserve">The soil </w:t>
      </w:r>
      <w:r w:rsidR="00330CAC">
        <w:rPr>
          <w:szCs w:val="20"/>
        </w:rPr>
        <w:t xml:space="preserve">and groundwater </w:t>
      </w:r>
      <w:r w:rsidRPr="00CA5E33">
        <w:rPr>
          <w:szCs w:val="20"/>
        </w:rPr>
        <w:t xml:space="preserve">management plan </w:t>
      </w:r>
      <w:r>
        <w:rPr>
          <w:szCs w:val="20"/>
        </w:rPr>
        <w:t xml:space="preserve">and the health and safety plan </w:t>
      </w:r>
      <w:r w:rsidRPr="00CA5E33">
        <w:rPr>
          <w:szCs w:val="20"/>
        </w:rPr>
        <w:t>shall be required for the Property during any activities potentially in contact with or exposing site soils for as long as the Contaminants of Concern are present on the Property.</w:t>
      </w:r>
    </w:p>
    <w:p w14:paraId="55A40B98" w14:textId="77777777" w:rsidR="00AF5828" w:rsidRDefault="00AF5828" w:rsidP="00AF5828">
      <w:pPr>
        <w:pStyle w:val="ListParagraph"/>
        <w:spacing w:after="0"/>
        <w:rPr>
          <w:szCs w:val="20"/>
        </w:rPr>
      </w:pPr>
    </w:p>
    <w:p w14:paraId="55A40B99" w14:textId="77777777" w:rsidR="00AF5828" w:rsidRDefault="00AF5828" w:rsidP="00C91A86">
      <w:pPr>
        <w:widowControl w:val="0"/>
        <w:numPr>
          <w:ilvl w:val="0"/>
          <w:numId w:val="5"/>
        </w:numPr>
        <w:tabs>
          <w:tab w:val="clear" w:pos="1080"/>
          <w:tab w:val="num" w:pos="1440"/>
        </w:tabs>
        <w:autoSpaceDE w:val="0"/>
        <w:autoSpaceDN w:val="0"/>
        <w:adjustRightInd w:val="0"/>
        <w:spacing w:after="0" w:line="240" w:lineRule="auto"/>
        <w:ind w:left="1440" w:hanging="720"/>
        <w:rPr>
          <w:szCs w:val="20"/>
        </w:rPr>
      </w:pPr>
      <w:r w:rsidRPr="00D467AD">
        <w:rPr>
          <w:szCs w:val="20"/>
        </w:rPr>
        <w:t xml:space="preserve">All other Risk Management Measures shall continue indefinitely until the Director </w:t>
      </w:r>
      <w:r>
        <w:rPr>
          <w:szCs w:val="20"/>
        </w:rPr>
        <w:t>alters</w:t>
      </w:r>
      <w:r w:rsidRPr="00D467AD">
        <w:rPr>
          <w:szCs w:val="20"/>
        </w:rPr>
        <w:t xml:space="preserve"> or revokes the CPU</w:t>
      </w:r>
      <w:r>
        <w:rPr>
          <w:szCs w:val="20"/>
        </w:rPr>
        <w:t>.</w:t>
      </w:r>
    </w:p>
    <w:p w14:paraId="55A40B9B" w14:textId="77777777" w:rsidR="00AF5828" w:rsidRPr="00D714D9" w:rsidRDefault="00AF5828" w:rsidP="000C2813">
      <w:pPr>
        <w:pStyle w:val="Heading1"/>
      </w:pPr>
      <w:r w:rsidRPr="00D714D9">
        <w:t xml:space="preserve">Part 1:  </w:t>
      </w:r>
      <w:r w:rsidRPr="00CF6630">
        <w:t>Interpretation</w:t>
      </w:r>
    </w:p>
    <w:p w14:paraId="55A40B9C" w14:textId="77777777" w:rsidR="00AF5828" w:rsidRPr="00D714D9" w:rsidRDefault="00AF5828" w:rsidP="00AF5828">
      <w:pPr>
        <w:spacing w:after="0"/>
      </w:pPr>
      <w:r w:rsidRPr="00D714D9">
        <w:t xml:space="preserve">In the CPU the following terms shall have the meanings described below: </w:t>
      </w:r>
    </w:p>
    <w:p w14:paraId="55A40B9D" w14:textId="77777777" w:rsidR="00AF5828" w:rsidRPr="00D714D9" w:rsidRDefault="00AF5828" w:rsidP="00AF5828">
      <w:pPr>
        <w:spacing w:after="0"/>
      </w:pPr>
    </w:p>
    <w:p w14:paraId="55A40B9E" w14:textId="77777777" w:rsidR="00AF5828" w:rsidRPr="00D80880" w:rsidRDefault="00AF5828" w:rsidP="00AF5828">
      <w:pPr>
        <w:spacing w:after="0"/>
      </w:pPr>
      <w:r w:rsidRPr="00D80880">
        <w:t>“Adverse Effect” has the same meaning as in the Act; namely,</w:t>
      </w:r>
    </w:p>
    <w:p w14:paraId="55A40B9F" w14:textId="77777777" w:rsidR="00AF5828" w:rsidRPr="00D80880" w:rsidRDefault="00AF5828" w:rsidP="00C91A86">
      <w:pPr>
        <w:pStyle w:val="ListParagraph"/>
        <w:numPr>
          <w:ilvl w:val="0"/>
          <w:numId w:val="9"/>
        </w:numPr>
        <w:spacing w:after="0"/>
      </w:pPr>
      <w:r w:rsidRPr="00D80880">
        <w:t>impairment of the quality of the natural environment for any use that can be made of it;</w:t>
      </w:r>
    </w:p>
    <w:p w14:paraId="55A40BA0" w14:textId="77777777" w:rsidR="00AF5828" w:rsidRPr="00D80880" w:rsidRDefault="00AF5828" w:rsidP="00C91A86">
      <w:pPr>
        <w:pStyle w:val="ListParagraph"/>
        <w:numPr>
          <w:ilvl w:val="0"/>
          <w:numId w:val="9"/>
        </w:numPr>
        <w:spacing w:after="0"/>
      </w:pPr>
      <w:r w:rsidRPr="00D80880">
        <w:t>injury or damage to property or to plant or animal life;</w:t>
      </w:r>
    </w:p>
    <w:p w14:paraId="55A40BA1" w14:textId="77777777" w:rsidR="00AF5828" w:rsidRPr="00D80880" w:rsidRDefault="00AF5828" w:rsidP="00C91A86">
      <w:pPr>
        <w:pStyle w:val="ListParagraph"/>
        <w:numPr>
          <w:ilvl w:val="0"/>
          <w:numId w:val="9"/>
        </w:numPr>
        <w:spacing w:after="0"/>
      </w:pPr>
      <w:r w:rsidRPr="00D80880">
        <w:t>harm or material discomfort to any person;</w:t>
      </w:r>
    </w:p>
    <w:p w14:paraId="55A40BA2" w14:textId="77777777" w:rsidR="00AF5828" w:rsidRPr="00D80880" w:rsidRDefault="00AF5828" w:rsidP="00C91A86">
      <w:pPr>
        <w:pStyle w:val="ListParagraph"/>
        <w:numPr>
          <w:ilvl w:val="0"/>
          <w:numId w:val="9"/>
        </w:numPr>
        <w:spacing w:after="0"/>
      </w:pPr>
      <w:r w:rsidRPr="00D80880">
        <w:t>an adverse effect on the health of any person;</w:t>
      </w:r>
    </w:p>
    <w:p w14:paraId="55A40BA3" w14:textId="77777777" w:rsidR="00AF5828" w:rsidRPr="00D80880" w:rsidRDefault="00AF5828" w:rsidP="00C91A86">
      <w:pPr>
        <w:pStyle w:val="ListParagraph"/>
        <w:numPr>
          <w:ilvl w:val="0"/>
          <w:numId w:val="9"/>
        </w:numPr>
        <w:spacing w:after="0"/>
      </w:pPr>
      <w:r w:rsidRPr="00D80880">
        <w:t>impairment of the safety of any person;</w:t>
      </w:r>
    </w:p>
    <w:p w14:paraId="55A40BA4" w14:textId="77777777" w:rsidR="00AF5828" w:rsidRPr="00D80880" w:rsidRDefault="00AF5828" w:rsidP="00C91A86">
      <w:pPr>
        <w:pStyle w:val="ListParagraph"/>
        <w:numPr>
          <w:ilvl w:val="0"/>
          <w:numId w:val="9"/>
        </w:numPr>
        <w:spacing w:after="0"/>
      </w:pPr>
      <w:r w:rsidRPr="00D80880">
        <w:t>rendering any property or plant or animal life unfit for human use;</w:t>
      </w:r>
    </w:p>
    <w:p w14:paraId="55A40BA5" w14:textId="77777777" w:rsidR="00AF5828" w:rsidRPr="00D80880" w:rsidRDefault="00AF5828" w:rsidP="00C91A86">
      <w:pPr>
        <w:pStyle w:val="ListParagraph"/>
        <w:numPr>
          <w:ilvl w:val="0"/>
          <w:numId w:val="9"/>
        </w:numPr>
        <w:spacing w:after="0"/>
      </w:pPr>
      <w:r w:rsidRPr="00D80880">
        <w:t>loss of enjoyment of normal use of property; and,</w:t>
      </w:r>
    </w:p>
    <w:p w14:paraId="55A40BA6" w14:textId="77777777" w:rsidR="00AF5828" w:rsidRPr="00D80880" w:rsidRDefault="00AF5828" w:rsidP="00C91A86">
      <w:pPr>
        <w:pStyle w:val="ListParagraph"/>
        <w:numPr>
          <w:ilvl w:val="0"/>
          <w:numId w:val="9"/>
        </w:numPr>
        <w:spacing w:after="0"/>
      </w:pPr>
      <w:r w:rsidRPr="00D80880">
        <w:t>interference with the normal conduct of business.</w:t>
      </w:r>
    </w:p>
    <w:p w14:paraId="55A40BA7" w14:textId="77777777" w:rsidR="00AF5828" w:rsidRPr="00D80880" w:rsidRDefault="00AF5828" w:rsidP="00AF5828">
      <w:pPr>
        <w:spacing w:after="0"/>
      </w:pPr>
    </w:p>
    <w:p w14:paraId="55A40BA8" w14:textId="77777777" w:rsidR="00AF5828" w:rsidRPr="00D80880" w:rsidRDefault="00AF5828" w:rsidP="00AF5828">
      <w:pPr>
        <w:spacing w:after="0"/>
      </w:pPr>
      <w:r w:rsidRPr="00D80880">
        <w:t xml:space="preserve">“Act” means the </w:t>
      </w:r>
      <w:r w:rsidRPr="00D80880">
        <w:rPr>
          <w:i/>
          <w:iCs/>
        </w:rPr>
        <w:t>Environmental Protection</w:t>
      </w:r>
      <w:r w:rsidRPr="00D80880">
        <w:t xml:space="preserve"> </w:t>
      </w:r>
      <w:r w:rsidRPr="00D80880">
        <w:rPr>
          <w:i/>
          <w:iCs/>
        </w:rPr>
        <w:t>Act</w:t>
      </w:r>
      <w:r w:rsidRPr="00D80880">
        <w:t>, R.S.O. 1990, c. E. 19, as amended.</w:t>
      </w:r>
    </w:p>
    <w:p w14:paraId="55A40BA9" w14:textId="77777777" w:rsidR="00AF5828" w:rsidRPr="00D80880" w:rsidRDefault="00AF5828" w:rsidP="00AF5828">
      <w:pPr>
        <w:spacing w:after="0"/>
      </w:pPr>
    </w:p>
    <w:p w14:paraId="711C2AC6" w14:textId="77777777" w:rsidR="00131C9E" w:rsidRDefault="00131C9E" w:rsidP="00131C9E">
      <w:pPr>
        <w:spacing w:after="0"/>
      </w:pPr>
      <w:r w:rsidRPr="003D4035">
        <w:t>“Building” means an enclosed structure occupying an area greater than ten square metres consisting of a wall or walls, roof and floor.</w:t>
      </w:r>
    </w:p>
    <w:p w14:paraId="60A1D794" w14:textId="77777777" w:rsidR="00131C9E" w:rsidRDefault="00131C9E" w:rsidP="00131C9E">
      <w:pPr>
        <w:spacing w:after="0"/>
      </w:pPr>
    </w:p>
    <w:p w14:paraId="3BD8271A" w14:textId="77777777" w:rsidR="00131C9E" w:rsidRPr="002C3809" w:rsidRDefault="00131C9E" w:rsidP="00131C9E">
      <w:pPr>
        <w:spacing w:after="240"/>
        <w:ind w:right="360"/>
      </w:pPr>
      <w:r w:rsidRPr="002C3809">
        <w:t>“Building Area” means the horizontal area of a Building at Grade within the outside surface of the exterior wall or walls. </w:t>
      </w:r>
    </w:p>
    <w:p w14:paraId="6E60DE38" w14:textId="673E135D" w:rsidR="00131C9E" w:rsidRDefault="00131C9E" w:rsidP="00131C9E">
      <w:pPr>
        <w:spacing w:after="0"/>
      </w:pPr>
      <w:r w:rsidRPr="00D80880">
        <w:t>“Building Code”</w:t>
      </w:r>
      <w:r>
        <w:t xml:space="preserve"> </w:t>
      </w:r>
      <w:r w:rsidRPr="00D80880">
        <w:t>mean</w:t>
      </w:r>
      <w:r>
        <w:t>s the Ontario Regulation 332/12; ‘Building Code’</w:t>
      </w:r>
      <w:r w:rsidRPr="00D80880">
        <w:t xml:space="preserve"> </w:t>
      </w:r>
      <w:r>
        <w:t>as amended January 1, 202</w:t>
      </w:r>
      <w:r w:rsidR="00BA2F6A">
        <w:t>1</w:t>
      </w:r>
      <w:r>
        <w:t>.</w:t>
      </w:r>
    </w:p>
    <w:p w14:paraId="7ABCB2D9" w14:textId="77777777" w:rsidR="00131C9E" w:rsidRPr="00BC60D8" w:rsidRDefault="00131C9E" w:rsidP="00131C9E">
      <w:pPr>
        <w:spacing w:after="0"/>
      </w:pPr>
    </w:p>
    <w:p w14:paraId="55A40BAC" w14:textId="1054CDAB" w:rsidR="00AF5828" w:rsidRPr="00D80880" w:rsidRDefault="00AF5828" w:rsidP="00131C9E">
      <w:pPr>
        <w:spacing w:after="0"/>
      </w:pPr>
      <w:r w:rsidRPr="00D80880">
        <w:t>“Contaminant” has the same meaning as in the Act; namely any solid, liquid, gas, odour, heat, sound, vibration, radiation or combination of any of them, resulting directly or indirectly from human activities that causes or may cause an Adverse Effect.</w:t>
      </w:r>
    </w:p>
    <w:p w14:paraId="55A40BAD" w14:textId="77777777" w:rsidR="00AF5828" w:rsidRPr="00D80880" w:rsidRDefault="00AF5828" w:rsidP="00AF5828">
      <w:pPr>
        <w:spacing w:after="0"/>
      </w:pPr>
    </w:p>
    <w:p w14:paraId="55A40BAE" w14:textId="77777777" w:rsidR="00AF5828" w:rsidRPr="00D80880" w:rsidRDefault="00AF5828" w:rsidP="00AF5828">
      <w:pPr>
        <w:spacing w:after="0"/>
      </w:pPr>
      <w:r w:rsidRPr="00D80880">
        <w:t>“Contaminants of Concern” has the meaning as set out in section 3.2 of the CPU.</w:t>
      </w:r>
    </w:p>
    <w:p w14:paraId="55A40BAF" w14:textId="77777777" w:rsidR="00AF5828" w:rsidRPr="00D80880" w:rsidRDefault="00AF5828" w:rsidP="00AF5828">
      <w:pPr>
        <w:spacing w:after="0"/>
      </w:pPr>
    </w:p>
    <w:p w14:paraId="55A40BB0" w14:textId="13F6AF7F" w:rsidR="00AF5828" w:rsidRPr="00D80880" w:rsidRDefault="00AF5828" w:rsidP="00AF5828">
      <w:pPr>
        <w:spacing w:after="0"/>
      </w:pPr>
      <w:r w:rsidRPr="00D80880">
        <w:t xml:space="preserve">“CPU” means this Certificate of Property Use as may be altered from time to time and bearing the document number </w:t>
      </w:r>
      <w:r w:rsidR="00A41553" w:rsidRPr="00A41553">
        <w:rPr>
          <w:lang w:val="en-US"/>
        </w:rPr>
        <w:t>3687-C4GFSG</w:t>
      </w:r>
      <w:r w:rsidRPr="00D80880">
        <w:rPr>
          <w:b/>
          <w:bCs/>
        </w:rPr>
        <w:t>.</w:t>
      </w:r>
    </w:p>
    <w:p w14:paraId="55A40BB1" w14:textId="77777777" w:rsidR="00AF5828" w:rsidRPr="00D80880" w:rsidRDefault="00AF5828" w:rsidP="00AF5828">
      <w:pPr>
        <w:spacing w:after="0"/>
      </w:pPr>
    </w:p>
    <w:p w14:paraId="55A40BB2" w14:textId="77777777" w:rsidR="00AF5828" w:rsidRPr="00D80880" w:rsidRDefault="00AF5828" w:rsidP="00AF5828">
      <w:pPr>
        <w:spacing w:after="0"/>
      </w:pPr>
      <w:r w:rsidRPr="00D80880">
        <w:t>"Director" means the undersigned Director or any other person appointed as a Director for the purpose of issuing a certificate of property use.</w:t>
      </w:r>
    </w:p>
    <w:p w14:paraId="55A40BB3" w14:textId="77777777" w:rsidR="00AF5828" w:rsidRPr="00D80880" w:rsidRDefault="00AF5828" w:rsidP="00AF5828">
      <w:pPr>
        <w:spacing w:after="0"/>
      </w:pPr>
    </w:p>
    <w:p w14:paraId="55A40BB4" w14:textId="216A4EE7" w:rsidR="00AF5828" w:rsidRDefault="00AF5828" w:rsidP="00AF5828">
      <w:pPr>
        <w:spacing w:after="0"/>
      </w:pPr>
      <w:r w:rsidRPr="00D80880">
        <w:t xml:space="preserve">“EBR” means the </w:t>
      </w:r>
      <w:r w:rsidRPr="00637BAC">
        <w:rPr>
          <w:i/>
        </w:rPr>
        <w:t>Environmental Bill of Rights, 1993</w:t>
      </w:r>
      <w:r>
        <w:t>,</w:t>
      </w:r>
      <w:r w:rsidRPr="00D80880">
        <w:t xml:space="preserve"> S.O. 1993, c. 28, as amended.</w:t>
      </w:r>
    </w:p>
    <w:p w14:paraId="0661B8C8" w14:textId="6DFA815B" w:rsidR="00881AE3" w:rsidRDefault="00881AE3" w:rsidP="00AF5828">
      <w:pPr>
        <w:spacing w:after="0"/>
      </w:pPr>
    </w:p>
    <w:p w14:paraId="1BC488C2" w14:textId="77777777" w:rsidR="00881AE3" w:rsidRPr="00881AE3" w:rsidRDefault="00881AE3" w:rsidP="00881AE3">
      <w:pPr>
        <w:spacing w:after="0"/>
      </w:pPr>
      <w:r w:rsidRPr="00881AE3">
        <w:t>“Grade” has the same meaning as in the Building Code.</w:t>
      </w:r>
    </w:p>
    <w:p w14:paraId="7D5F8DA4" w14:textId="77777777" w:rsidR="007D3F31" w:rsidRDefault="007D3F31" w:rsidP="00AF5828">
      <w:pPr>
        <w:spacing w:after="0"/>
      </w:pPr>
    </w:p>
    <w:p w14:paraId="3A741E63" w14:textId="13BE8300" w:rsidR="007D3F31" w:rsidRPr="00DC0E8F" w:rsidRDefault="007D3F31" w:rsidP="007D3F31">
      <w:pPr>
        <w:spacing w:after="240"/>
        <w:rPr>
          <w:rFonts w:cs="Arial"/>
        </w:rPr>
      </w:pPr>
      <w:r w:rsidRPr="00DC0E8F">
        <w:rPr>
          <w:rFonts w:cs="Arial"/>
        </w:rPr>
        <w:t>“Licenced Professional Engineer” means a person who holds a licence, limited licence or temporary licence under the Professional Engineers Act, R.S.O. 1990, c. P.28.</w:t>
      </w:r>
    </w:p>
    <w:p w14:paraId="393A6EC2" w14:textId="77777777" w:rsidR="00131C9E" w:rsidRDefault="00131C9E" w:rsidP="00131C9E">
      <w:pPr>
        <w:spacing w:after="240"/>
        <w:ind w:right="360"/>
      </w:pPr>
      <w:r w:rsidRPr="002C3809">
        <w:t xml:space="preserve">“Ministry” means the </w:t>
      </w:r>
      <w:r>
        <w:t>m</w:t>
      </w:r>
      <w:r w:rsidRPr="002C3809">
        <w:t>inistry of th</w:t>
      </w:r>
      <w:r>
        <w:t>e government of Ontario responsible for the administration of the Act, currently named the Ministry of the Environment, Conservation and Parks</w:t>
      </w:r>
      <w:r w:rsidRPr="002C3809">
        <w:t>.</w:t>
      </w:r>
    </w:p>
    <w:p w14:paraId="55A40BB8" w14:textId="7E2C9B75" w:rsidR="00AF5828" w:rsidRDefault="00AF5828" w:rsidP="00131C9E">
      <w:pPr>
        <w:spacing w:after="0"/>
      </w:pPr>
      <w:r w:rsidRPr="00D80880">
        <w:t>“O. Reg. 153/04” means Ontario Regulation 153/0</w:t>
      </w:r>
      <w:r>
        <w:t xml:space="preserve">4, “Record of Site Condition – </w:t>
      </w:r>
      <w:r w:rsidRPr="00D80880">
        <w:t>Part XV.1 of the Act” as amended, made under the Act.</w:t>
      </w:r>
    </w:p>
    <w:p w14:paraId="1F981968" w14:textId="77777777" w:rsidR="00F82836" w:rsidRDefault="00F82836" w:rsidP="00AF5828">
      <w:pPr>
        <w:spacing w:after="0"/>
      </w:pPr>
    </w:p>
    <w:p w14:paraId="18744DF3" w14:textId="5F088449" w:rsidR="00F82836" w:rsidRPr="00F82836" w:rsidRDefault="00F82836" w:rsidP="00F82836">
      <w:pPr>
        <w:spacing w:after="0"/>
        <w:rPr>
          <w:bCs/>
        </w:rPr>
      </w:pPr>
      <w:r>
        <w:t>“O.</w:t>
      </w:r>
      <w:r w:rsidR="003B329A">
        <w:t xml:space="preserve"> </w:t>
      </w:r>
      <w:r>
        <w:t xml:space="preserve">Reg. 347/90 means Ontario means </w:t>
      </w:r>
      <w:r w:rsidRPr="00F82836">
        <w:rPr>
          <w:bCs/>
        </w:rPr>
        <w:t xml:space="preserve">R.R.O. 1990, </w:t>
      </w:r>
      <w:r>
        <w:rPr>
          <w:bCs/>
        </w:rPr>
        <w:t xml:space="preserve">Regulation </w:t>
      </w:r>
      <w:r w:rsidRPr="00F82836">
        <w:rPr>
          <w:bCs/>
        </w:rPr>
        <w:t>347</w:t>
      </w:r>
      <w:r>
        <w:rPr>
          <w:bCs/>
        </w:rPr>
        <w:t xml:space="preserve"> General</w:t>
      </w:r>
      <w:r w:rsidRPr="00F82836">
        <w:rPr>
          <w:bCs/>
        </w:rPr>
        <w:t xml:space="preserve"> </w:t>
      </w:r>
      <w:r w:rsidR="003C2EF5">
        <w:rPr>
          <w:bCs/>
        </w:rPr>
        <w:t>-</w:t>
      </w:r>
      <w:r w:rsidRPr="00F82836">
        <w:rPr>
          <w:bCs/>
        </w:rPr>
        <w:t xml:space="preserve"> </w:t>
      </w:r>
      <w:r>
        <w:rPr>
          <w:bCs/>
        </w:rPr>
        <w:t>Waste</w:t>
      </w:r>
      <w:r w:rsidRPr="00F82836">
        <w:rPr>
          <w:bCs/>
        </w:rPr>
        <w:t xml:space="preserve"> </w:t>
      </w:r>
      <w:r>
        <w:rPr>
          <w:bCs/>
        </w:rPr>
        <w:t>Management” as amended, made under the Act.</w:t>
      </w:r>
    </w:p>
    <w:p w14:paraId="55A40BB9" w14:textId="77777777" w:rsidR="00AF5828" w:rsidRPr="00D80880" w:rsidRDefault="00AF5828" w:rsidP="00AF5828">
      <w:pPr>
        <w:spacing w:after="0"/>
      </w:pPr>
    </w:p>
    <w:p w14:paraId="55A40BBA" w14:textId="77777777" w:rsidR="00AF5828" w:rsidRPr="00D80880" w:rsidRDefault="00AF5828" w:rsidP="00AF5828">
      <w:pPr>
        <w:spacing w:after="0"/>
      </w:pPr>
      <w:r w:rsidRPr="00D80880">
        <w:t>“Owner” means the owner(s) of the Property, beginning with the person(s) to whom the CPU is issued, described in the “</w:t>
      </w:r>
      <w:r>
        <w:t>Owner</w:t>
      </w:r>
      <w:r w:rsidRPr="00D80880">
        <w:t>” section on Page 1 above, and any subsequent owner</w:t>
      </w:r>
      <w:r>
        <w:t>(s)</w:t>
      </w:r>
      <w:r w:rsidRPr="00D80880">
        <w:t xml:space="preserve"> of the Property.</w:t>
      </w:r>
    </w:p>
    <w:p w14:paraId="55A40BBB" w14:textId="77777777" w:rsidR="00AF5828" w:rsidRPr="00D80880" w:rsidRDefault="00AF5828" w:rsidP="00AF5828">
      <w:pPr>
        <w:spacing w:after="0"/>
      </w:pPr>
    </w:p>
    <w:p w14:paraId="55A40BBC" w14:textId="77777777" w:rsidR="00AF5828" w:rsidRPr="00D80880" w:rsidRDefault="00AF5828" w:rsidP="00AF5828">
      <w:pPr>
        <w:spacing w:after="0"/>
      </w:pPr>
      <w:r w:rsidRPr="00D80880">
        <w:t xml:space="preserve">"OWRA" means the </w:t>
      </w:r>
      <w:r w:rsidRPr="00D80880">
        <w:rPr>
          <w:i/>
          <w:iCs/>
        </w:rPr>
        <w:t>Ontario Water Resources</w:t>
      </w:r>
      <w:r w:rsidRPr="00D80880">
        <w:t xml:space="preserve"> </w:t>
      </w:r>
      <w:r w:rsidRPr="00D80880">
        <w:rPr>
          <w:i/>
          <w:iCs/>
        </w:rPr>
        <w:t>Act</w:t>
      </w:r>
      <w:r w:rsidRPr="00D80880">
        <w:t xml:space="preserve">, R.S.O. 1990, c.O.40, as amended. </w:t>
      </w:r>
    </w:p>
    <w:p w14:paraId="55A40BBD" w14:textId="77777777" w:rsidR="00AF5828" w:rsidRPr="00D80880" w:rsidRDefault="00AF5828" w:rsidP="00AF5828">
      <w:pPr>
        <w:spacing w:after="0"/>
      </w:pPr>
    </w:p>
    <w:p w14:paraId="55A40BBE" w14:textId="77777777" w:rsidR="00AF5828" w:rsidRPr="00D80880" w:rsidRDefault="00AF5828" w:rsidP="00AF5828">
      <w:pPr>
        <w:spacing w:after="0"/>
      </w:pPr>
      <w:r w:rsidRPr="00D80880">
        <w:t>“Property” means the property that is the subject of the CPU and described in the “Site” section on page 1 above.</w:t>
      </w:r>
    </w:p>
    <w:p w14:paraId="55A40BBF" w14:textId="77777777" w:rsidR="00AF5828" w:rsidRPr="00D80880" w:rsidRDefault="00AF5828" w:rsidP="00AF5828">
      <w:pPr>
        <w:spacing w:after="0"/>
      </w:pPr>
    </w:p>
    <w:p w14:paraId="55A40BC0" w14:textId="15C59BFA" w:rsidR="00AF5828" w:rsidRPr="00D80880" w:rsidRDefault="00AF5828" w:rsidP="00AF5828">
      <w:pPr>
        <w:spacing w:after="0"/>
      </w:pPr>
      <w:r w:rsidRPr="00D80880">
        <w:t xml:space="preserve">“Property Specific Standards” </w:t>
      </w:r>
      <w:r w:rsidR="003F6185">
        <w:t xml:space="preserve">or “PSS” </w:t>
      </w:r>
      <w:r w:rsidRPr="00D80880">
        <w:t>means the property specific standards established for the Contaminants of Concern set out in the Risk Assessment and in section 3.2 of the CPU and are the same standards specified in the Risk Assessment.</w:t>
      </w:r>
    </w:p>
    <w:p w14:paraId="55A40BC1" w14:textId="77777777" w:rsidR="00AF5828" w:rsidRPr="00D80880" w:rsidRDefault="00AF5828" w:rsidP="00AF5828">
      <w:pPr>
        <w:spacing w:after="0"/>
      </w:pPr>
    </w:p>
    <w:p w14:paraId="55A40BC2" w14:textId="77777777" w:rsidR="00AF5828" w:rsidRPr="00D80880" w:rsidRDefault="00AF5828" w:rsidP="00AF5828">
      <w:pPr>
        <w:spacing w:after="0"/>
      </w:pPr>
      <w:r w:rsidRPr="00D80880">
        <w:t>"Provincial Officer" means a person who is designated as a provincial officer for the purposes of the Act.</w:t>
      </w:r>
    </w:p>
    <w:p w14:paraId="55A40BC3" w14:textId="77777777" w:rsidR="00AF5828" w:rsidRPr="00D80880" w:rsidRDefault="00AF5828" w:rsidP="00AF5828">
      <w:pPr>
        <w:spacing w:after="0"/>
      </w:pPr>
    </w:p>
    <w:p w14:paraId="55A40BC4" w14:textId="77777777" w:rsidR="00AF5828" w:rsidRPr="00D80880" w:rsidRDefault="00AF5828" w:rsidP="00AF5828">
      <w:pPr>
        <w:spacing w:after="0"/>
      </w:pPr>
      <w:r w:rsidRPr="00D80880">
        <w:t>“Qualified Person” means a person who meets the qualifications prescribed in subsection 5 (2) of O. Reg. 153/04, namely a person who:</w:t>
      </w:r>
    </w:p>
    <w:p w14:paraId="55A40BC5" w14:textId="77777777" w:rsidR="00AF5828" w:rsidRPr="00D80880" w:rsidRDefault="00AF5828" w:rsidP="004A3DE0">
      <w:pPr>
        <w:pStyle w:val="ListParagraph"/>
        <w:numPr>
          <w:ilvl w:val="0"/>
          <w:numId w:val="10"/>
        </w:numPr>
        <w:spacing w:after="0"/>
        <w:ind w:hanging="720"/>
      </w:pPr>
      <w:r w:rsidRPr="00D80880">
        <w:lastRenderedPageBreak/>
        <w:t xml:space="preserve">Holds a license, limited license or temporary license under the </w:t>
      </w:r>
      <w:r w:rsidRPr="009438F1">
        <w:rPr>
          <w:i/>
        </w:rPr>
        <w:t>Professional Engineer Act</w:t>
      </w:r>
      <w:r w:rsidRPr="00D80880">
        <w:t>, or</w:t>
      </w:r>
    </w:p>
    <w:p w14:paraId="55A40BC6" w14:textId="4EE4A20C" w:rsidR="00AF5828" w:rsidRDefault="00AF5828" w:rsidP="004A3DE0">
      <w:pPr>
        <w:pStyle w:val="ListParagraph"/>
        <w:numPr>
          <w:ilvl w:val="0"/>
          <w:numId w:val="10"/>
        </w:numPr>
        <w:spacing w:after="0"/>
        <w:ind w:hanging="720"/>
      </w:pPr>
      <w:r w:rsidRPr="00D80880">
        <w:t xml:space="preserve">Holds a certificate of registration under the </w:t>
      </w:r>
      <w:r w:rsidRPr="009438F1">
        <w:rPr>
          <w:i/>
        </w:rPr>
        <w:t>Professional Geoscientists Act</w:t>
      </w:r>
      <w:r w:rsidRPr="00D80880">
        <w:t>, 2000, and is a practicing member, temporary member, or limited member of the Association of Professional Geoscientists of Ontario.</w:t>
      </w:r>
    </w:p>
    <w:p w14:paraId="34297E67" w14:textId="77777777" w:rsidR="00564DC4" w:rsidRPr="00D80880" w:rsidRDefault="00564DC4" w:rsidP="00564DC4">
      <w:pPr>
        <w:pStyle w:val="ListParagraph"/>
        <w:spacing w:after="0"/>
      </w:pPr>
    </w:p>
    <w:p w14:paraId="55A40BC8" w14:textId="31F396AF" w:rsidR="00AF5828" w:rsidRDefault="00AF5828" w:rsidP="00AF5828">
      <w:pPr>
        <w:spacing w:after="0"/>
      </w:pPr>
      <w:r w:rsidRPr="00D80880">
        <w:t xml:space="preserve">"Risk Assessment" means the Risk Assessment number </w:t>
      </w:r>
      <w:r w:rsidR="00722806" w:rsidRPr="00722806">
        <w:rPr>
          <w:lang w:val="en-US"/>
        </w:rPr>
        <w:t>6732-BC6HSZ</w:t>
      </w:r>
      <w:r w:rsidR="00722806" w:rsidRPr="00722806">
        <w:rPr>
          <w:b/>
          <w:bCs/>
          <w:lang w:val="en-US"/>
        </w:rPr>
        <w:t xml:space="preserve"> </w:t>
      </w:r>
      <w:r w:rsidRPr="00F70577">
        <w:t>accepted</w:t>
      </w:r>
      <w:r w:rsidRPr="00D80880">
        <w:t xml:space="preserve"> by the Director </w:t>
      </w:r>
      <w:r>
        <w:t xml:space="preserve">on </w:t>
      </w:r>
      <w:r w:rsidR="00AA7F9E">
        <w:rPr>
          <w:bCs/>
        </w:rPr>
        <w:t>June 30</w:t>
      </w:r>
      <w:r w:rsidR="003B13FF">
        <w:rPr>
          <w:bCs/>
        </w:rPr>
        <w:t>,</w:t>
      </w:r>
      <w:r w:rsidR="00F547B2">
        <w:rPr>
          <w:bCs/>
        </w:rPr>
        <w:t xml:space="preserve"> 20</w:t>
      </w:r>
      <w:r w:rsidR="007B53AD">
        <w:rPr>
          <w:bCs/>
        </w:rPr>
        <w:t>2</w:t>
      </w:r>
      <w:r w:rsidR="00A05E66">
        <w:rPr>
          <w:bCs/>
        </w:rPr>
        <w:t>1</w:t>
      </w:r>
      <w:r w:rsidR="00D8053C" w:rsidRPr="00D8053C">
        <w:rPr>
          <w:b/>
          <w:bCs/>
        </w:rPr>
        <w:t xml:space="preserve"> </w:t>
      </w:r>
      <w:r w:rsidRPr="00D80880">
        <w:t xml:space="preserve">and set out in the following documents: </w:t>
      </w:r>
    </w:p>
    <w:p w14:paraId="5F1945AF" w14:textId="77777777" w:rsidR="00722806" w:rsidRPr="00722806" w:rsidRDefault="00722806" w:rsidP="00722806">
      <w:pPr>
        <w:numPr>
          <w:ilvl w:val="0"/>
          <w:numId w:val="34"/>
        </w:numPr>
        <w:spacing w:after="0"/>
        <w:ind w:left="567" w:hanging="567"/>
        <w:rPr>
          <w:b/>
          <w:bCs/>
        </w:rPr>
      </w:pPr>
      <w:bookmarkStart w:id="0" w:name="_Hlk16057600"/>
      <w:bookmarkStart w:id="1" w:name="_Hlk69735384"/>
      <w:r w:rsidRPr="00722806">
        <w:rPr>
          <w:bCs/>
          <w:lang w:val="en-US"/>
        </w:rPr>
        <w:t>Report entitled “</w:t>
      </w:r>
      <w:bookmarkEnd w:id="0"/>
      <w:r w:rsidRPr="00722806">
        <w:rPr>
          <w:bCs/>
          <w:lang w:val="en-US"/>
        </w:rPr>
        <w:t>Tier 3 Risk Assessment 2706, 2708, 2710, 2720 and 2730 Dundas Street West Toronto, Ontario</w:t>
      </w:r>
      <w:r w:rsidRPr="00722806">
        <w:rPr>
          <w:bCs/>
        </w:rPr>
        <w:t>” prepared by Pinchin Ltd., dated January 30, 2020;</w:t>
      </w:r>
    </w:p>
    <w:p w14:paraId="67934082" w14:textId="77777777" w:rsidR="00722806" w:rsidRPr="00722806" w:rsidRDefault="00722806" w:rsidP="00722806">
      <w:pPr>
        <w:numPr>
          <w:ilvl w:val="0"/>
          <w:numId w:val="34"/>
        </w:numPr>
        <w:spacing w:after="0"/>
        <w:ind w:left="567" w:hanging="567"/>
        <w:rPr>
          <w:b/>
          <w:bCs/>
        </w:rPr>
      </w:pPr>
      <w:r w:rsidRPr="00722806">
        <w:rPr>
          <w:bCs/>
          <w:lang w:val="en-US"/>
        </w:rPr>
        <w:t>Report entitled “Revised Tier 3 Risk Assessment 2706, 2708, 2710, 2720 and 2730 Dundas Street West Toronto, Ontario</w:t>
      </w:r>
      <w:r w:rsidRPr="00722806">
        <w:rPr>
          <w:bCs/>
        </w:rPr>
        <w:t>” prepared by Pinchin Ltd., dated July 21, 2020;</w:t>
      </w:r>
    </w:p>
    <w:p w14:paraId="171EB7AF" w14:textId="77777777" w:rsidR="00722806" w:rsidRPr="00722806" w:rsidRDefault="00722806" w:rsidP="00722806">
      <w:pPr>
        <w:numPr>
          <w:ilvl w:val="0"/>
          <w:numId w:val="34"/>
        </w:numPr>
        <w:spacing w:after="0"/>
        <w:ind w:left="567" w:hanging="567"/>
        <w:rPr>
          <w:b/>
          <w:bCs/>
        </w:rPr>
      </w:pPr>
      <w:r w:rsidRPr="00722806">
        <w:rPr>
          <w:bCs/>
          <w:lang w:val="en-US"/>
        </w:rPr>
        <w:t>Report entitled “</w:t>
      </w:r>
      <w:bookmarkEnd w:id="1"/>
      <w:r w:rsidRPr="00722806">
        <w:rPr>
          <w:bCs/>
          <w:lang w:val="en-US"/>
        </w:rPr>
        <w:t>Revised Tier 3 Risk Assessment 2706, 2708, 2710, 2720 and 2730 Dundas Street West Toronto, Ontario</w:t>
      </w:r>
      <w:r w:rsidRPr="00722806">
        <w:rPr>
          <w:bCs/>
        </w:rPr>
        <w:t>” prepared by Pinchin Ltd., dated March 11, 2021.</w:t>
      </w:r>
    </w:p>
    <w:p w14:paraId="63C5AE16" w14:textId="77777777" w:rsidR="000F20B3" w:rsidRPr="000F20B3" w:rsidRDefault="000F20B3" w:rsidP="00D8053C">
      <w:pPr>
        <w:spacing w:after="0"/>
        <w:rPr>
          <w:bCs/>
        </w:rPr>
      </w:pPr>
    </w:p>
    <w:p w14:paraId="55A40BCF" w14:textId="796E09CB" w:rsidR="00AF5828" w:rsidRDefault="00AF5828" w:rsidP="00AF5828">
      <w:pPr>
        <w:spacing w:after="0"/>
      </w:pPr>
      <w:r w:rsidRPr="00D80880">
        <w:t>"Risk Management Measures" means the risk management measures specific to the Property described in the Risk Assessment and/or Part 4 of the CPU.</w:t>
      </w:r>
    </w:p>
    <w:p w14:paraId="0D7AB3B9" w14:textId="374D872A" w:rsidR="00D931DF" w:rsidRDefault="00D931DF" w:rsidP="00AF5828">
      <w:pPr>
        <w:spacing w:after="0"/>
      </w:pPr>
    </w:p>
    <w:p w14:paraId="3603A7F2" w14:textId="77777777" w:rsidR="0043319D" w:rsidRDefault="0043319D" w:rsidP="0043319D">
      <w:pPr>
        <w:spacing w:after="0"/>
      </w:pPr>
      <w:r>
        <w:t>“Storage Garage” has the same meaning as the Building Code.</w:t>
      </w:r>
    </w:p>
    <w:p w14:paraId="454EB0C7" w14:textId="77777777" w:rsidR="0043319D" w:rsidRDefault="0043319D" w:rsidP="0043319D">
      <w:pPr>
        <w:spacing w:after="0"/>
      </w:pPr>
    </w:p>
    <w:p w14:paraId="7C59E167" w14:textId="3F1EDF44" w:rsidR="0043319D" w:rsidRDefault="00131C9E" w:rsidP="0043319D">
      <w:pPr>
        <w:spacing w:after="0"/>
      </w:pPr>
      <w:r w:rsidRPr="00D80880">
        <w:t>“Tribunal” has the same meaning as in the Act; namely, the Environmental Review Tribunal.</w:t>
      </w:r>
    </w:p>
    <w:p w14:paraId="55A40BD8" w14:textId="77777777" w:rsidR="00AF5828" w:rsidRPr="00D714D9" w:rsidRDefault="00AF5828" w:rsidP="000C2813">
      <w:pPr>
        <w:pStyle w:val="Heading1"/>
      </w:pPr>
      <w:r w:rsidRPr="00D714D9">
        <w:t xml:space="preserve">Part 2: Legal </w:t>
      </w:r>
      <w:r w:rsidRPr="00D9497C">
        <w:t>Authority</w:t>
      </w:r>
    </w:p>
    <w:p w14:paraId="55A40BD9" w14:textId="77777777" w:rsidR="00AF5828" w:rsidRPr="00D80880" w:rsidRDefault="00AF5828" w:rsidP="00AF5828">
      <w:pPr>
        <w:widowControl w:val="0"/>
        <w:autoSpaceDE w:val="0"/>
        <w:autoSpaceDN w:val="0"/>
        <w:adjustRightInd w:val="0"/>
        <w:spacing w:after="0"/>
        <w:ind w:left="709" w:hanging="709"/>
        <w:rPr>
          <w:szCs w:val="20"/>
        </w:rPr>
      </w:pPr>
      <w:r w:rsidRPr="00D80880">
        <w:rPr>
          <w:szCs w:val="20"/>
        </w:rPr>
        <w:t>2.1</w:t>
      </w:r>
      <w:r w:rsidRPr="00D80880">
        <w:rPr>
          <w:szCs w:val="20"/>
        </w:rPr>
        <w:tab/>
        <w:t xml:space="preserve">Section 19 of the Act states that a </w:t>
      </w:r>
      <w:r>
        <w:rPr>
          <w:szCs w:val="20"/>
        </w:rPr>
        <w:t>c</w:t>
      </w:r>
      <w:r w:rsidRPr="00D80880">
        <w:rPr>
          <w:szCs w:val="20"/>
        </w:rPr>
        <w:t xml:space="preserve">ertificate of </w:t>
      </w:r>
      <w:r>
        <w:rPr>
          <w:szCs w:val="20"/>
        </w:rPr>
        <w:t>p</w:t>
      </w:r>
      <w:r w:rsidRPr="00D80880">
        <w:rPr>
          <w:szCs w:val="20"/>
        </w:rPr>
        <w:t xml:space="preserve">roperty </w:t>
      </w:r>
      <w:r>
        <w:rPr>
          <w:szCs w:val="20"/>
        </w:rPr>
        <w:t>u</w:t>
      </w:r>
      <w:r w:rsidRPr="00D80880">
        <w:rPr>
          <w:szCs w:val="20"/>
        </w:rPr>
        <w:t>se is binding on the executor, administrator, administrator with the will annexed, guardian of property or attorney for property of the person to whom it was directed, and on any other successor or assignee of the person to whom it was directed.</w:t>
      </w:r>
    </w:p>
    <w:p w14:paraId="55A40BDA" w14:textId="77777777" w:rsidR="00AF5828" w:rsidRPr="00D80880" w:rsidRDefault="00AF5828" w:rsidP="00AF5828">
      <w:pPr>
        <w:widowControl w:val="0"/>
        <w:autoSpaceDE w:val="0"/>
        <w:autoSpaceDN w:val="0"/>
        <w:adjustRightInd w:val="0"/>
        <w:spacing w:after="0"/>
        <w:rPr>
          <w:szCs w:val="20"/>
        </w:rPr>
      </w:pPr>
    </w:p>
    <w:p w14:paraId="55A40BDB" w14:textId="77777777" w:rsidR="00AF5828" w:rsidRPr="00D80880" w:rsidRDefault="00AF5828" w:rsidP="00AF5828">
      <w:pPr>
        <w:widowControl w:val="0"/>
        <w:autoSpaceDE w:val="0"/>
        <w:autoSpaceDN w:val="0"/>
        <w:adjustRightInd w:val="0"/>
        <w:spacing w:after="0"/>
        <w:ind w:left="709" w:hanging="709"/>
        <w:rPr>
          <w:szCs w:val="20"/>
        </w:rPr>
      </w:pPr>
      <w:r w:rsidRPr="00D80880">
        <w:rPr>
          <w:szCs w:val="20"/>
        </w:rPr>
        <w:t>2.2</w:t>
      </w:r>
      <w:r w:rsidRPr="00D80880">
        <w:rPr>
          <w:szCs w:val="20"/>
        </w:rPr>
        <w:tab/>
        <w:t>Subsection 132(1.1) of the Act states that the Director may include in a certificate of property use a requirement that the person to whom the certificate is issued provide financial assurance to the Crown in right of Ontario for any one or more of,</w:t>
      </w:r>
    </w:p>
    <w:p w14:paraId="55A40BDC" w14:textId="77777777" w:rsidR="00AF5828" w:rsidRPr="00575A61" w:rsidRDefault="00AF5828" w:rsidP="00C91A86">
      <w:pPr>
        <w:pStyle w:val="ListParagraph"/>
        <w:widowControl w:val="0"/>
        <w:numPr>
          <w:ilvl w:val="0"/>
          <w:numId w:val="14"/>
        </w:numPr>
        <w:autoSpaceDE w:val="0"/>
        <w:autoSpaceDN w:val="0"/>
        <w:adjustRightInd w:val="0"/>
        <w:spacing w:after="0"/>
        <w:rPr>
          <w:szCs w:val="20"/>
        </w:rPr>
      </w:pPr>
      <w:r w:rsidRPr="00575A61">
        <w:rPr>
          <w:szCs w:val="20"/>
        </w:rPr>
        <w:t>the performance of any action specified in the certificate of property use;</w:t>
      </w:r>
    </w:p>
    <w:p w14:paraId="55A40BDD" w14:textId="77777777" w:rsidR="00AF5828" w:rsidRPr="00575A61" w:rsidRDefault="00AF5828" w:rsidP="00C91A86">
      <w:pPr>
        <w:pStyle w:val="ListParagraph"/>
        <w:widowControl w:val="0"/>
        <w:numPr>
          <w:ilvl w:val="0"/>
          <w:numId w:val="14"/>
        </w:numPr>
        <w:autoSpaceDE w:val="0"/>
        <w:autoSpaceDN w:val="0"/>
        <w:adjustRightInd w:val="0"/>
        <w:spacing w:after="0"/>
        <w:rPr>
          <w:szCs w:val="20"/>
        </w:rPr>
      </w:pPr>
      <w:r w:rsidRPr="00575A61">
        <w:rPr>
          <w:szCs w:val="20"/>
        </w:rPr>
        <w:t>the provision of alternate water supplies to replace those that the Director has reasonable and probable grounds to believe are or are likely to be contaminated or otherwise interfered with by a contaminant on, in or under the property to which the certificate of property use relates; and</w:t>
      </w:r>
    </w:p>
    <w:p w14:paraId="55A40BDE" w14:textId="77777777" w:rsidR="00AF5828" w:rsidRPr="00575A61" w:rsidRDefault="00AF5828" w:rsidP="00C91A86">
      <w:pPr>
        <w:pStyle w:val="ListParagraph"/>
        <w:widowControl w:val="0"/>
        <w:numPr>
          <w:ilvl w:val="0"/>
          <w:numId w:val="14"/>
        </w:numPr>
        <w:autoSpaceDE w:val="0"/>
        <w:autoSpaceDN w:val="0"/>
        <w:adjustRightInd w:val="0"/>
        <w:spacing w:after="0"/>
        <w:rPr>
          <w:szCs w:val="20"/>
        </w:rPr>
      </w:pPr>
      <w:r w:rsidRPr="00575A61">
        <w:rPr>
          <w:szCs w:val="20"/>
        </w:rPr>
        <w:t>measures appropriate to prevent adverse effects in respect of the property to which the certificate of property use relates.</w:t>
      </w:r>
    </w:p>
    <w:p w14:paraId="55A40BDF" w14:textId="77777777" w:rsidR="00AF5828" w:rsidRPr="00D80880" w:rsidRDefault="00AF5828" w:rsidP="00AF5828">
      <w:pPr>
        <w:widowControl w:val="0"/>
        <w:autoSpaceDE w:val="0"/>
        <w:autoSpaceDN w:val="0"/>
        <w:adjustRightInd w:val="0"/>
        <w:spacing w:after="0"/>
        <w:rPr>
          <w:szCs w:val="20"/>
        </w:rPr>
      </w:pPr>
    </w:p>
    <w:p w14:paraId="55A40BE0" w14:textId="77777777" w:rsidR="00AF5828" w:rsidRPr="00D80880" w:rsidRDefault="00AF5828" w:rsidP="00AF5828">
      <w:pPr>
        <w:widowControl w:val="0"/>
        <w:autoSpaceDE w:val="0"/>
        <w:autoSpaceDN w:val="0"/>
        <w:adjustRightInd w:val="0"/>
        <w:spacing w:after="0"/>
        <w:ind w:left="709" w:hanging="709"/>
        <w:rPr>
          <w:szCs w:val="20"/>
        </w:rPr>
      </w:pPr>
      <w:r w:rsidRPr="00D80880">
        <w:rPr>
          <w:szCs w:val="20"/>
        </w:rPr>
        <w:t>2.3</w:t>
      </w:r>
      <w:r w:rsidRPr="00D80880">
        <w:rPr>
          <w:szCs w:val="20"/>
        </w:rPr>
        <w:tab/>
        <w:t>Section 168.6 (1) of the Act states that if a risk assessment related to the property has been accepted under clause 168.5 (1) (a), the Director may issue a certificate of property use to the owner of the property, requiring the owner to do any of the following things:</w:t>
      </w:r>
    </w:p>
    <w:p w14:paraId="55A40BE1" w14:textId="77777777" w:rsidR="00AF5828" w:rsidRPr="00575A61" w:rsidRDefault="00AF5828" w:rsidP="00C91A86">
      <w:pPr>
        <w:pStyle w:val="ListParagraph"/>
        <w:widowControl w:val="0"/>
        <w:numPr>
          <w:ilvl w:val="0"/>
          <w:numId w:val="15"/>
        </w:numPr>
        <w:autoSpaceDE w:val="0"/>
        <w:autoSpaceDN w:val="0"/>
        <w:adjustRightInd w:val="0"/>
        <w:spacing w:after="0"/>
        <w:rPr>
          <w:szCs w:val="20"/>
        </w:rPr>
      </w:pPr>
      <w:r w:rsidRPr="00575A61">
        <w:rPr>
          <w:szCs w:val="20"/>
        </w:rPr>
        <w:t xml:space="preserve">Take any action that is specified in the certificate and that, in the Director’s opinion, </w:t>
      </w:r>
      <w:r w:rsidRPr="00575A61">
        <w:rPr>
          <w:szCs w:val="20"/>
        </w:rPr>
        <w:lastRenderedPageBreak/>
        <w:t>is necessary to prevent, eliminate or ameliorate any adverse effect that has been identified in the risk assessment, including installing any equipment, monitoring any contaminant or recording or reporting information for that purpose.</w:t>
      </w:r>
    </w:p>
    <w:p w14:paraId="55A40BE2" w14:textId="77777777" w:rsidR="00AF5828" w:rsidRPr="00575A61" w:rsidRDefault="00AF5828" w:rsidP="00C91A86">
      <w:pPr>
        <w:pStyle w:val="ListParagraph"/>
        <w:widowControl w:val="0"/>
        <w:numPr>
          <w:ilvl w:val="0"/>
          <w:numId w:val="15"/>
        </w:numPr>
        <w:autoSpaceDE w:val="0"/>
        <w:autoSpaceDN w:val="0"/>
        <w:adjustRightInd w:val="0"/>
        <w:spacing w:after="0"/>
        <w:rPr>
          <w:szCs w:val="20"/>
        </w:rPr>
      </w:pPr>
      <w:r w:rsidRPr="00575A61">
        <w:rPr>
          <w:szCs w:val="20"/>
        </w:rPr>
        <w:t>Refrain from using the property for any use specified in the certificate or from constructing any building specified in the certificate on the property.</w:t>
      </w:r>
    </w:p>
    <w:p w14:paraId="55A40BE3" w14:textId="77777777" w:rsidR="00AF5828" w:rsidRPr="00D80880" w:rsidRDefault="00AF5828" w:rsidP="00AF5828">
      <w:pPr>
        <w:widowControl w:val="0"/>
        <w:autoSpaceDE w:val="0"/>
        <w:autoSpaceDN w:val="0"/>
        <w:adjustRightInd w:val="0"/>
        <w:spacing w:after="0"/>
        <w:rPr>
          <w:szCs w:val="20"/>
        </w:rPr>
      </w:pPr>
      <w:r w:rsidRPr="00D80880">
        <w:rPr>
          <w:szCs w:val="20"/>
        </w:rPr>
        <w:t xml:space="preserve"> </w:t>
      </w:r>
    </w:p>
    <w:p w14:paraId="55A40BE4" w14:textId="77777777" w:rsidR="00AF5828" w:rsidRPr="00D80880" w:rsidRDefault="00AF5828" w:rsidP="00AF5828">
      <w:pPr>
        <w:widowControl w:val="0"/>
        <w:autoSpaceDE w:val="0"/>
        <w:autoSpaceDN w:val="0"/>
        <w:adjustRightInd w:val="0"/>
        <w:spacing w:after="0"/>
        <w:ind w:left="709" w:hanging="709"/>
        <w:rPr>
          <w:szCs w:val="20"/>
        </w:rPr>
      </w:pPr>
      <w:r w:rsidRPr="00D80880">
        <w:rPr>
          <w:szCs w:val="20"/>
        </w:rPr>
        <w:t>2.4</w:t>
      </w:r>
      <w:r w:rsidRPr="00D80880">
        <w:rPr>
          <w:szCs w:val="20"/>
        </w:rPr>
        <w:tab/>
        <w:t>Subsection 168.6(2) of the Act states that a certificate of property use shall not require an owner of property to take any action that would have the effect of reducing the concentration of a contaminant on, in or under the property to a level below the level that is required to meet the standards specified for the contaminant in the risk assessment.</w:t>
      </w:r>
    </w:p>
    <w:p w14:paraId="55A40BE5" w14:textId="77777777" w:rsidR="00AF5828" w:rsidRPr="00D80880" w:rsidRDefault="00AF5828" w:rsidP="00AF5828">
      <w:pPr>
        <w:widowControl w:val="0"/>
        <w:autoSpaceDE w:val="0"/>
        <w:autoSpaceDN w:val="0"/>
        <w:adjustRightInd w:val="0"/>
        <w:spacing w:after="0"/>
        <w:rPr>
          <w:szCs w:val="20"/>
        </w:rPr>
      </w:pPr>
    </w:p>
    <w:p w14:paraId="55A40BE6" w14:textId="30810ADF" w:rsidR="00AF5828" w:rsidRPr="00D80880" w:rsidRDefault="00AF5828" w:rsidP="00AF5828">
      <w:pPr>
        <w:widowControl w:val="0"/>
        <w:autoSpaceDE w:val="0"/>
        <w:autoSpaceDN w:val="0"/>
        <w:adjustRightInd w:val="0"/>
        <w:spacing w:after="0"/>
        <w:ind w:left="709" w:hanging="709"/>
        <w:rPr>
          <w:szCs w:val="20"/>
        </w:rPr>
      </w:pPr>
      <w:r w:rsidRPr="00D80880">
        <w:rPr>
          <w:szCs w:val="20"/>
        </w:rPr>
        <w:t>2.5</w:t>
      </w:r>
      <w:r w:rsidRPr="00D80880">
        <w:rPr>
          <w:szCs w:val="20"/>
        </w:rPr>
        <w:tab/>
      </w:r>
      <w:r w:rsidR="003B13FF" w:rsidRPr="00D80880">
        <w:rPr>
          <w:szCs w:val="20"/>
        </w:rPr>
        <w:t>Subsection 168.6</w:t>
      </w:r>
      <w:r w:rsidRPr="00D80880">
        <w:rPr>
          <w:szCs w:val="20"/>
        </w:rPr>
        <w:t>(3) of the Act states that the Director may, on his or her own initiative or on application by the owner of the property in respect of which a certificate has been issued under subsection 168.6(1),</w:t>
      </w:r>
    </w:p>
    <w:p w14:paraId="55A40BE7" w14:textId="77777777" w:rsidR="00AF5828" w:rsidRPr="00575A61" w:rsidRDefault="00AF5828" w:rsidP="00C91A86">
      <w:pPr>
        <w:pStyle w:val="ListParagraph"/>
        <w:widowControl w:val="0"/>
        <w:numPr>
          <w:ilvl w:val="0"/>
          <w:numId w:val="12"/>
        </w:numPr>
        <w:autoSpaceDE w:val="0"/>
        <w:autoSpaceDN w:val="0"/>
        <w:adjustRightInd w:val="0"/>
        <w:spacing w:after="0"/>
        <w:rPr>
          <w:szCs w:val="20"/>
        </w:rPr>
      </w:pPr>
      <w:r w:rsidRPr="00575A61">
        <w:rPr>
          <w:szCs w:val="20"/>
        </w:rPr>
        <w:t xml:space="preserve">alter any terms and conditions in the certificate or impose new terms and </w:t>
      </w:r>
      <w:r w:rsidR="00FA1C81" w:rsidRPr="00575A61">
        <w:rPr>
          <w:szCs w:val="20"/>
        </w:rPr>
        <w:t>c</w:t>
      </w:r>
      <w:r w:rsidRPr="00575A61">
        <w:rPr>
          <w:szCs w:val="20"/>
        </w:rPr>
        <w:t>onditions; or</w:t>
      </w:r>
    </w:p>
    <w:p w14:paraId="55A40BE8" w14:textId="77777777" w:rsidR="00AF5828" w:rsidRPr="00575A61" w:rsidRDefault="00AF5828" w:rsidP="00C91A86">
      <w:pPr>
        <w:pStyle w:val="ListParagraph"/>
        <w:widowControl w:val="0"/>
        <w:numPr>
          <w:ilvl w:val="0"/>
          <w:numId w:val="12"/>
        </w:numPr>
        <w:autoSpaceDE w:val="0"/>
        <w:autoSpaceDN w:val="0"/>
        <w:adjustRightInd w:val="0"/>
        <w:spacing w:after="0"/>
        <w:rPr>
          <w:szCs w:val="20"/>
        </w:rPr>
      </w:pPr>
      <w:r w:rsidRPr="00575A61">
        <w:rPr>
          <w:szCs w:val="20"/>
        </w:rPr>
        <w:t>revoke the certificate.</w:t>
      </w:r>
    </w:p>
    <w:p w14:paraId="55A40BE9" w14:textId="77777777" w:rsidR="00AF5828" w:rsidRPr="00D80880" w:rsidRDefault="00AF5828" w:rsidP="00AF5828">
      <w:pPr>
        <w:widowControl w:val="0"/>
        <w:autoSpaceDE w:val="0"/>
        <w:autoSpaceDN w:val="0"/>
        <w:adjustRightInd w:val="0"/>
        <w:spacing w:after="0"/>
        <w:rPr>
          <w:szCs w:val="20"/>
        </w:rPr>
      </w:pPr>
    </w:p>
    <w:p w14:paraId="55A40BEA" w14:textId="4D85E9A8" w:rsidR="00AF5828" w:rsidRPr="00D80880" w:rsidRDefault="00AF5828" w:rsidP="00AF5828">
      <w:pPr>
        <w:widowControl w:val="0"/>
        <w:autoSpaceDE w:val="0"/>
        <w:autoSpaceDN w:val="0"/>
        <w:adjustRightInd w:val="0"/>
        <w:spacing w:after="0"/>
        <w:ind w:left="709" w:hanging="709"/>
        <w:rPr>
          <w:szCs w:val="20"/>
        </w:rPr>
      </w:pPr>
      <w:r w:rsidRPr="00D80880">
        <w:rPr>
          <w:szCs w:val="20"/>
        </w:rPr>
        <w:t>2.6</w:t>
      </w:r>
      <w:r w:rsidRPr="00D80880">
        <w:rPr>
          <w:szCs w:val="20"/>
        </w:rPr>
        <w:tab/>
      </w:r>
      <w:r w:rsidR="003B13FF" w:rsidRPr="00D80880">
        <w:rPr>
          <w:szCs w:val="20"/>
        </w:rPr>
        <w:t>Subsection 168.6</w:t>
      </w:r>
      <w:r w:rsidRPr="00D80880">
        <w:rPr>
          <w:szCs w:val="20"/>
        </w:rPr>
        <w:t>(4) of the Act states that if a certificate of property use contains a provision requiring the owner of property to refrain from using the property for a specified use or from constructing a specified building on the property,</w:t>
      </w:r>
    </w:p>
    <w:p w14:paraId="55A40BEB" w14:textId="77777777" w:rsidR="00AF5828" w:rsidRPr="00575A61" w:rsidRDefault="00AF5828" w:rsidP="00C91A86">
      <w:pPr>
        <w:pStyle w:val="ListParagraph"/>
        <w:widowControl w:val="0"/>
        <w:numPr>
          <w:ilvl w:val="0"/>
          <w:numId w:val="11"/>
        </w:numPr>
        <w:autoSpaceDE w:val="0"/>
        <w:autoSpaceDN w:val="0"/>
        <w:adjustRightInd w:val="0"/>
        <w:spacing w:after="0"/>
        <w:rPr>
          <w:szCs w:val="20"/>
        </w:rPr>
      </w:pPr>
      <w:r w:rsidRPr="00575A61">
        <w:rPr>
          <w:szCs w:val="20"/>
        </w:rPr>
        <w:t>the owner of the property shall ensure that a copy of the provision is given to every occupant of the property;</w:t>
      </w:r>
    </w:p>
    <w:p w14:paraId="55A40BEC" w14:textId="77777777" w:rsidR="00AF5828" w:rsidRPr="00575A61" w:rsidRDefault="00AF5828" w:rsidP="00C91A86">
      <w:pPr>
        <w:pStyle w:val="ListParagraph"/>
        <w:widowControl w:val="0"/>
        <w:numPr>
          <w:ilvl w:val="0"/>
          <w:numId w:val="11"/>
        </w:numPr>
        <w:autoSpaceDE w:val="0"/>
        <w:autoSpaceDN w:val="0"/>
        <w:adjustRightInd w:val="0"/>
        <w:spacing w:after="0"/>
        <w:rPr>
          <w:szCs w:val="20"/>
        </w:rPr>
      </w:pPr>
      <w:r w:rsidRPr="00575A61">
        <w:rPr>
          <w:szCs w:val="20"/>
        </w:rPr>
        <w:t>the provision applies, with necessary modifications, to every occupant of the property who receives a copy of the provision; and</w:t>
      </w:r>
    </w:p>
    <w:p w14:paraId="55A40BED" w14:textId="77777777" w:rsidR="00AF5828" w:rsidRPr="00575A61" w:rsidRDefault="00AF5828" w:rsidP="00C91A86">
      <w:pPr>
        <w:pStyle w:val="ListParagraph"/>
        <w:widowControl w:val="0"/>
        <w:numPr>
          <w:ilvl w:val="0"/>
          <w:numId w:val="11"/>
        </w:numPr>
        <w:autoSpaceDE w:val="0"/>
        <w:autoSpaceDN w:val="0"/>
        <w:adjustRightInd w:val="0"/>
        <w:spacing w:after="0"/>
        <w:rPr>
          <w:szCs w:val="20"/>
        </w:rPr>
      </w:pPr>
      <w:r w:rsidRPr="00575A61">
        <w:rPr>
          <w:szCs w:val="20"/>
        </w:rPr>
        <w:t>the owner of the property shall ensure that every occupant of the property complies with the provision.</w:t>
      </w:r>
    </w:p>
    <w:p w14:paraId="55A40BEE" w14:textId="77777777" w:rsidR="00AF5828" w:rsidRPr="00D80880" w:rsidRDefault="00AF5828" w:rsidP="00AF5828">
      <w:pPr>
        <w:widowControl w:val="0"/>
        <w:autoSpaceDE w:val="0"/>
        <w:autoSpaceDN w:val="0"/>
        <w:adjustRightInd w:val="0"/>
        <w:spacing w:after="0"/>
        <w:rPr>
          <w:szCs w:val="20"/>
        </w:rPr>
      </w:pPr>
    </w:p>
    <w:p w14:paraId="55A40BEF" w14:textId="77777777" w:rsidR="00AF5828" w:rsidRPr="00D80880" w:rsidRDefault="00AF5828" w:rsidP="00AF5828">
      <w:pPr>
        <w:widowControl w:val="0"/>
        <w:autoSpaceDE w:val="0"/>
        <w:autoSpaceDN w:val="0"/>
        <w:adjustRightInd w:val="0"/>
        <w:spacing w:after="0"/>
        <w:ind w:left="709" w:hanging="709"/>
        <w:rPr>
          <w:szCs w:val="20"/>
        </w:rPr>
      </w:pPr>
      <w:r w:rsidRPr="00D80880">
        <w:rPr>
          <w:szCs w:val="20"/>
        </w:rPr>
        <w:t xml:space="preserve">2.7 </w:t>
      </w:r>
      <w:r w:rsidRPr="00D80880">
        <w:rPr>
          <w:szCs w:val="20"/>
        </w:rPr>
        <w:tab/>
        <w:t>Subsection 197(1) of the Act states that a person who has authority under the Act to make an order or decision affecting real property also has authority to make an order requiring any person with an interest in the property, before dealing with the property in any way, to give a copy of the order or decision affecting the property to every person who will acquire an interest in the property as a result of the dealing.</w:t>
      </w:r>
    </w:p>
    <w:p w14:paraId="55A40BF0" w14:textId="77777777" w:rsidR="00AF5828" w:rsidRPr="00D80880" w:rsidRDefault="00AF5828" w:rsidP="00AF5828">
      <w:pPr>
        <w:widowControl w:val="0"/>
        <w:autoSpaceDE w:val="0"/>
        <w:autoSpaceDN w:val="0"/>
        <w:adjustRightInd w:val="0"/>
        <w:spacing w:after="0"/>
        <w:rPr>
          <w:szCs w:val="20"/>
        </w:rPr>
      </w:pPr>
    </w:p>
    <w:p w14:paraId="55A40BF1" w14:textId="77777777" w:rsidR="00AF5828" w:rsidRPr="00D80880" w:rsidRDefault="00AF5828" w:rsidP="00AF5828">
      <w:pPr>
        <w:widowControl w:val="0"/>
        <w:autoSpaceDE w:val="0"/>
        <w:autoSpaceDN w:val="0"/>
        <w:adjustRightInd w:val="0"/>
        <w:spacing w:after="0"/>
        <w:ind w:left="709" w:hanging="709"/>
        <w:rPr>
          <w:szCs w:val="20"/>
        </w:rPr>
      </w:pPr>
      <w:r w:rsidRPr="00D80880">
        <w:rPr>
          <w:szCs w:val="20"/>
        </w:rPr>
        <w:t>2.8</w:t>
      </w:r>
      <w:r w:rsidRPr="00D80880">
        <w:rPr>
          <w:szCs w:val="20"/>
        </w:rPr>
        <w:tab/>
        <w:t>Subsection 197(2) of the Act states that a certificate setting out a requirement imposed under subsection 197(1) may be registered in the proper land registry office on the title of the real property to which the requirement relates, if the certificate is in a form approved by the Minister, is signed or authorized by a person who has authority to make orders imposing requirements under subsection 197(1) and is accompanied by a registrable description of the property.</w:t>
      </w:r>
    </w:p>
    <w:p w14:paraId="55A40BF2" w14:textId="77777777" w:rsidR="00AF5828" w:rsidRPr="00D80880" w:rsidRDefault="00AF5828" w:rsidP="00AF5828">
      <w:pPr>
        <w:widowControl w:val="0"/>
        <w:autoSpaceDE w:val="0"/>
        <w:autoSpaceDN w:val="0"/>
        <w:adjustRightInd w:val="0"/>
        <w:spacing w:after="0"/>
        <w:rPr>
          <w:szCs w:val="20"/>
        </w:rPr>
      </w:pPr>
    </w:p>
    <w:p w14:paraId="55A40BF3" w14:textId="77777777" w:rsidR="00AF5828" w:rsidRPr="00D80880" w:rsidRDefault="00AF5828" w:rsidP="00AF5828">
      <w:pPr>
        <w:widowControl w:val="0"/>
        <w:autoSpaceDE w:val="0"/>
        <w:autoSpaceDN w:val="0"/>
        <w:adjustRightInd w:val="0"/>
        <w:spacing w:after="0"/>
        <w:ind w:left="709" w:hanging="709"/>
        <w:rPr>
          <w:szCs w:val="20"/>
        </w:rPr>
      </w:pPr>
      <w:r w:rsidRPr="00D80880">
        <w:rPr>
          <w:szCs w:val="20"/>
        </w:rPr>
        <w:t>2.9</w:t>
      </w:r>
      <w:r w:rsidRPr="00D80880">
        <w:rPr>
          <w:szCs w:val="20"/>
        </w:rPr>
        <w:tab/>
        <w:t>Subsection 197(3) of the Act states that a requirement, imposed under subsection 197(1) that is set out in a certificate registered under subsection 197(2) is, from the time of registration, deemed to be directed to each person who subsequently acquires an interest in the real property.</w:t>
      </w:r>
    </w:p>
    <w:p w14:paraId="55A40BF4" w14:textId="77777777" w:rsidR="00AF5828" w:rsidRPr="00D80880" w:rsidRDefault="00AF5828" w:rsidP="00AF5828">
      <w:pPr>
        <w:widowControl w:val="0"/>
        <w:autoSpaceDE w:val="0"/>
        <w:autoSpaceDN w:val="0"/>
        <w:adjustRightInd w:val="0"/>
        <w:spacing w:after="0"/>
        <w:rPr>
          <w:szCs w:val="20"/>
        </w:rPr>
      </w:pPr>
    </w:p>
    <w:p w14:paraId="55A40BF5" w14:textId="77777777" w:rsidR="00AF5828" w:rsidRDefault="00AF5828" w:rsidP="00AF5828">
      <w:pPr>
        <w:widowControl w:val="0"/>
        <w:autoSpaceDE w:val="0"/>
        <w:autoSpaceDN w:val="0"/>
        <w:adjustRightInd w:val="0"/>
        <w:spacing w:after="0"/>
        <w:ind w:left="709" w:hanging="709"/>
        <w:rPr>
          <w:szCs w:val="20"/>
        </w:rPr>
      </w:pPr>
      <w:r w:rsidRPr="00D80880">
        <w:rPr>
          <w:szCs w:val="20"/>
        </w:rPr>
        <w:t>2.10</w:t>
      </w:r>
      <w:r w:rsidRPr="00D80880">
        <w:rPr>
          <w:szCs w:val="20"/>
        </w:rPr>
        <w:tab/>
        <w:t xml:space="preserve">Subsection 197(4) of the Act states that a dealing with real property by a person who is subject to a requirement imposed under subsection 197(1) or 197(3) is voidable at the instance of a person who was not given the copy of the order or decision in accordance with the requirement. </w:t>
      </w:r>
    </w:p>
    <w:p w14:paraId="55A40BF7" w14:textId="77777777" w:rsidR="00AF5828" w:rsidRPr="00D9497C" w:rsidRDefault="00AF5828" w:rsidP="000C2813">
      <w:pPr>
        <w:pStyle w:val="Heading1"/>
      </w:pPr>
      <w:r w:rsidRPr="00D9497C">
        <w:t>Part 3: Background</w:t>
      </w:r>
    </w:p>
    <w:p w14:paraId="55A40BF8" w14:textId="6AA6379A" w:rsidR="00AF5828" w:rsidRPr="00D80880" w:rsidRDefault="00AF5828" w:rsidP="00AF5828">
      <w:pPr>
        <w:autoSpaceDE w:val="0"/>
        <w:autoSpaceDN w:val="0"/>
        <w:adjustRightInd w:val="0"/>
        <w:spacing w:after="0"/>
        <w:ind w:left="709" w:hanging="709"/>
        <w:rPr>
          <w:b/>
          <w:bCs/>
          <w:i/>
          <w:iCs/>
          <w:szCs w:val="20"/>
        </w:rPr>
      </w:pPr>
      <w:r>
        <w:rPr>
          <w:szCs w:val="20"/>
        </w:rPr>
        <w:t>3.1</w:t>
      </w:r>
      <w:r>
        <w:rPr>
          <w:szCs w:val="20"/>
        </w:rPr>
        <w:tab/>
      </w:r>
      <w:r w:rsidRPr="00D80880">
        <w:rPr>
          <w:szCs w:val="20"/>
        </w:rPr>
        <w:t>The Risk Assessment was undertaken for the Property on behalf of the Owner to assess the human health risks and ecological risks associated with the presence or discharge of Contaminants on, in or under the Property and to identify appropriate Risk Management Measures to be implemented to ensure that the Property is suitable for the intended use: “</w:t>
      </w:r>
      <w:r w:rsidR="00131C9E">
        <w:rPr>
          <w:szCs w:val="20"/>
        </w:rPr>
        <w:t>residential use</w:t>
      </w:r>
      <w:r>
        <w:rPr>
          <w:szCs w:val="20"/>
        </w:rPr>
        <w:t>”</w:t>
      </w:r>
      <w:r w:rsidR="004E7338">
        <w:rPr>
          <w:szCs w:val="20"/>
        </w:rPr>
        <w:t xml:space="preserve"> </w:t>
      </w:r>
      <w:r w:rsidRPr="00D80880">
        <w:rPr>
          <w:szCs w:val="20"/>
        </w:rPr>
        <w:t>as defined in O. Reg. 153/04</w:t>
      </w:r>
      <w:r w:rsidRPr="00D80880">
        <w:rPr>
          <w:b/>
          <w:bCs/>
          <w:i/>
          <w:iCs/>
          <w:szCs w:val="20"/>
        </w:rPr>
        <w:t>.</w:t>
      </w:r>
    </w:p>
    <w:p w14:paraId="55A40BF9" w14:textId="77777777" w:rsidR="00AF5828" w:rsidRPr="00D80880" w:rsidRDefault="00AF5828" w:rsidP="00AF5828">
      <w:pPr>
        <w:autoSpaceDE w:val="0"/>
        <w:autoSpaceDN w:val="0"/>
        <w:adjustRightInd w:val="0"/>
        <w:spacing w:after="0"/>
        <w:rPr>
          <w:b/>
          <w:bCs/>
          <w:i/>
          <w:iCs/>
          <w:szCs w:val="20"/>
        </w:rPr>
      </w:pPr>
    </w:p>
    <w:p w14:paraId="55A40BFA" w14:textId="18C2BA74" w:rsidR="00AF5828" w:rsidRPr="00D80880" w:rsidRDefault="00AF5828" w:rsidP="00304851">
      <w:pPr>
        <w:autoSpaceDE w:val="0"/>
        <w:autoSpaceDN w:val="0"/>
        <w:adjustRightInd w:val="0"/>
        <w:spacing w:after="0"/>
        <w:ind w:left="709" w:hanging="709"/>
        <w:rPr>
          <w:szCs w:val="20"/>
        </w:rPr>
      </w:pPr>
      <w:r w:rsidRPr="00D80880">
        <w:rPr>
          <w:szCs w:val="20"/>
        </w:rPr>
        <w:t>3.2</w:t>
      </w:r>
      <w:r w:rsidRPr="00D80880">
        <w:rPr>
          <w:szCs w:val="20"/>
        </w:rPr>
        <w:tab/>
        <w:t xml:space="preserve">The Contaminants on, in or under the Property that are present above the </w:t>
      </w:r>
      <w:r w:rsidR="00AE7E95">
        <w:rPr>
          <w:szCs w:val="20"/>
        </w:rPr>
        <w:t>Residential/</w:t>
      </w:r>
      <w:r w:rsidR="00722806">
        <w:rPr>
          <w:szCs w:val="20"/>
        </w:rPr>
        <w:t xml:space="preserve"> </w:t>
      </w:r>
      <w:r w:rsidR="00AE7E95">
        <w:rPr>
          <w:szCs w:val="20"/>
        </w:rPr>
        <w:t>Parkland/Institutional</w:t>
      </w:r>
      <w:r w:rsidR="00EF1741">
        <w:rPr>
          <w:szCs w:val="20"/>
        </w:rPr>
        <w:t xml:space="preserve"> </w:t>
      </w:r>
      <w:r w:rsidRPr="00F70577">
        <w:rPr>
          <w:szCs w:val="20"/>
        </w:rPr>
        <w:t xml:space="preserve">Property Use Standards within </w:t>
      </w:r>
      <w:r w:rsidRPr="00F70577">
        <w:rPr>
          <w:b/>
          <w:szCs w:val="20"/>
        </w:rPr>
        <w:t xml:space="preserve">Table </w:t>
      </w:r>
      <w:r w:rsidR="00D8053C">
        <w:rPr>
          <w:b/>
          <w:szCs w:val="20"/>
        </w:rPr>
        <w:t>3</w:t>
      </w:r>
      <w:r w:rsidR="00AE7E95">
        <w:rPr>
          <w:b/>
          <w:szCs w:val="20"/>
        </w:rPr>
        <w:t xml:space="preserve"> </w:t>
      </w:r>
      <w:r w:rsidR="00AE7E95" w:rsidRPr="00AE7E95">
        <w:rPr>
          <w:szCs w:val="20"/>
        </w:rPr>
        <w:t>(and</w:t>
      </w:r>
      <w:r w:rsidR="00AE7E95">
        <w:rPr>
          <w:b/>
          <w:szCs w:val="20"/>
        </w:rPr>
        <w:t xml:space="preserve"> Table 7 </w:t>
      </w:r>
      <w:r w:rsidR="00AE7E95" w:rsidRPr="00AE7E95">
        <w:rPr>
          <w:szCs w:val="20"/>
        </w:rPr>
        <w:t>for volatiles in groundwater)</w:t>
      </w:r>
      <w:r w:rsidRPr="00D80880">
        <w:rPr>
          <w:szCs w:val="20"/>
        </w:rPr>
        <w:t xml:space="preserve"> of the </w:t>
      </w:r>
      <w:r w:rsidRPr="00D80880">
        <w:rPr>
          <w:b/>
          <w:bCs/>
          <w:i/>
          <w:iCs/>
          <w:szCs w:val="20"/>
        </w:rPr>
        <w:t xml:space="preserve">Soil, Ground water and Sediment Standards for Use under Part XV.1 of the Act </w:t>
      </w:r>
      <w:r w:rsidRPr="00D80880">
        <w:rPr>
          <w:bCs/>
          <w:iCs/>
          <w:szCs w:val="20"/>
        </w:rPr>
        <w:t>published by the Ministry and dated April 15,</w:t>
      </w:r>
      <w:r w:rsidR="00C91A86">
        <w:rPr>
          <w:bCs/>
          <w:iCs/>
          <w:szCs w:val="20"/>
        </w:rPr>
        <w:t xml:space="preserve"> 2011</w:t>
      </w:r>
      <w:r w:rsidR="0073710A">
        <w:rPr>
          <w:bCs/>
          <w:iCs/>
          <w:szCs w:val="20"/>
        </w:rPr>
        <w:t xml:space="preserve"> for </w:t>
      </w:r>
      <w:r w:rsidR="007F3AED">
        <w:rPr>
          <w:bCs/>
          <w:iCs/>
          <w:szCs w:val="20"/>
        </w:rPr>
        <w:t>coarse</w:t>
      </w:r>
      <w:r w:rsidR="0073710A">
        <w:rPr>
          <w:bCs/>
          <w:iCs/>
          <w:szCs w:val="20"/>
        </w:rPr>
        <w:t xml:space="preserve"> textured soil</w:t>
      </w:r>
      <w:r w:rsidR="008C4D57">
        <w:rPr>
          <w:bCs/>
          <w:iCs/>
          <w:szCs w:val="20"/>
        </w:rPr>
        <w:t>s</w:t>
      </w:r>
      <w:r w:rsidRPr="00D80880">
        <w:rPr>
          <w:bCs/>
          <w:iCs/>
          <w:szCs w:val="20"/>
        </w:rPr>
        <w:t xml:space="preserve"> </w:t>
      </w:r>
      <w:r w:rsidRPr="007C18F6">
        <w:t xml:space="preserve">or for which there are no such standards are </w:t>
      </w:r>
      <w:r w:rsidRPr="00D80880">
        <w:rPr>
          <w:szCs w:val="20"/>
        </w:rPr>
        <w:t>defined as</w:t>
      </w:r>
      <w:r w:rsidRPr="007C18F6">
        <w:t xml:space="preserve"> the Contaminants of Concern</w:t>
      </w:r>
      <w:r w:rsidRPr="00D80880">
        <w:rPr>
          <w:szCs w:val="20"/>
        </w:rPr>
        <w:t>.</w:t>
      </w:r>
      <w:r w:rsidRPr="007C18F6">
        <w:t xml:space="preserve">  The Property Specific Standards for </w:t>
      </w:r>
      <w:r w:rsidRPr="00D80880">
        <w:rPr>
          <w:szCs w:val="20"/>
        </w:rPr>
        <w:t>the Contaminants of Concern are set out in Schedule “</w:t>
      </w:r>
      <w:r>
        <w:rPr>
          <w:szCs w:val="20"/>
        </w:rPr>
        <w:t>A”</w:t>
      </w:r>
      <w:r w:rsidR="005F1D98">
        <w:rPr>
          <w:szCs w:val="20"/>
        </w:rPr>
        <w:t xml:space="preserve">, </w:t>
      </w:r>
      <w:r w:rsidR="00D90730">
        <w:rPr>
          <w:szCs w:val="20"/>
        </w:rPr>
        <w:t>groundwater trigg</w:t>
      </w:r>
      <w:r w:rsidR="005F1D98">
        <w:rPr>
          <w:szCs w:val="20"/>
        </w:rPr>
        <w:t xml:space="preserve">er levels are set out in Schedule ‘B’ </w:t>
      </w:r>
      <w:r w:rsidRPr="00D80880">
        <w:rPr>
          <w:szCs w:val="20"/>
        </w:rPr>
        <w:t xml:space="preserve">attached </w:t>
      </w:r>
      <w:r w:rsidR="00FA20D7">
        <w:rPr>
          <w:szCs w:val="20"/>
        </w:rPr>
        <w:t xml:space="preserve">to and forming part of the CPU </w:t>
      </w:r>
      <w:r w:rsidR="00332036">
        <w:rPr>
          <w:szCs w:val="20"/>
        </w:rPr>
        <w:t>and the</w:t>
      </w:r>
      <w:r w:rsidRPr="00D80880">
        <w:rPr>
          <w:szCs w:val="20"/>
        </w:rPr>
        <w:t xml:space="preserve"> following figures: </w:t>
      </w:r>
    </w:p>
    <w:p w14:paraId="55A40BFB" w14:textId="4FD16B80" w:rsidR="00FA2C59" w:rsidRPr="00FA2C59" w:rsidRDefault="00FA2C59" w:rsidP="00C91A86">
      <w:pPr>
        <w:pStyle w:val="ListParagraph"/>
        <w:numPr>
          <w:ilvl w:val="0"/>
          <w:numId w:val="20"/>
        </w:numPr>
        <w:autoSpaceDE w:val="0"/>
        <w:autoSpaceDN w:val="0"/>
        <w:adjustRightInd w:val="0"/>
        <w:spacing w:after="0"/>
        <w:rPr>
          <w:szCs w:val="20"/>
        </w:rPr>
      </w:pPr>
      <w:r w:rsidRPr="00FA2C59">
        <w:rPr>
          <w:szCs w:val="20"/>
        </w:rPr>
        <w:t xml:space="preserve">Plan </w:t>
      </w:r>
      <w:r w:rsidR="000B68E2">
        <w:rPr>
          <w:szCs w:val="20"/>
        </w:rPr>
        <w:t>of Survey</w:t>
      </w:r>
      <w:r w:rsidR="00D90730">
        <w:rPr>
          <w:szCs w:val="20"/>
        </w:rPr>
        <w:t>;</w:t>
      </w:r>
      <w:r w:rsidRPr="00FA2C59">
        <w:rPr>
          <w:szCs w:val="20"/>
        </w:rPr>
        <w:t xml:space="preserve"> and</w:t>
      </w:r>
    </w:p>
    <w:p w14:paraId="55A40BFC" w14:textId="11BFF64B" w:rsidR="00FA2C59" w:rsidRPr="00FA2C59" w:rsidRDefault="003D5CB3" w:rsidP="00C91A86">
      <w:pPr>
        <w:pStyle w:val="ListParagraph"/>
        <w:numPr>
          <w:ilvl w:val="0"/>
          <w:numId w:val="20"/>
        </w:numPr>
        <w:autoSpaceDE w:val="0"/>
        <w:autoSpaceDN w:val="0"/>
        <w:adjustRightInd w:val="0"/>
        <w:spacing w:after="0"/>
        <w:rPr>
          <w:szCs w:val="20"/>
        </w:rPr>
      </w:pPr>
      <w:r>
        <w:rPr>
          <w:szCs w:val="20"/>
        </w:rPr>
        <w:t xml:space="preserve">Figures </w:t>
      </w:r>
      <w:r w:rsidR="00D312D9">
        <w:rPr>
          <w:szCs w:val="20"/>
        </w:rPr>
        <w:t>XIII-1, XIII-2 and XIII-3</w:t>
      </w:r>
      <w:r w:rsidR="00AA7D1E">
        <w:rPr>
          <w:szCs w:val="20"/>
        </w:rPr>
        <w:t>.</w:t>
      </w:r>
    </w:p>
    <w:p w14:paraId="55A40BFD" w14:textId="77777777" w:rsidR="00AF5828" w:rsidRPr="00D80880" w:rsidRDefault="00AF5828" w:rsidP="00AF5828">
      <w:pPr>
        <w:autoSpaceDE w:val="0"/>
        <w:autoSpaceDN w:val="0"/>
        <w:adjustRightInd w:val="0"/>
        <w:spacing w:after="0"/>
        <w:rPr>
          <w:szCs w:val="20"/>
        </w:rPr>
      </w:pPr>
    </w:p>
    <w:p w14:paraId="55A40BFE" w14:textId="77777777" w:rsidR="00AF5828" w:rsidRPr="00D714D9" w:rsidRDefault="00AF5828" w:rsidP="00C91A86">
      <w:pPr>
        <w:numPr>
          <w:ilvl w:val="1"/>
          <w:numId w:val="8"/>
        </w:numPr>
        <w:tabs>
          <w:tab w:val="left" w:pos="709"/>
        </w:tabs>
        <w:autoSpaceDE w:val="0"/>
        <w:autoSpaceDN w:val="0"/>
        <w:adjustRightInd w:val="0"/>
        <w:spacing w:after="0" w:line="240" w:lineRule="auto"/>
        <w:ind w:left="709" w:hanging="709"/>
        <w:rPr>
          <w:szCs w:val="20"/>
        </w:rPr>
      </w:pPr>
      <w:r w:rsidRPr="00D714D9">
        <w:rPr>
          <w:szCs w:val="20"/>
        </w:rPr>
        <w:t>I am of the opinion, for the reasons set out in the Risk Assessment that the Risk Management Measures described therein and outlined in Part 4 of the CPU are necessary to prevent, eliminate or ameliorate an Adverse Effect on the Property.</w:t>
      </w:r>
    </w:p>
    <w:p w14:paraId="55A40BFF" w14:textId="77777777" w:rsidR="00B935AD" w:rsidRDefault="00B935AD" w:rsidP="000C2813">
      <w:pPr>
        <w:pStyle w:val="Heading1"/>
      </w:pPr>
      <w:r>
        <w:t>Part 4: Director Requirements</w:t>
      </w:r>
    </w:p>
    <w:p w14:paraId="55A40C00" w14:textId="77777777" w:rsidR="00AF5828" w:rsidRPr="00D714D9" w:rsidRDefault="00AF5828" w:rsidP="00AF5828">
      <w:pPr>
        <w:spacing w:after="0"/>
        <w:rPr>
          <w:szCs w:val="20"/>
        </w:rPr>
      </w:pPr>
      <w:r w:rsidRPr="00D714D9">
        <w:rPr>
          <w:szCs w:val="20"/>
        </w:rPr>
        <w:t>Pursuant to the authority vested in me under section 168.6(1) of the Act, I hereby require the Owner to do or cause to be done the following:</w:t>
      </w:r>
    </w:p>
    <w:p w14:paraId="55A40C01" w14:textId="77777777" w:rsidR="00AF5828" w:rsidRPr="00D714D9" w:rsidRDefault="00AF5828" w:rsidP="00AF5828">
      <w:pPr>
        <w:spacing w:after="0"/>
        <w:ind w:left="720"/>
        <w:rPr>
          <w:szCs w:val="20"/>
        </w:rPr>
      </w:pPr>
    </w:p>
    <w:p w14:paraId="55A40C02" w14:textId="77777777" w:rsidR="00AF5828" w:rsidRDefault="00AF5828" w:rsidP="0096441F">
      <w:pPr>
        <w:pStyle w:val="Heading2"/>
        <w:spacing w:line="480" w:lineRule="auto"/>
      </w:pPr>
      <w:r w:rsidRPr="00575A61">
        <w:t>Risk Management Measures</w:t>
      </w:r>
    </w:p>
    <w:p w14:paraId="55A40C03" w14:textId="77777777" w:rsidR="00AF5828" w:rsidRPr="00D714D9" w:rsidRDefault="00AF5828" w:rsidP="00AF5828">
      <w:pPr>
        <w:spacing w:after="0"/>
        <w:ind w:left="720" w:hanging="720"/>
        <w:rPr>
          <w:szCs w:val="20"/>
        </w:rPr>
      </w:pPr>
      <w:r w:rsidRPr="00D714D9">
        <w:rPr>
          <w:szCs w:val="20"/>
        </w:rPr>
        <w:t>4.1</w:t>
      </w:r>
      <w:r w:rsidRPr="00D714D9">
        <w:rPr>
          <w:szCs w:val="20"/>
        </w:rPr>
        <w:tab/>
        <w:t>Implement, and thereafter maintain or cause to be maintained, the Risk Management Measures.</w:t>
      </w:r>
    </w:p>
    <w:p w14:paraId="55A40C04" w14:textId="77777777" w:rsidR="00AF5828" w:rsidRPr="00D714D9" w:rsidRDefault="00AF5828" w:rsidP="00AF5828">
      <w:pPr>
        <w:spacing w:after="0"/>
        <w:ind w:left="720" w:hanging="720"/>
        <w:rPr>
          <w:szCs w:val="20"/>
        </w:rPr>
      </w:pPr>
    </w:p>
    <w:p w14:paraId="6137EBD5" w14:textId="77777777" w:rsidR="00FA57E7" w:rsidRDefault="00AF5828" w:rsidP="00AF5828">
      <w:pPr>
        <w:spacing w:after="0"/>
        <w:ind w:left="720" w:hanging="720"/>
        <w:rPr>
          <w:szCs w:val="20"/>
        </w:rPr>
      </w:pPr>
      <w:r w:rsidRPr="00D714D9">
        <w:rPr>
          <w:szCs w:val="20"/>
        </w:rPr>
        <w:lastRenderedPageBreak/>
        <w:t>4.2</w:t>
      </w:r>
      <w:r w:rsidRPr="00D714D9">
        <w:rPr>
          <w:szCs w:val="20"/>
        </w:rPr>
        <w:tab/>
        <w:t>Without restricting the generality of the foregoing in Item 4.1, carry out or cause to be carried out the following key elements of the Risk Management Measures:</w:t>
      </w:r>
    </w:p>
    <w:p w14:paraId="55A40C05" w14:textId="1A91AA1D" w:rsidR="00AF5828" w:rsidRPr="00D714D9" w:rsidRDefault="00AF5828" w:rsidP="00AF5828">
      <w:pPr>
        <w:spacing w:after="0"/>
        <w:ind w:left="720" w:hanging="720"/>
        <w:rPr>
          <w:szCs w:val="20"/>
        </w:rPr>
      </w:pPr>
      <w:r w:rsidRPr="00D714D9">
        <w:rPr>
          <w:szCs w:val="20"/>
        </w:rPr>
        <w:t xml:space="preserve"> </w:t>
      </w:r>
    </w:p>
    <w:p w14:paraId="56B83B72" w14:textId="5EFCF4E1" w:rsidR="0043319D" w:rsidRPr="007F3AED" w:rsidRDefault="0043319D" w:rsidP="0043319D">
      <w:pPr>
        <w:widowControl w:val="0"/>
        <w:numPr>
          <w:ilvl w:val="0"/>
          <w:numId w:val="16"/>
        </w:numPr>
        <w:tabs>
          <w:tab w:val="left" w:pos="1276"/>
          <w:tab w:val="left" w:pos="2127"/>
          <w:tab w:val="left" w:pos="2694"/>
        </w:tabs>
        <w:autoSpaceDE w:val="0"/>
        <w:autoSpaceDN w:val="0"/>
        <w:adjustRightInd w:val="0"/>
        <w:spacing w:after="0" w:line="240" w:lineRule="auto"/>
        <w:ind w:left="1276" w:hanging="567"/>
      </w:pPr>
      <w:bookmarkStart w:id="2" w:name="OLE_LINK5"/>
      <w:bookmarkStart w:id="3" w:name="OLE_LINK6"/>
      <w:r w:rsidRPr="007F3AED">
        <w:rPr>
          <w:szCs w:val="20"/>
          <w:lang w:val="en-US"/>
        </w:rPr>
        <w:t xml:space="preserve">Refrain from planting any </w:t>
      </w:r>
      <w:r w:rsidR="00353F91">
        <w:rPr>
          <w:szCs w:val="20"/>
          <w:lang w:val="en-US"/>
        </w:rPr>
        <w:t xml:space="preserve">deep rooting </w:t>
      </w:r>
      <w:r w:rsidRPr="007F3AED">
        <w:rPr>
          <w:szCs w:val="20"/>
          <w:lang w:val="en-US"/>
        </w:rPr>
        <w:t>plants</w:t>
      </w:r>
      <w:r w:rsidR="00353F91">
        <w:rPr>
          <w:szCs w:val="20"/>
          <w:lang w:val="en-US"/>
        </w:rPr>
        <w:t xml:space="preserve"> with roots exceeding 1.0 m (i.e. trees and shrubs) on the Property.  </w:t>
      </w:r>
      <w:r w:rsidRPr="007F3AED">
        <w:rPr>
          <w:szCs w:val="20"/>
          <w:lang w:val="en-US"/>
        </w:rPr>
        <w:t xml:space="preserve"> </w:t>
      </w:r>
    </w:p>
    <w:p w14:paraId="656E6226" w14:textId="77777777" w:rsidR="0043319D" w:rsidRDefault="0043319D" w:rsidP="0043319D">
      <w:pPr>
        <w:widowControl w:val="0"/>
        <w:autoSpaceDE w:val="0"/>
        <w:autoSpaceDN w:val="0"/>
        <w:adjustRightInd w:val="0"/>
        <w:spacing w:after="0" w:line="240" w:lineRule="auto"/>
        <w:ind w:left="1211"/>
      </w:pPr>
    </w:p>
    <w:p w14:paraId="55A40C06" w14:textId="16DF3DB3" w:rsidR="00AF5828" w:rsidRDefault="00AF5828" w:rsidP="00160E63">
      <w:pPr>
        <w:widowControl w:val="0"/>
        <w:numPr>
          <w:ilvl w:val="0"/>
          <w:numId w:val="16"/>
        </w:numPr>
        <w:autoSpaceDE w:val="0"/>
        <w:autoSpaceDN w:val="0"/>
        <w:adjustRightInd w:val="0"/>
        <w:spacing w:after="0" w:line="240" w:lineRule="auto"/>
        <w:ind w:hanging="502"/>
      </w:pPr>
      <w:r w:rsidRPr="007C18F6">
        <w:t>The Property shall be covered by a barrier to site soils designed, installed and maintained</w:t>
      </w:r>
      <w:r w:rsidRPr="000830C2">
        <w:rPr>
          <w:szCs w:val="20"/>
        </w:rPr>
        <w:t xml:space="preserve"> in accordance with </w:t>
      </w:r>
      <w:r w:rsidR="009E2B00">
        <w:rPr>
          <w:szCs w:val="20"/>
        </w:rPr>
        <w:t xml:space="preserve">the </w:t>
      </w:r>
      <w:r w:rsidRPr="000830C2">
        <w:rPr>
          <w:szCs w:val="20"/>
        </w:rPr>
        <w:t>Risk Assessment</w:t>
      </w:r>
      <w:r w:rsidRPr="007C18F6">
        <w:t xml:space="preserve"> so as to prevent exposure to the Contaminants of Concern.  </w:t>
      </w:r>
      <w:r w:rsidR="001540C6" w:rsidRPr="001540C6">
        <w:t xml:space="preserve">The barrier to site soils shall consist of a hard cap, </w:t>
      </w:r>
      <w:r w:rsidR="004E7338">
        <w:t>fill</w:t>
      </w:r>
      <w:r w:rsidR="001540C6" w:rsidRPr="001540C6">
        <w:t xml:space="preserve"> cap</w:t>
      </w:r>
      <w:r w:rsidR="004E7338">
        <w:t xml:space="preserve">, </w:t>
      </w:r>
      <w:r w:rsidR="001540C6" w:rsidRPr="001540C6">
        <w:t>and/or fence as specified below:</w:t>
      </w:r>
    </w:p>
    <w:p w14:paraId="27DDD509" w14:textId="00663C02" w:rsidR="00564DC4" w:rsidRDefault="00564DC4" w:rsidP="00B77BA7">
      <w:pPr>
        <w:pStyle w:val="ListParagraph"/>
        <w:numPr>
          <w:ilvl w:val="1"/>
          <w:numId w:val="16"/>
        </w:numPr>
        <w:ind w:left="1843" w:hanging="567"/>
        <w:rPr>
          <w:szCs w:val="20"/>
        </w:rPr>
      </w:pPr>
      <w:r>
        <w:rPr>
          <w:szCs w:val="20"/>
        </w:rPr>
        <w:t>Hard cap</w:t>
      </w:r>
      <w:r w:rsidR="00B77BA7">
        <w:rPr>
          <w:szCs w:val="20"/>
        </w:rPr>
        <w:t>s</w:t>
      </w:r>
      <w:r>
        <w:rPr>
          <w:szCs w:val="20"/>
        </w:rPr>
        <w:t xml:space="preserve"> on the Property for</w:t>
      </w:r>
      <w:r w:rsidR="00B77BA7">
        <w:rPr>
          <w:szCs w:val="20"/>
        </w:rPr>
        <w:t xml:space="preserve"> driveways, walkways, </w:t>
      </w:r>
      <w:r w:rsidR="0003066E">
        <w:rPr>
          <w:szCs w:val="20"/>
        </w:rPr>
        <w:t xml:space="preserve">roads, </w:t>
      </w:r>
      <w:r w:rsidR="00D90730">
        <w:rPr>
          <w:szCs w:val="20"/>
        </w:rPr>
        <w:t>B</w:t>
      </w:r>
      <w:r w:rsidR="00B77BA7">
        <w:rPr>
          <w:szCs w:val="20"/>
        </w:rPr>
        <w:t xml:space="preserve">uilding foundations and </w:t>
      </w:r>
      <w:r>
        <w:rPr>
          <w:szCs w:val="20"/>
        </w:rPr>
        <w:t>floor slabs</w:t>
      </w:r>
      <w:r w:rsidR="00B77BA7">
        <w:rPr>
          <w:szCs w:val="20"/>
        </w:rPr>
        <w:t xml:space="preserve"> </w:t>
      </w:r>
      <w:r>
        <w:rPr>
          <w:szCs w:val="20"/>
        </w:rPr>
        <w:t xml:space="preserve">shall have a minimum depth of </w:t>
      </w:r>
      <w:r w:rsidR="009147BF">
        <w:rPr>
          <w:szCs w:val="20"/>
        </w:rPr>
        <w:t>225</w:t>
      </w:r>
      <w:r w:rsidR="00B77BA7">
        <w:rPr>
          <w:szCs w:val="20"/>
        </w:rPr>
        <w:t xml:space="preserve"> </w:t>
      </w:r>
      <w:r>
        <w:rPr>
          <w:szCs w:val="20"/>
        </w:rPr>
        <w:t xml:space="preserve">mm </w:t>
      </w:r>
      <w:r w:rsidR="00B77BA7" w:rsidRPr="00E00B0E">
        <w:rPr>
          <w:szCs w:val="20"/>
        </w:rPr>
        <w:t>consisting of asphalt</w:t>
      </w:r>
      <w:r w:rsidR="00B77BA7">
        <w:rPr>
          <w:szCs w:val="20"/>
        </w:rPr>
        <w:t xml:space="preserve"> or </w:t>
      </w:r>
      <w:r w:rsidR="00B77BA7" w:rsidRPr="00E00B0E">
        <w:rPr>
          <w:szCs w:val="20"/>
        </w:rPr>
        <w:t>concrete underlain by granular fill</w:t>
      </w:r>
      <w:r w:rsidR="00B77BA7">
        <w:rPr>
          <w:szCs w:val="20"/>
        </w:rPr>
        <w:t xml:space="preserve"> </w:t>
      </w:r>
      <w:r w:rsidR="00B77BA7" w:rsidRPr="00E00B0E">
        <w:rPr>
          <w:szCs w:val="20"/>
        </w:rPr>
        <w:t xml:space="preserve">(as illustrated by figure </w:t>
      </w:r>
      <w:r w:rsidR="009147BF">
        <w:rPr>
          <w:szCs w:val="20"/>
        </w:rPr>
        <w:t>XIII-1</w:t>
      </w:r>
      <w:r w:rsidR="00B77BA7" w:rsidRPr="00E00B0E">
        <w:rPr>
          <w:szCs w:val="20"/>
        </w:rPr>
        <w:t xml:space="preserve"> of the CPU).</w:t>
      </w:r>
    </w:p>
    <w:p w14:paraId="371D135D" w14:textId="68E88FC3" w:rsidR="00353F91" w:rsidRDefault="00353F91" w:rsidP="00F45FD5">
      <w:pPr>
        <w:pStyle w:val="ListParagraph"/>
        <w:numPr>
          <w:ilvl w:val="1"/>
          <w:numId w:val="16"/>
        </w:numPr>
        <w:ind w:left="1843" w:hanging="567"/>
        <w:rPr>
          <w:szCs w:val="20"/>
        </w:rPr>
      </w:pPr>
      <w:r w:rsidRPr="009147BF">
        <w:rPr>
          <w:szCs w:val="20"/>
        </w:rPr>
        <w:t xml:space="preserve">Fill caps on the Property shall be soil meeting the residential/parkland/ institutional within </w:t>
      </w:r>
      <w:r w:rsidRPr="009147BF">
        <w:rPr>
          <w:b/>
          <w:szCs w:val="20"/>
        </w:rPr>
        <w:t xml:space="preserve">Table 3 </w:t>
      </w:r>
      <w:r w:rsidRPr="009147BF">
        <w:rPr>
          <w:szCs w:val="20"/>
        </w:rPr>
        <w:t xml:space="preserve">of the </w:t>
      </w:r>
      <w:r w:rsidRPr="009147BF">
        <w:rPr>
          <w:b/>
          <w:bCs/>
          <w:i/>
          <w:iCs/>
          <w:szCs w:val="20"/>
        </w:rPr>
        <w:t xml:space="preserve">Soil, Ground water and Sediment Standards for Use under Part XV.1 of the Act </w:t>
      </w:r>
      <w:r w:rsidRPr="009147BF">
        <w:rPr>
          <w:bCs/>
          <w:iCs/>
          <w:szCs w:val="20"/>
        </w:rPr>
        <w:t>published by the Ministry and dated April 15, 2011 for coarse textured soils to a minimum depth of 1.0 m</w:t>
      </w:r>
      <w:r w:rsidR="009147BF" w:rsidRPr="009147BF">
        <w:rPr>
          <w:bCs/>
          <w:iCs/>
          <w:szCs w:val="20"/>
        </w:rPr>
        <w:t xml:space="preserve"> </w:t>
      </w:r>
      <w:r w:rsidR="009147BF" w:rsidRPr="009147BF">
        <w:rPr>
          <w:szCs w:val="20"/>
        </w:rPr>
        <w:t>(as illustrated by figure XIII-</w:t>
      </w:r>
      <w:r w:rsidR="009147BF">
        <w:rPr>
          <w:szCs w:val="20"/>
        </w:rPr>
        <w:t>2</w:t>
      </w:r>
      <w:r w:rsidR="009147BF" w:rsidRPr="009147BF">
        <w:rPr>
          <w:szCs w:val="20"/>
        </w:rPr>
        <w:t xml:space="preserve"> of the CPU).</w:t>
      </w:r>
    </w:p>
    <w:p w14:paraId="55A40C09" w14:textId="57923E1F" w:rsidR="001540C6" w:rsidRPr="00697464" w:rsidRDefault="001540C6" w:rsidP="00A13146">
      <w:pPr>
        <w:pStyle w:val="ListParagraph"/>
        <w:numPr>
          <w:ilvl w:val="1"/>
          <w:numId w:val="16"/>
        </w:numPr>
        <w:spacing w:after="0"/>
        <w:ind w:left="1843" w:hanging="524"/>
        <w:rPr>
          <w:szCs w:val="20"/>
        </w:rPr>
      </w:pPr>
      <w:r w:rsidRPr="00697464">
        <w:rPr>
          <w:szCs w:val="20"/>
        </w:rPr>
        <w:t>For portion(s) of the Property, not under development or not in use, these areas shall have a fence barrier to prevent the general public from accessing the site and a dust control plan to prevent surface soil from impacting the adjacent properties</w:t>
      </w:r>
      <w:r w:rsidR="00121AE7" w:rsidRPr="00697464">
        <w:rPr>
          <w:szCs w:val="20"/>
        </w:rPr>
        <w:t>.</w:t>
      </w:r>
    </w:p>
    <w:p w14:paraId="55A40C0A" w14:textId="77777777" w:rsidR="00AF5828" w:rsidRPr="000830C2" w:rsidRDefault="00AF5828" w:rsidP="00B77BA7">
      <w:pPr>
        <w:widowControl w:val="0"/>
        <w:tabs>
          <w:tab w:val="left" w:pos="2127"/>
        </w:tabs>
        <w:autoSpaceDE w:val="0"/>
        <w:autoSpaceDN w:val="0"/>
        <w:adjustRightInd w:val="0"/>
        <w:spacing w:after="0"/>
        <w:ind w:left="1058"/>
        <w:rPr>
          <w:bCs/>
          <w:iCs/>
          <w:szCs w:val="20"/>
        </w:rPr>
      </w:pPr>
    </w:p>
    <w:p w14:paraId="1F5E3B9F" w14:textId="25C35C9A" w:rsidR="00426507" w:rsidRDefault="00AF5828" w:rsidP="00B77BA7">
      <w:pPr>
        <w:pStyle w:val="ListParagraph"/>
        <w:widowControl w:val="0"/>
        <w:numPr>
          <w:ilvl w:val="0"/>
          <w:numId w:val="16"/>
        </w:numPr>
        <w:tabs>
          <w:tab w:val="left" w:pos="1418"/>
        </w:tabs>
        <w:autoSpaceDE w:val="0"/>
        <w:autoSpaceDN w:val="0"/>
        <w:adjustRightInd w:val="0"/>
        <w:spacing w:after="0"/>
        <w:ind w:hanging="502"/>
        <w:rPr>
          <w:szCs w:val="20"/>
        </w:rPr>
      </w:pPr>
      <w:r w:rsidRPr="00575A61">
        <w:rPr>
          <w:szCs w:val="20"/>
        </w:rPr>
        <w:t xml:space="preserve">An inspection and maintenance program shall be prepared and implemented to ensure the continuing integrity of </w:t>
      </w:r>
      <w:r w:rsidR="00A12FF1">
        <w:rPr>
          <w:szCs w:val="20"/>
        </w:rPr>
        <w:t xml:space="preserve">all </w:t>
      </w:r>
      <w:r w:rsidRPr="00575A61">
        <w:rPr>
          <w:szCs w:val="20"/>
        </w:rPr>
        <w:t>barriers to site soils risk management measures (including any</w:t>
      </w:r>
      <w:r w:rsidR="0068232F">
        <w:rPr>
          <w:szCs w:val="20"/>
        </w:rPr>
        <w:t xml:space="preserve"> Storage Garage</w:t>
      </w:r>
      <w:r w:rsidR="00A12FF1">
        <w:rPr>
          <w:szCs w:val="20"/>
        </w:rPr>
        <w:t xml:space="preserve">s, </w:t>
      </w:r>
      <w:r w:rsidR="003B13FF">
        <w:rPr>
          <w:szCs w:val="20"/>
        </w:rPr>
        <w:t>Building foundations</w:t>
      </w:r>
      <w:r w:rsidR="00A12FF1">
        <w:rPr>
          <w:szCs w:val="20"/>
        </w:rPr>
        <w:t xml:space="preserve"> and fence barriers</w:t>
      </w:r>
      <w:r w:rsidRPr="00575A61">
        <w:rPr>
          <w:szCs w:val="20"/>
        </w:rPr>
        <w:t xml:space="preserve">) as long as the Contaminants of Concern are present on the Property.  The inspection program shall include, at a minimum, </w:t>
      </w:r>
      <w:r w:rsidR="008E1A18">
        <w:rPr>
          <w:szCs w:val="20"/>
        </w:rPr>
        <w:t>semi-annual</w:t>
      </w:r>
      <w:r w:rsidRPr="00575A61">
        <w:rPr>
          <w:szCs w:val="20"/>
        </w:rPr>
        <w:t xml:space="preserve"> </w:t>
      </w:r>
      <w:r w:rsidR="001B4531">
        <w:rPr>
          <w:szCs w:val="20"/>
        </w:rPr>
        <w:t xml:space="preserve">(every </w:t>
      </w:r>
      <w:r w:rsidR="008E1A18">
        <w:rPr>
          <w:szCs w:val="20"/>
        </w:rPr>
        <w:t>six</w:t>
      </w:r>
      <w:r w:rsidR="001B4531">
        <w:rPr>
          <w:szCs w:val="20"/>
        </w:rPr>
        <w:t xml:space="preserve"> months</w:t>
      </w:r>
      <w:r w:rsidRPr="00575A61">
        <w:rPr>
          <w:szCs w:val="20"/>
        </w:rPr>
        <w:t>) inspections of the barrier to site soils integrity.  Any barrier to site soils deficiencies shall be repaired forthwith.  Inspection, deficiencies and repairs shall be recorded in a log book maintained by the Owner and made available upon request by a Provincial Officer.</w:t>
      </w:r>
    </w:p>
    <w:p w14:paraId="23DFCFB8" w14:textId="7D21FA6F" w:rsidR="008C4D57" w:rsidRDefault="008C4D57" w:rsidP="00426507">
      <w:pPr>
        <w:pStyle w:val="ListParagraph"/>
        <w:widowControl w:val="0"/>
        <w:tabs>
          <w:tab w:val="left" w:pos="1418"/>
        </w:tabs>
        <w:autoSpaceDE w:val="0"/>
        <w:autoSpaceDN w:val="0"/>
        <w:adjustRightInd w:val="0"/>
        <w:spacing w:after="0"/>
        <w:ind w:left="1211"/>
        <w:rPr>
          <w:szCs w:val="20"/>
        </w:rPr>
      </w:pPr>
      <w:r w:rsidRPr="008C4D57">
        <w:rPr>
          <w:szCs w:val="20"/>
        </w:rPr>
        <w:t xml:space="preserve"> </w:t>
      </w:r>
    </w:p>
    <w:p w14:paraId="55A40C0D" w14:textId="00236A85" w:rsidR="00AF5828" w:rsidRPr="005946D3" w:rsidRDefault="00AF5828" w:rsidP="00160E63">
      <w:pPr>
        <w:widowControl w:val="0"/>
        <w:numPr>
          <w:ilvl w:val="0"/>
          <w:numId w:val="16"/>
        </w:numPr>
        <w:tabs>
          <w:tab w:val="left" w:pos="1418"/>
        </w:tabs>
        <w:autoSpaceDE w:val="0"/>
        <w:autoSpaceDN w:val="0"/>
        <w:adjustRightInd w:val="0"/>
        <w:spacing w:after="0" w:line="240" w:lineRule="auto"/>
        <w:ind w:hanging="502"/>
        <w:rPr>
          <w:szCs w:val="20"/>
        </w:rPr>
      </w:pPr>
      <w:r w:rsidRPr="005946D3">
        <w:rPr>
          <w:szCs w:val="20"/>
        </w:rPr>
        <w:t xml:space="preserve">A </w:t>
      </w:r>
      <w:r w:rsidR="0003066E">
        <w:rPr>
          <w:szCs w:val="20"/>
        </w:rPr>
        <w:t xml:space="preserve">groundwater and </w:t>
      </w:r>
      <w:r w:rsidRPr="005946D3">
        <w:rPr>
          <w:szCs w:val="20"/>
        </w:rPr>
        <w:t>soil management</w:t>
      </w:r>
      <w:r w:rsidR="003F6185">
        <w:rPr>
          <w:szCs w:val="20"/>
        </w:rPr>
        <w:t xml:space="preserve"> </w:t>
      </w:r>
      <w:r w:rsidRPr="005946D3">
        <w:rPr>
          <w:szCs w:val="20"/>
        </w:rPr>
        <w:t xml:space="preserve">plan shall be prepared for the Property and implemented during any activities potentially coming in contact with or exposing site soils.  A copy of the plan shall be kept by the Owner and made available for review by </w:t>
      </w:r>
      <w:r>
        <w:rPr>
          <w:szCs w:val="20"/>
        </w:rPr>
        <w:t>a Provincial Officer</w:t>
      </w:r>
      <w:r w:rsidRPr="005946D3">
        <w:rPr>
          <w:szCs w:val="20"/>
        </w:rPr>
        <w:t xml:space="preserve"> upon request.  Implementation of the plan shall be overseen by a Qualified Person and shall include, but not be limited to, provisions for soils excavation, stockpiling, characterization, disposal and record keeping specified below:</w:t>
      </w:r>
    </w:p>
    <w:p w14:paraId="55A40C0E" w14:textId="6245D59D" w:rsidR="00AF5828" w:rsidRPr="00160E63" w:rsidRDefault="00AF5828" w:rsidP="00B3355B">
      <w:pPr>
        <w:pStyle w:val="ListParagraph"/>
        <w:widowControl w:val="0"/>
        <w:numPr>
          <w:ilvl w:val="2"/>
          <w:numId w:val="16"/>
        </w:numPr>
        <w:autoSpaceDE w:val="0"/>
        <w:autoSpaceDN w:val="0"/>
        <w:adjustRightInd w:val="0"/>
        <w:spacing w:after="0"/>
        <w:ind w:left="1843" w:hanging="567"/>
        <w:rPr>
          <w:szCs w:val="20"/>
        </w:rPr>
      </w:pPr>
      <w:r w:rsidRPr="00160E63">
        <w:rPr>
          <w:szCs w:val="20"/>
        </w:rPr>
        <w:t>Dust control measures and prevention of soil tracking by vehicles and personnel from the Property, which may include wetting of soil with potable water, reduced speeds for on-site vehicles, tire washing stations and restricting working in high wind conditions, as required;</w:t>
      </w:r>
    </w:p>
    <w:p w14:paraId="55A40C0F" w14:textId="77777777" w:rsidR="00AF5828" w:rsidRPr="005946D3" w:rsidRDefault="00AF5828" w:rsidP="007F3AED">
      <w:pPr>
        <w:widowControl w:val="0"/>
        <w:numPr>
          <w:ilvl w:val="2"/>
          <w:numId w:val="16"/>
        </w:numPr>
        <w:tabs>
          <w:tab w:val="left" w:pos="1843"/>
        </w:tabs>
        <w:autoSpaceDE w:val="0"/>
        <w:autoSpaceDN w:val="0"/>
        <w:adjustRightInd w:val="0"/>
        <w:spacing w:after="0" w:line="240" w:lineRule="auto"/>
        <w:ind w:left="1843" w:hanging="567"/>
        <w:rPr>
          <w:szCs w:val="20"/>
        </w:rPr>
      </w:pPr>
      <w:r w:rsidRPr="005946D3">
        <w:rPr>
          <w:szCs w:val="20"/>
        </w:rPr>
        <w:t xml:space="preserve">Management of excavated materials which may include cleaning equipment, placement of materials for stockpiling on designated areas lined and covered with polyethylene sheeting, bermed and fenced to prevent access, runoff control to minimize contact and provisions for discharge to sanitary sewers or </w:t>
      </w:r>
      <w:r w:rsidRPr="005946D3">
        <w:rPr>
          <w:szCs w:val="20"/>
        </w:rPr>
        <w:lastRenderedPageBreak/>
        <w:t>other approved treatment, as required;</w:t>
      </w:r>
    </w:p>
    <w:p w14:paraId="28457C57" w14:textId="2C81CEE1" w:rsidR="00BD5AAA" w:rsidRDefault="00AF5828" w:rsidP="00B3355B">
      <w:pPr>
        <w:pStyle w:val="ListParagraph"/>
        <w:widowControl w:val="0"/>
        <w:numPr>
          <w:ilvl w:val="2"/>
          <w:numId w:val="16"/>
        </w:numPr>
        <w:autoSpaceDE w:val="0"/>
        <w:autoSpaceDN w:val="0"/>
        <w:adjustRightInd w:val="0"/>
        <w:spacing w:after="0"/>
        <w:ind w:left="1843" w:hanging="567"/>
        <w:rPr>
          <w:szCs w:val="20"/>
        </w:rPr>
      </w:pPr>
      <w:r w:rsidRPr="00BD5AAA">
        <w:rPr>
          <w:szCs w:val="20"/>
        </w:rPr>
        <w:t xml:space="preserve">Characterization of excavated soils shall follow the </w:t>
      </w:r>
      <w:r w:rsidR="00881AE3">
        <w:rPr>
          <w:szCs w:val="20"/>
        </w:rPr>
        <w:t xml:space="preserve">soil </w:t>
      </w:r>
      <w:r w:rsidRPr="00BD5AAA">
        <w:rPr>
          <w:szCs w:val="20"/>
        </w:rPr>
        <w:t>sampling strategy in the Risk Assessment.  Excavated soils and materials requiring off-site disposal as a waste shall be disposed of in accordance with the provisions of O. Reg. 347</w:t>
      </w:r>
      <w:r w:rsidR="00BD2024" w:rsidRPr="00BD5AAA">
        <w:rPr>
          <w:szCs w:val="20"/>
        </w:rPr>
        <w:t>/90</w:t>
      </w:r>
      <w:r w:rsidRPr="00BD5AAA">
        <w:rPr>
          <w:szCs w:val="20"/>
        </w:rPr>
        <w:t>, as amended, made under the Act. Excavated soil</w:t>
      </w:r>
      <w:r w:rsidR="00847D89">
        <w:rPr>
          <w:szCs w:val="20"/>
        </w:rPr>
        <w:t>s</w:t>
      </w:r>
      <w:r w:rsidRPr="00BD5AAA">
        <w:rPr>
          <w:szCs w:val="20"/>
        </w:rPr>
        <w:t xml:space="preserve"> meeting the </w:t>
      </w:r>
      <w:r w:rsidR="003F6185">
        <w:rPr>
          <w:szCs w:val="20"/>
        </w:rPr>
        <w:t>PSS</w:t>
      </w:r>
      <w:r w:rsidRPr="00BD5AAA">
        <w:rPr>
          <w:szCs w:val="20"/>
        </w:rPr>
        <w:t xml:space="preserve"> may be placed on-site below the barrier to site soils if deemed suitable by a Qualified Person and in accordance with the Risk Assessment.</w:t>
      </w:r>
      <w:r w:rsidR="007F3AED">
        <w:rPr>
          <w:szCs w:val="20"/>
        </w:rPr>
        <w:t xml:space="preserve">  Excavated soils meeting the </w:t>
      </w:r>
      <w:r w:rsidR="007F3AED" w:rsidRPr="002052CA">
        <w:rPr>
          <w:szCs w:val="20"/>
          <w:lang w:val="en-US"/>
        </w:rPr>
        <w:t>Residential/Parkland/Institutional</w:t>
      </w:r>
      <w:r w:rsidR="007F3AED">
        <w:rPr>
          <w:szCs w:val="20"/>
          <w:lang w:val="en-US"/>
        </w:rPr>
        <w:t xml:space="preserve"> property</w:t>
      </w:r>
      <w:r w:rsidR="007F3AED" w:rsidRPr="002052CA">
        <w:rPr>
          <w:szCs w:val="20"/>
          <w:lang w:val="en-US"/>
        </w:rPr>
        <w:t xml:space="preserve"> </w:t>
      </w:r>
      <w:r w:rsidR="007F3AED">
        <w:rPr>
          <w:szCs w:val="20"/>
          <w:lang w:val="en-US"/>
        </w:rPr>
        <w:t>u</w:t>
      </w:r>
      <w:r w:rsidR="007F3AED" w:rsidRPr="002052CA">
        <w:rPr>
          <w:szCs w:val="20"/>
          <w:lang w:val="en-US"/>
        </w:rPr>
        <w:t>se</w:t>
      </w:r>
      <w:r w:rsidR="007F3AED" w:rsidRPr="002052CA">
        <w:rPr>
          <w:szCs w:val="20"/>
        </w:rPr>
        <w:t xml:space="preserve"> </w:t>
      </w:r>
      <w:r w:rsidR="007F3AED">
        <w:rPr>
          <w:szCs w:val="20"/>
        </w:rPr>
        <w:t>s</w:t>
      </w:r>
      <w:r w:rsidR="007F3AED" w:rsidRPr="002052CA">
        <w:rPr>
          <w:szCs w:val="20"/>
        </w:rPr>
        <w:t xml:space="preserve">tandards within </w:t>
      </w:r>
      <w:r w:rsidR="007F3AED" w:rsidRPr="002052CA">
        <w:rPr>
          <w:b/>
          <w:szCs w:val="20"/>
        </w:rPr>
        <w:t xml:space="preserve">Table </w:t>
      </w:r>
      <w:r w:rsidR="007F3AED">
        <w:rPr>
          <w:b/>
          <w:szCs w:val="20"/>
        </w:rPr>
        <w:t>3</w:t>
      </w:r>
      <w:r w:rsidR="007F3AED" w:rsidRPr="002052CA">
        <w:rPr>
          <w:szCs w:val="20"/>
        </w:rPr>
        <w:t xml:space="preserve"> of the </w:t>
      </w:r>
      <w:r w:rsidR="007F3AED" w:rsidRPr="002052CA">
        <w:rPr>
          <w:b/>
          <w:bCs/>
          <w:i/>
          <w:iCs/>
          <w:szCs w:val="20"/>
        </w:rPr>
        <w:t xml:space="preserve">Soil, Ground Water and Sediment Standards for Use under Part XV.1 of the Act </w:t>
      </w:r>
      <w:r w:rsidR="007F3AED" w:rsidRPr="002052CA">
        <w:rPr>
          <w:bCs/>
          <w:iCs/>
          <w:szCs w:val="20"/>
        </w:rPr>
        <w:t xml:space="preserve">for </w:t>
      </w:r>
      <w:r w:rsidR="007F3AED">
        <w:rPr>
          <w:bCs/>
          <w:iCs/>
          <w:szCs w:val="20"/>
        </w:rPr>
        <w:t>coarse textured</w:t>
      </w:r>
      <w:r w:rsidR="007F3AED" w:rsidRPr="002052CA">
        <w:rPr>
          <w:bCs/>
          <w:iCs/>
          <w:szCs w:val="20"/>
        </w:rPr>
        <w:t xml:space="preserve"> soils published by the Ministry and dated April 15, 2011 </w:t>
      </w:r>
      <w:r w:rsidR="007F3AED">
        <w:rPr>
          <w:bCs/>
          <w:iCs/>
          <w:szCs w:val="20"/>
        </w:rPr>
        <w:t xml:space="preserve">may </w:t>
      </w:r>
      <w:r w:rsidR="007F3AED" w:rsidRPr="002052CA">
        <w:rPr>
          <w:bCs/>
          <w:iCs/>
          <w:szCs w:val="20"/>
        </w:rPr>
        <w:t>be placed</w:t>
      </w:r>
      <w:r w:rsidR="00BD5AAA">
        <w:rPr>
          <w:szCs w:val="20"/>
        </w:rPr>
        <w:t xml:space="preserve"> </w:t>
      </w:r>
      <w:r w:rsidR="007F3AED">
        <w:rPr>
          <w:szCs w:val="20"/>
        </w:rPr>
        <w:t xml:space="preserve">within the barriers to site soils if deemed suitable by a </w:t>
      </w:r>
      <w:r w:rsidR="007F3AED" w:rsidRPr="00BD5AAA">
        <w:rPr>
          <w:szCs w:val="20"/>
        </w:rPr>
        <w:t>by a Qualified Person and in accordance with the Risk Assessment</w:t>
      </w:r>
      <w:r w:rsidR="00BD5AAA">
        <w:rPr>
          <w:szCs w:val="20"/>
        </w:rPr>
        <w:t xml:space="preserve"> </w:t>
      </w:r>
    </w:p>
    <w:p w14:paraId="4D9C9C26" w14:textId="113A8C85" w:rsidR="003F6185" w:rsidRPr="003F6185" w:rsidRDefault="003F6185" w:rsidP="007F3AED">
      <w:pPr>
        <w:widowControl w:val="0"/>
        <w:numPr>
          <w:ilvl w:val="2"/>
          <w:numId w:val="16"/>
        </w:numPr>
        <w:tabs>
          <w:tab w:val="left" w:pos="1843"/>
        </w:tabs>
        <w:autoSpaceDE w:val="0"/>
        <w:autoSpaceDN w:val="0"/>
        <w:adjustRightInd w:val="0"/>
        <w:spacing w:after="0" w:line="240" w:lineRule="auto"/>
        <w:ind w:left="1843" w:hanging="567"/>
        <w:rPr>
          <w:szCs w:val="20"/>
        </w:rPr>
      </w:pPr>
      <w:r w:rsidRPr="002052CA">
        <w:rPr>
          <w:szCs w:val="20"/>
        </w:rPr>
        <w:t xml:space="preserve">Soils brought to the Property shall follow the soil sampling strategy in the Risk Assessment and only soils meeting the </w:t>
      </w:r>
      <w:r w:rsidRPr="002052CA">
        <w:rPr>
          <w:szCs w:val="20"/>
          <w:lang w:val="en-US"/>
        </w:rPr>
        <w:t>Residential/Parkland/</w:t>
      </w:r>
      <w:r w:rsidR="007F3AED">
        <w:rPr>
          <w:szCs w:val="20"/>
          <w:lang w:val="en-US"/>
        </w:rPr>
        <w:t xml:space="preserve"> </w:t>
      </w:r>
      <w:r w:rsidRPr="002052CA">
        <w:rPr>
          <w:szCs w:val="20"/>
          <w:lang w:val="en-US"/>
        </w:rPr>
        <w:t>Institutional</w:t>
      </w:r>
      <w:r>
        <w:rPr>
          <w:szCs w:val="20"/>
          <w:lang w:val="en-US"/>
        </w:rPr>
        <w:t xml:space="preserve"> property</w:t>
      </w:r>
      <w:r w:rsidRPr="002052CA">
        <w:rPr>
          <w:szCs w:val="20"/>
          <w:lang w:val="en-US"/>
        </w:rPr>
        <w:t xml:space="preserve"> </w:t>
      </w:r>
      <w:r>
        <w:rPr>
          <w:szCs w:val="20"/>
          <w:lang w:val="en-US"/>
        </w:rPr>
        <w:t>u</w:t>
      </w:r>
      <w:r w:rsidRPr="002052CA">
        <w:rPr>
          <w:szCs w:val="20"/>
          <w:lang w:val="en-US"/>
        </w:rPr>
        <w:t>se</w:t>
      </w:r>
      <w:r w:rsidRPr="002052CA">
        <w:rPr>
          <w:szCs w:val="20"/>
        </w:rPr>
        <w:t xml:space="preserve"> </w:t>
      </w:r>
      <w:r>
        <w:rPr>
          <w:szCs w:val="20"/>
        </w:rPr>
        <w:t>s</w:t>
      </w:r>
      <w:r w:rsidRPr="002052CA">
        <w:rPr>
          <w:szCs w:val="20"/>
        </w:rPr>
        <w:t xml:space="preserve">tandards within </w:t>
      </w:r>
      <w:r w:rsidRPr="002052CA">
        <w:rPr>
          <w:b/>
          <w:szCs w:val="20"/>
        </w:rPr>
        <w:t xml:space="preserve">Table </w:t>
      </w:r>
      <w:r>
        <w:rPr>
          <w:b/>
          <w:szCs w:val="20"/>
        </w:rPr>
        <w:t>3</w:t>
      </w:r>
      <w:r w:rsidRPr="002052CA">
        <w:rPr>
          <w:szCs w:val="20"/>
        </w:rPr>
        <w:t xml:space="preserve"> of the </w:t>
      </w:r>
      <w:r w:rsidRPr="002052CA">
        <w:rPr>
          <w:b/>
          <w:bCs/>
          <w:i/>
          <w:iCs/>
          <w:szCs w:val="20"/>
        </w:rPr>
        <w:t xml:space="preserve">Soil, Ground Water and Sediment Standards for Use under Part XV.1 of the Act </w:t>
      </w:r>
      <w:r w:rsidRPr="002052CA">
        <w:rPr>
          <w:bCs/>
          <w:iCs/>
          <w:szCs w:val="20"/>
        </w:rPr>
        <w:t xml:space="preserve">for </w:t>
      </w:r>
      <w:r w:rsidR="007F3AED">
        <w:rPr>
          <w:bCs/>
          <w:iCs/>
          <w:szCs w:val="20"/>
        </w:rPr>
        <w:t>coarse</w:t>
      </w:r>
      <w:r>
        <w:rPr>
          <w:bCs/>
          <w:iCs/>
          <w:szCs w:val="20"/>
        </w:rPr>
        <w:t xml:space="preserve"> textured</w:t>
      </w:r>
      <w:r w:rsidRPr="002052CA">
        <w:rPr>
          <w:bCs/>
          <w:iCs/>
          <w:szCs w:val="20"/>
        </w:rPr>
        <w:t xml:space="preserve"> soils published by the Ministry and dated April 15, 2011 is to be placed on, in or under the Property.</w:t>
      </w:r>
      <w:r w:rsidRPr="002052CA">
        <w:rPr>
          <w:szCs w:val="20"/>
        </w:rPr>
        <w:t xml:space="preserve"> </w:t>
      </w:r>
    </w:p>
    <w:p w14:paraId="39167B59" w14:textId="5D0664BD" w:rsidR="000154D7" w:rsidRPr="00BD5AAA" w:rsidRDefault="00AF5828" w:rsidP="00B3355B">
      <w:pPr>
        <w:pStyle w:val="ListParagraph"/>
        <w:widowControl w:val="0"/>
        <w:numPr>
          <w:ilvl w:val="2"/>
          <w:numId w:val="16"/>
        </w:numPr>
        <w:tabs>
          <w:tab w:val="left" w:pos="2127"/>
        </w:tabs>
        <w:autoSpaceDE w:val="0"/>
        <w:autoSpaceDN w:val="0"/>
        <w:adjustRightInd w:val="0"/>
        <w:spacing w:after="0"/>
        <w:ind w:left="1843" w:hanging="567"/>
        <w:rPr>
          <w:szCs w:val="20"/>
        </w:rPr>
      </w:pPr>
      <w:r w:rsidRPr="00BD5AAA">
        <w:rPr>
          <w:szCs w:val="20"/>
        </w:rPr>
        <w:t xml:space="preserve">Record keeping including dates and duration of work, weather and site conditions, location and depth of excavation activities, dust control measures, stockpile management and drainage, soil characterization results, names of the Qualified Person, contractors, haulers and receiving sites for any soil or ground water removed from the Property and any complaints received relating to site activities potentially coming in contact with or exposing site soils and groundwater. </w:t>
      </w:r>
    </w:p>
    <w:p w14:paraId="04F90602" w14:textId="77777777" w:rsidR="000154D7" w:rsidRDefault="000154D7" w:rsidP="000154D7">
      <w:pPr>
        <w:widowControl w:val="0"/>
        <w:tabs>
          <w:tab w:val="left" w:pos="2127"/>
        </w:tabs>
        <w:autoSpaceDE w:val="0"/>
        <w:autoSpaceDN w:val="0"/>
        <w:adjustRightInd w:val="0"/>
        <w:spacing w:after="0" w:line="240" w:lineRule="auto"/>
        <w:ind w:left="1211"/>
        <w:rPr>
          <w:szCs w:val="20"/>
        </w:rPr>
      </w:pPr>
    </w:p>
    <w:p w14:paraId="3D6E8FAC" w14:textId="743E5B4A" w:rsidR="000154D7" w:rsidRPr="000154D7" w:rsidRDefault="00AF5828" w:rsidP="00160347">
      <w:pPr>
        <w:widowControl w:val="0"/>
        <w:numPr>
          <w:ilvl w:val="0"/>
          <w:numId w:val="16"/>
        </w:numPr>
        <w:tabs>
          <w:tab w:val="left" w:pos="1276"/>
          <w:tab w:val="left" w:pos="2127"/>
          <w:tab w:val="left" w:pos="2694"/>
        </w:tabs>
        <w:autoSpaceDE w:val="0"/>
        <w:autoSpaceDN w:val="0"/>
        <w:adjustRightInd w:val="0"/>
        <w:spacing w:after="0" w:line="240" w:lineRule="auto"/>
        <w:ind w:left="1276" w:hanging="567"/>
        <w:rPr>
          <w:szCs w:val="20"/>
          <w:lang w:val="en-US"/>
        </w:rPr>
      </w:pPr>
      <w:r w:rsidRPr="000154D7">
        <w:rPr>
          <w:szCs w:val="20"/>
        </w:rPr>
        <w:t xml:space="preserve">A </w:t>
      </w:r>
      <w:r w:rsidR="003B13FF" w:rsidRPr="000154D7">
        <w:rPr>
          <w:szCs w:val="20"/>
        </w:rPr>
        <w:t>site-specific</w:t>
      </w:r>
      <w:r w:rsidRPr="000154D7">
        <w:rPr>
          <w:szCs w:val="20"/>
        </w:rPr>
        <w:t xml:space="preserve"> health and safety plan shall be developed for the Property and implemented during </w:t>
      </w:r>
      <w:r w:rsidR="00C54618" w:rsidRPr="000154D7">
        <w:rPr>
          <w:szCs w:val="20"/>
        </w:rPr>
        <w:t>all</w:t>
      </w:r>
      <w:r w:rsidRPr="000154D7">
        <w:rPr>
          <w:szCs w:val="20"/>
        </w:rPr>
        <w:t xml:space="preserve"> intrusive, below-grade construction activities potentially coming in contact with </w:t>
      </w:r>
      <w:r w:rsidR="00C54618" w:rsidRPr="000154D7">
        <w:rPr>
          <w:szCs w:val="20"/>
        </w:rPr>
        <w:t>or exposing site soil</w:t>
      </w:r>
      <w:r w:rsidR="00881AE3">
        <w:rPr>
          <w:szCs w:val="20"/>
        </w:rPr>
        <w:t>s</w:t>
      </w:r>
      <w:r w:rsidR="00C54618" w:rsidRPr="000154D7">
        <w:rPr>
          <w:szCs w:val="20"/>
        </w:rPr>
        <w:t xml:space="preserve"> or groundwater </w:t>
      </w:r>
      <w:r w:rsidRPr="000154D7">
        <w:rPr>
          <w:szCs w:val="20"/>
        </w:rPr>
        <w:t xml:space="preserve">and a copy shall be maintained on the Property for the duration of these intrusive activities. The Owner shall ensure that the health and safety plan </w:t>
      </w:r>
      <w:r w:rsidR="00B3355B" w:rsidRPr="000154D7">
        <w:rPr>
          <w:szCs w:val="20"/>
        </w:rPr>
        <w:t>take</w:t>
      </w:r>
      <w:r w:rsidRPr="000154D7">
        <w:rPr>
          <w:szCs w:val="20"/>
        </w:rPr>
        <w:t xml:space="preserve"> into account the presence of the Contaminants of Concern and is implemented prior to any intrusive work being done on the Property in order to protect workers from exposure to the Contaminants of Concern. The health and safety plan shall be prepared in accordance with applicable Ministry of Labour health and safety regulations, shall address any potential risks identified in the Risk Assessment, and shall include, but not be limited to, occupational hygiene requirements, requirements for personal protective equipment, </w:t>
      </w:r>
      <w:r w:rsidR="00185E05">
        <w:rPr>
          <w:szCs w:val="20"/>
        </w:rPr>
        <w:t xml:space="preserve">ventilation of any trenches as per Risk Assessment, </w:t>
      </w:r>
      <w:r w:rsidRPr="000154D7">
        <w:rPr>
          <w:szCs w:val="20"/>
        </w:rPr>
        <w:t xml:space="preserve">and </w:t>
      </w:r>
      <w:r w:rsidR="00185E05">
        <w:rPr>
          <w:szCs w:val="20"/>
        </w:rPr>
        <w:t xml:space="preserve">any </w:t>
      </w:r>
      <w:r w:rsidRPr="000154D7">
        <w:rPr>
          <w:szCs w:val="20"/>
        </w:rPr>
        <w:t>contingency plan requirements including site contact information. Prior to initiation of any project (as defined in the Occupational Health and Safety Act, as amended) on the Property, the local Ministry of Labour office shall be notified of the proposed activities and that the Property contains</w:t>
      </w:r>
      <w:r w:rsidR="004E7338">
        <w:rPr>
          <w:szCs w:val="20"/>
        </w:rPr>
        <w:t xml:space="preserve"> </w:t>
      </w:r>
      <w:r w:rsidR="00C54618" w:rsidRPr="000154D7">
        <w:rPr>
          <w:szCs w:val="20"/>
        </w:rPr>
        <w:t xml:space="preserve">contaminated soil and groundwater.  </w:t>
      </w:r>
      <w:r w:rsidRPr="000154D7">
        <w:rPr>
          <w:szCs w:val="20"/>
        </w:rPr>
        <w:t>Implementation of the health and safety plan shall be overseen by persons qualified to review the provisions of the plan with respect to the proposed site work and conduct daily inspections. The Owner shall retain a copy of the plan, which shall be made available for review by the Ministry upon request.</w:t>
      </w:r>
    </w:p>
    <w:p w14:paraId="40652746" w14:textId="77777777" w:rsidR="000154D7" w:rsidRPr="000154D7" w:rsidRDefault="000154D7" w:rsidP="000154D7">
      <w:pPr>
        <w:widowControl w:val="0"/>
        <w:tabs>
          <w:tab w:val="left" w:pos="1134"/>
          <w:tab w:val="left" w:pos="2127"/>
          <w:tab w:val="left" w:pos="2694"/>
        </w:tabs>
        <w:autoSpaceDE w:val="0"/>
        <w:autoSpaceDN w:val="0"/>
        <w:adjustRightInd w:val="0"/>
        <w:spacing w:after="0" w:line="240" w:lineRule="auto"/>
        <w:ind w:left="1276"/>
        <w:rPr>
          <w:szCs w:val="20"/>
          <w:lang w:val="en-US"/>
        </w:rPr>
      </w:pPr>
    </w:p>
    <w:p w14:paraId="50466181" w14:textId="44F25CCD" w:rsidR="00730FD0" w:rsidRPr="00792F08" w:rsidRDefault="00730FD0" w:rsidP="00730FD0">
      <w:pPr>
        <w:pStyle w:val="ListParagraph"/>
        <w:widowControl w:val="0"/>
        <w:numPr>
          <w:ilvl w:val="0"/>
          <w:numId w:val="16"/>
        </w:numPr>
        <w:tabs>
          <w:tab w:val="left" w:pos="1276"/>
          <w:tab w:val="left" w:pos="2694"/>
        </w:tabs>
        <w:autoSpaceDE w:val="0"/>
        <w:autoSpaceDN w:val="0"/>
        <w:adjustRightInd w:val="0"/>
        <w:spacing w:after="0"/>
        <w:ind w:left="1276" w:hanging="567"/>
      </w:pPr>
      <w:r w:rsidRPr="00792F08">
        <w:t xml:space="preserve">Refrain from constructing </w:t>
      </w:r>
      <w:r>
        <w:t>any Building</w:t>
      </w:r>
      <w:r w:rsidRPr="00792F08">
        <w:t xml:space="preserve"> on, in or under the Property unless the </w:t>
      </w:r>
      <w:r>
        <w:t>B</w:t>
      </w:r>
      <w:r w:rsidRPr="00792F08">
        <w:t xml:space="preserve">uilding includes a </w:t>
      </w:r>
      <w:r>
        <w:t>S</w:t>
      </w:r>
      <w:r w:rsidRPr="00792F08">
        <w:t xml:space="preserve">torage </w:t>
      </w:r>
      <w:r>
        <w:t>G</w:t>
      </w:r>
      <w:r w:rsidRPr="00792F08">
        <w:t>arage, as defined in Building Code</w:t>
      </w:r>
      <w:r>
        <w:t xml:space="preserve"> </w:t>
      </w:r>
      <w:r w:rsidR="00975B32">
        <w:t>a</w:t>
      </w:r>
      <w:r w:rsidRPr="00792F08">
        <w:t xml:space="preserve">nd meets the </w:t>
      </w:r>
      <w:r w:rsidRPr="00792F08">
        <w:lastRenderedPageBreak/>
        <w:t xml:space="preserve">following requirements: </w:t>
      </w:r>
    </w:p>
    <w:p w14:paraId="5D059B30" w14:textId="77777777" w:rsidR="00650577" w:rsidRDefault="00650577" w:rsidP="00650577">
      <w:pPr>
        <w:pStyle w:val="ListParagraph"/>
        <w:widowControl w:val="0"/>
        <w:numPr>
          <w:ilvl w:val="1"/>
          <w:numId w:val="16"/>
        </w:numPr>
        <w:tabs>
          <w:tab w:val="left" w:pos="1843"/>
        </w:tabs>
        <w:autoSpaceDE w:val="0"/>
        <w:autoSpaceDN w:val="0"/>
        <w:adjustRightInd w:val="0"/>
        <w:spacing w:after="0"/>
      </w:pPr>
      <w:r w:rsidRPr="00A55B93">
        <w:rPr>
          <w:szCs w:val="20"/>
          <w:lang w:val="en-US"/>
        </w:rPr>
        <w:t>The Storage Garage area covers the entire Building Area at Grade</w:t>
      </w:r>
      <w:r w:rsidRPr="00792F08">
        <w:t>;</w:t>
      </w:r>
      <w:r>
        <w:t xml:space="preserve"> and</w:t>
      </w:r>
    </w:p>
    <w:p w14:paraId="3B1F7374" w14:textId="77777777" w:rsidR="00650577" w:rsidRPr="00792F08" w:rsidRDefault="00650577" w:rsidP="00650577">
      <w:pPr>
        <w:pStyle w:val="ListParagraph"/>
        <w:widowControl w:val="0"/>
        <w:numPr>
          <w:ilvl w:val="1"/>
          <w:numId w:val="16"/>
        </w:numPr>
        <w:tabs>
          <w:tab w:val="left" w:pos="1843"/>
        </w:tabs>
        <w:autoSpaceDE w:val="0"/>
        <w:autoSpaceDN w:val="0"/>
        <w:adjustRightInd w:val="0"/>
        <w:spacing w:after="0"/>
      </w:pPr>
      <w:r>
        <w:t xml:space="preserve">All below Grade components of the Storage Garage shall include waterproof barrier and moisture protection if applicable and the sealing of all sumps and penetrations into the Building; and </w:t>
      </w:r>
    </w:p>
    <w:p w14:paraId="7F78FDA2" w14:textId="77777777" w:rsidR="00730FD0" w:rsidRPr="00792F08" w:rsidRDefault="00730FD0" w:rsidP="00BA2F6A">
      <w:pPr>
        <w:pStyle w:val="ListParagraph"/>
        <w:widowControl w:val="0"/>
        <w:numPr>
          <w:ilvl w:val="0"/>
          <w:numId w:val="32"/>
        </w:numPr>
        <w:tabs>
          <w:tab w:val="left" w:pos="1843"/>
        </w:tabs>
        <w:autoSpaceDE w:val="0"/>
        <w:autoSpaceDN w:val="0"/>
        <w:adjustRightInd w:val="0"/>
        <w:spacing w:after="0"/>
        <w:ind w:left="1843" w:hanging="567"/>
      </w:pPr>
      <w:r w:rsidRPr="00792F08">
        <w:t xml:space="preserve">The </w:t>
      </w:r>
      <w:r>
        <w:t>S</w:t>
      </w:r>
      <w:r w:rsidRPr="00792F08">
        <w:t xml:space="preserve">torage </w:t>
      </w:r>
      <w:r>
        <w:t>G</w:t>
      </w:r>
      <w:r w:rsidRPr="00792F08">
        <w:t>arage is in compliance with all applicable requirements of the Building Code, including, without limitation, the provisions governing the following:</w:t>
      </w:r>
    </w:p>
    <w:p w14:paraId="5FA7245D" w14:textId="1EE7803E" w:rsidR="00730FD0" w:rsidRPr="00792F08" w:rsidRDefault="00730FD0" w:rsidP="00730FD0">
      <w:pPr>
        <w:pStyle w:val="ListParagraph"/>
        <w:widowControl w:val="0"/>
        <w:numPr>
          <w:ilvl w:val="3"/>
          <w:numId w:val="16"/>
        </w:numPr>
        <w:autoSpaceDE w:val="0"/>
        <w:autoSpaceDN w:val="0"/>
        <w:adjustRightInd w:val="0"/>
        <w:spacing w:after="0"/>
        <w:ind w:left="2410" w:hanging="567"/>
      </w:pPr>
      <w:r w:rsidRPr="00792F08">
        <w:t>design of the mechanical ventilation system as set out in Division B, subsection 6.2.2.3, Ventilation of Storage and Repair Garages</w:t>
      </w:r>
      <w:r w:rsidR="00185E05">
        <w:t>,</w:t>
      </w:r>
    </w:p>
    <w:p w14:paraId="2A2AEF02" w14:textId="77777777" w:rsidR="00730FD0" w:rsidRPr="00792F08" w:rsidRDefault="00730FD0" w:rsidP="00730FD0">
      <w:pPr>
        <w:pStyle w:val="ListParagraph"/>
        <w:widowControl w:val="0"/>
        <w:numPr>
          <w:ilvl w:val="3"/>
          <w:numId w:val="16"/>
        </w:numPr>
        <w:autoSpaceDE w:val="0"/>
        <w:autoSpaceDN w:val="0"/>
        <w:adjustRightInd w:val="0"/>
        <w:spacing w:after="0"/>
        <w:ind w:left="2410" w:hanging="567"/>
      </w:pPr>
      <w:r w:rsidRPr="00792F08">
        <w:t>interconnection of air duct systems as set out in Division B, subsection 6.2.3.9 (2); and,</w:t>
      </w:r>
    </w:p>
    <w:p w14:paraId="4C1FF6CB" w14:textId="77777777" w:rsidR="00730FD0" w:rsidRDefault="00730FD0" w:rsidP="00730FD0">
      <w:pPr>
        <w:pStyle w:val="ListParagraph"/>
        <w:widowControl w:val="0"/>
        <w:numPr>
          <w:ilvl w:val="3"/>
          <w:numId w:val="16"/>
        </w:numPr>
        <w:autoSpaceDE w:val="0"/>
        <w:autoSpaceDN w:val="0"/>
        <w:adjustRightInd w:val="0"/>
        <w:spacing w:after="0"/>
        <w:ind w:left="2410" w:hanging="567"/>
      </w:pPr>
      <w:r w:rsidRPr="00792F08">
        <w:t>air leakage as set out in Div</w:t>
      </w:r>
      <w:r>
        <w:t>ision B, section 5.4.</w:t>
      </w:r>
    </w:p>
    <w:p w14:paraId="014BA623" w14:textId="6C860823" w:rsidR="00730FD0" w:rsidRDefault="00730FD0" w:rsidP="0003066E">
      <w:pPr>
        <w:pStyle w:val="ListParagraph"/>
        <w:numPr>
          <w:ilvl w:val="0"/>
          <w:numId w:val="32"/>
        </w:numPr>
        <w:tabs>
          <w:tab w:val="left" w:pos="1843"/>
        </w:tabs>
        <w:spacing w:after="0"/>
        <w:ind w:left="1843" w:hanging="567"/>
        <w:rPr>
          <w:szCs w:val="20"/>
          <w:lang w:val="en-US"/>
        </w:rPr>
      </w:pPr>
      <w:r>
        <w:rPr>
          <w:szCs w:val="20"/>
          <w:lang w:val="en-US"/>
        </w:rPr>
        <w:t>The mechanical ventilation system for the Storage Garage is designed to provide, during operating hours a continuous supply of outdoor air at a rate of not less than 3.9 litres per second for each square metre of floor area or be activated on an as-needed basis by carbon monoxide or nitrogen dioxide monitoring devices as required by the Building Code.</w:t>
      </w:r>
    </w:p>
    <w:p w14:paraId="095A4A9C" w14:textId="36131C96" w:rsidR="0043319D" w:rsidRDefault="0043319D" w:rsidP="0043319D">
      <w:pPr>
        <w:tabs>
          <w:tab w:val="left" w:pos="1843"/>
        </w:tabs>
        <w:spacing w:after="0"/>
      </w:pPr>
    </w:p>
    <w:p w14:paraId="394733B6" w14:textId="0DF134F6" w:rsidR="00FE2E08" w:rsidRPr="001B4531" w:rsidRDefault="00FE2E08" w:rsidP="007D03E3">
      <w:pPr>
        <w:pStyle w:val="ListParagraph"/>
        <w:widowControl w:val="0"/>
        <w:numPr>
          <w:ilvl w:val="0"/>
          <w:numId w:val="40"/>
        </w:numPr>
        <w:tabs>
          <w:tab w:val="left" w:pos="1134"/>
        </w:tabs>
        <w:autoSpaceDE w:val="0"/>
        <w:autoSpaceDN w:val="0"/>
        <w:adjustRightInd w:val="0"/>
        <w:spacing w:after="0"/>
        <w:ind w:left="1134" w:hanging="567"/>
        <w:rPr>
          <w:szCs w:val="20"/>
        </w:rPr>
      </w:pPr>
      <w:r w:rsidRPr="001B4531">
        <w:rPr>
          <w:szCs w:val="20"/>
        </w:rPr>
        <w:t xml:space="preserve">The </w:t>
      </w:r>
      <w:r w:rsidR="00E674BD">
        <w:rPr>
          <w:szCs w:val="20"/>
        </w:rPr>
        <w:t>off</w:t>
      </w:r>
      <w:r w:rsidR="00185E05">
        <w:rPr>
          <w:szCs w:val="20"/>
        </w:rPr>
        <w:t>-</w:t>
      </w:r>
      <w:r w:rsidR="00E674BD">
        <w:rPr>
          <w:szCs w:val="20"/>
        </w:rPr>
        <w:t xml:space="preserve">site </w:t>
      </w:r>
      <w:r w:rsidR="00185E05">
        <w:rPr>
          <w:szCs w:val="20"/>
        </w:rPr>
        <w:t>groundwater monitoring</w:t>
      </w:r>
      <w:r w:rsidRPr="001B4531">
        <w:rPr>
          <w:szCs w:val="20"/>
        </w:rPr>
        <w:t xml:space="preserve"> program shall </w:t>
      </w:r>
      <w:r w:rsidR="00185E05">
        <w:rPr>
          <w:szCs w:val="20"/>
        </w:rPr>
        <w:t>commence following the excavation and removal of soil</w:t>
      </w:r>
      <w:r w:rsidR="006D3C7A">
        <w:rPr>
          <w:szCs w:val="20"/>
        </w:rPr>
        <w:t>s</w:t>
      </w:r>
      <w:r w:rsidR="00185E05">
        <w:rPr>
          <w:szCs w:val="20"/>
        </w:rPr>
        <w:t xml:space="preserve"> on the Property</w:t>
      </w:r>
      <w:r w:rsidR="00793193">
        <w:rPr>
          <w:szCs w:val="20"/>
        </w:rPr>
        <w:t xml:space="preserve"> for Storage Garage</w:t>
      </w:r>
      <w:r w:rsidR="00185E05">
        <w:rPr>
          <w:szCs w:val="20"/>
        </w:rPr>
        <w:t xml:space="preserve"> and shall be carried out </w:t>
      </w:r>
      <w:r w:rsidRPr="001B4531">
        <w:rPr>
          <w:szCs w:val="20"/>
        </w:rPr>
        <w:t xml:space="preserve">on </w:t>
      </w:r>
      <w:r>
        <w:rPr>
          <w:szCs w:val="20"/>
        </w:rPr>
        <w:t xml:space="preserve">a </w:t>
      </w:r>
      <w:r w:rsidR="006D3C7A">
        <w:rPr>
          <w:szCs w:val="20"/>
        </w:rPr>
        <w:t xml:space="preserve">semi-annually </w:t>
      </w:r>
      <w:r w:rsidRPr="001B4531">
        <w:rPr>
          <w:szCs w:val="20"/>
        </w:rPr>
        <w:t>(</w:t>
      </w:r>
      <w:r>
        <w:rPr>
          <w:szCs w:val="20"/>
        </w:rPr>
        <w:t xml:space="preserve">once every </w:t>
      </w:r>
      <w:r w:rsidR="006D3C7A">
        <w:rPr>
          <w:szCs w:val="20"/>
        </w:rPr>
        <w:t xml:space="preserve">six </w:t>
      </w:r>
      <w:r>
        <w:rPr>
          <w:szCs w:val="20"/>
        </w:rPr>
        <w:t>months</w:t>
      </w:r>
      <w:r w:rsidRPr="001B4531">
        <w:rPr>
          <w:szCs w:val="20"/>
        </w:rPr>
        <w:t>) for</w:t>
      </w:r>
      <w:r w:rsidR="001B498C">
        <w:rPr>
          <w:szCs w:val="20"/>
        </w:rPr>
        <w:t xml:space="preserve"> first year</w:t>
      </w:r>
      <w:r w:rsidR="006D3C7A">
        <w:rPr>
          <w:szCs w:val="20"/>
        </w:rPr>
        <w:t>,</w:t>
      </w:r>
      <w:r w:rsidR="001B498C">
        <w:rPr>
          <w:szCs w:val="20"/>
        </w:rPr>
        <w:t xml:space="preserve"> </w:t>
      </w:r>
      <w:r>
        <w:rPr>
          <w:szCs w:val="20"/>
        </w:rPr>
        <w:t>and</w:t>
      </w:r>
      <w:r w:rsidRPr="001B4531">
        <w:rPr>
          <w:szCs w:val="20"/>
        </w:rPr>
        <w:t xml:space="preserve"> thereafter until such time as the Director, upon application by the Owner, has reviewed the data available and either amends or revokes the CPU. The </w:t>
      </w:r>
      <w:r w:rsidR="006D3C7A">
        <w:rPr>
          <w:szCs w:val="20"/>
        </w:rPr>
        <w:t>groundwater</w:t>
      </w:r>
      <w:r w:rsidR="00E674BD">
        <w:rPr>
          <w:szCs w:val="20"/>
        </w:rPr>
        <w:t xml:space="preserve"> </w:t>
      </w:r>
      <w:r w:rsidRPr="001B4531">
        <w:rPr>
          <w:szCs w:val="20"/>
        </w:rPr>
        <w:t xml:space="preserve">monitoring shall be carried out as follows: </w:t>
      </w:r>
    </w:p>
    <w:p w14:paraId="66F526CE" w14:textId="7EA3E1C0" w:rsidR="00F34A8F" w:rsidRDefault="00FE2E08" w:rsidP="00FE2E08">
      <w:pPr>
        <w:pStyle w:val="ListParagraph"/>
        <w:widowControl w:val="0"/>
        <w:numPr>
          <w:ilvl w:val="0"/>
          <w:numId w:val="27"/>
        </w:numPr>
        <w:tabs>
          <w:tab w:val="left" w:pos="1701"/>
        </w:tabs>
        <w:autoSpaceDE w:val="0"/>
        <w:autoSpaceDN w:val="0"/>
        <w:adjustRightInd w:val="0"/>
        <w:spacing w:after="0"/>
        <w:ind w:left="1701" w:hanging="567"/>
        <w:rPr>
          <w:szCs w:val="20"/>
        </w:rPr>
      </w:pPr>
      <w:r w:rsidRPr="001B4531">
        <w:rPr>
          <w:szCs w:val="20"/>
        </w:rPr>
        <w:t xml:space="preserve">The </w:t>
      </w:r>
      <w:r w:rsidR="006D3C7A">
        <w:rPr>
          <w:szCs w:val="20"/>
        </w:rPr>
        <w:t>groundwater</w:t>
      </w:r>
      <w:r w:rsidR="00E674BD">
        <w:rPr>
          <w:szCs w:val="20"/>
        </w:rPr>
        <w:t xml:space="preserve"> monitoring</w:t>
      </w:r>
      <w:r w:rsidRPr="001B4531">
        <w:rPr>
          <w:szCs w:val="20"/>
        </w:rPr>
        <w:t xml:space="preserve"> program shall consist of</w:t>
      </w:r>
      <w:r>
        <w:rPr>
          <w:szCs w:val="20"/>
        </w:rPr>
        <w:t xml:space="preserve"> </w:t>
      </w:r>
      <w:r w:rsidR="006D3C7A">
        <w:rPr>
          <w:szCs w:val="20"/>
        </w:rPr>
        <w:t>one</w:t>
      </w:r>
      <w:r w:rsidR="00F34A8F">
        <w:rPr>
          <w:szCs w:val="20"/>
        </w:rPr>
        <w:t xml:space="preserve"> (</w:t>
      </w:r>
      <w:r w:rsidR="006D3C7A">
        <w:rPr>
          <w:szCs w:val="20"/>
        </w:rPr>
        <w:t>1</w:t>
      </w:r>
      <w:r w:rsidR="00F34A8F">
        <w:rPr>
          <w:szCs w:val="20"/>
        </w:rPr>
        <w:t xml:space="preserve">) location labelled </w:t>
      </w:r>
      <w:r w:rsidR="006D3C7A">
        <w:rPr>
          <w:szCs w:val="20"/>
        </w:rPr>
        <w:t xml:space="preserve">MW501 </w:t>
      </w:r>
      <w:r w:rsidR="00F34A8F">
        <w:rPr>
          <w:szCs w:val="20"/>
        </w:rPr>
        <w:t xml:space="preserve">as indicated on figure </w:t>
      </w:r>
      <w:r w:rsidR="006D3C7A">
        <w:rPr>
          <w:szCs w:val="20"/>
        </w:rPr>
        <w:t>III-3</w:t>
      </w:r>
      <w:r w:rsidR="00F34A8F">
        <w:rPr>
          <w:szCs w:val="20"/>
        </w:rPr>
        <w:t xml:space="preserve"> of the CPU</w:t>
      </w:r>
      <w:r>
        <w:rPr>
          <w:szCs w:val="20"/>
        </w:rPr>
        <w:t xml:space="preserve">.   </w:t>
      </w:r>
    </w:p>
    <w:p w14:paraId="79898360" w14:textId="6C184823" w:rsidR="00793193" w:rsidRDefault="00793193" w:rsidP="00793193">
      <w:pPr>
        <w:pStyle w:val="ListParagraph"/>
        <w:widowControl w:val="0"/>
        <w:numPr>
          <w:ilvl w:val="0"/>
          <w:numId w:val="27"/>
        </w:numPr>
        <w:tabs>
          <w:tab w:val="left" w:pos="1701"/>
        </w:tabs>
        <w:autoSpaceDE w:val="0"/>
        <w:autoSpaceDN w:val="0"/>
        <w:adjustRightInd w:val="0"/>
        <w:spacing w:after="0"/>
        <w:ind w:left="1701" w:hanging="567"/>
        <w:rPr>
          <w:szCs w:val="20"/>
        </w:rPr>
      </w:pPr>
      <w:r>
        <w:rPr>
          <w:szCs w:val="20"/>
        </w:rPr>
        <w:t xml:space="preserve">The </w:t>
      </w:r>
      <w:r w:rsidRPr="00D80880">
        <w:t>Contaminants of Concern</w:t>
      </w:r>
      <w:r>
        <w:rPr>
          <w:szCs w:val="20"/>
        </w:rPr>
        <w:t xml:space="preserve"> to be monitored are listed on Schedule ‘B’ of the CPU;</w:t>
      </w:r>
      <w:r w:rsidRPr="001B4531">
        <w:rPr>
          <w:szCs w:val="20"/>
        </w:rPr>
        <w:t xml:space="preserve"> </w:t>
      </w:r>
    </w:p>
    <w:p w14:paraId="2B81FB0E" w14:textId="77777777" w:rsidR="00793193" w:rsidRPr="001B4531" w:rsidRDefault="00793193" w:rsidP="00793193">
      <w:pPr>
        <w:pStyle w:val="ListParagraph"/>
        <w:widowControl w:val="0"/>
        <w:numPr>
          <w:ilvl w:val="0"/>
          <w:numId w:val="27"/>
        </w:numPr>
        <w:tabs>
          <w:tab w:val="left" w:pos="1701"/>
        </w:tabs>
        <w:autoSpaceDE w:val="0"/>
        <w:autoSpaceDN w:val="0"/>
        <w:adjustRightInd w:val="0"/>
        <w:spacing w:after="0"/>
        <w:ind w:left="1701" w:hanging="567"/>
        <w:rPr>
          <w:szCs w:val="20"/>
        </w:rPr>
      </w:pPr>
      <w:r w:rsidRPr="001B4531">
        <w:rPr>
          <w:szCs w:val="20"/>
        </w:rPr>
        <w:t>Water from all monitoring wells shall be sampled according to Ministry’s Protocol for Analytical Methods Used in the Assessment of Properties under Part XV.1 of the Environmental Protection Act (MOE, 2004b) as amended from time to time.</w:t>
      </w:r>
    </w:p>
    <w:p w14:paraId="34890142" w14:textId="77777777" w:rsidR="00793193" w:rsidRPr="001B4531" w:rsidRDefault="00793193" w:rsidP="00793193">
      <w:pPr>
        <w:pStyle w:val="ListParagraph"/>
        <w:widowControl w:val="0"/>
        <w:numPr>
          <w:ilvl w:val="0"/>
          <w:numId w:val="27"/>
        </w:numPr>
        <w:tabs>
          <w:tab w:val="left" w:pos="1701"/>
        </w:tabs>
        <w:autoSpaceDE w:val="0"/>
        <w:autoSpaceDN w:val="0"/>
        <w:adjustRightInd w:val="0"/>
        <w:spacing w:after="0"/>
        <w:ind w:left="1701" w:hanging="567"/>
        <w:rPr>
          <w:szCs w:val="20"/>
        </w:rPr>
      </w:pPr>
      <w:r w:rsidRPr="001B4531">
        <w:rPr>
          <w:szCs w:val="20"/>
        </w:rPr>
        <w:t>The Owner shall keep a copy of all sampling data available for inspection by a Provincial Officer upon request.</w:t>
      </w:r>
    </w:p>
    <w:p w14:paraId="07020B29" w14:textId="0BA8220C" w:rsidR="00793193" w:rsidRPr="00BD3CC9" w:rsidRDefault="00793193" w:rsidP="00793193">
      <w:pPr>
        <w:pStyle w:val="ListParagraph"/>
        <w:widowControl w:val="0"/>
        <w:numPr>
          <w:ilvl w:val="0"/>
          <w:numId w:val="27"/>
        </w:numPr>
        <w:tabs>
          <w:tab w:val="left" w:pos="1701"/>
        </w:tabs>
        <w:autoSpaceDE w:val="0"/>
        <w:autoSpaceDN w:val="0"/>
        <w:adjustRightInd w:val="0"/>
        <w:spacing w:after="0"/>
        <w:ind w:left="1701" w:hanging="567"/>
        <w:rPr>
          <w:szCs w:val="20"/>
        </w:rPr>
      </w:pPr>
      <w:r w:rsidRPr="00BD3CC9">
        <w:rPr>
          <w:szCs w:val="20"/>
        </w:rPr>
        <w:t xml:space="preserve">Should there be a reason to change </w:t>
      </w:r>
      <w:r>
        <w:rPr>
          <w:szCs w:val="20"/>
        </w:rPr>
        <w:t>a</w:t>
      </w:r>
      <w:r w:rsidRPr="00BD3CC9">
        <w:rPr>
          <w:szCs w:val="20"/>
        </w:rPr>
        <w:t xml:space="preserve"> selected groundwater monitoring well or should a measured groundwater concentration exceed </w:t>
      </w:r>
      <w:r>
        <w:rPr>
          <w:szCs w:val="20"/>
        </w:rPr>
        <w:t xml:space="preserve">the groundwater trigger levels of Schedule ‘B’, </w:t>
      </w:r>
      <w:r w:rsidRPr="00BD3CC9">
        <w:rPr>
          <w:szCs w:val="20"/>
        </w:rPr>
        <w:t>the Owner shall immediately notify the Director in writing of the exceedance</w:t>
      </w:r>
      <w:r>
        <w:rPr>
          <w:szCs w:val="20"/>
        </w:rPr>
        <w:t xml:space="preserve">(s), </w:t>
      </w:r>
      <w:r w:rsidRPr="00BD3CC9">
        <w:rPr>
          <w:szCs w:val="20"/>
        </w:rPr>
        <w:t>along with a copy of the laboratory’s certificate of analysis</w:t>
      </w:r>
      <w:r>
        <w:rPr>
          <w:szCs w:val="20"/>
        </w:rPr>
        <w:t>, chain of custody and borehole log</w:t>
      </w:r>
      <w:r w:rsidRPr="00BD3CC9">
        <w:rPr>
          <w:szCs w:val="20"/>
        </w:rPr>
        <w:t>.</w:t>
      </w:r>
    </w:p>
    <w:p w14:paraId="7472D0A0" w14:textId="6CD94899" w:rsidR="00793193" w:rsidRDefault="00793193" w:rsidP="00793193">
      <w:pPr>
        <w:pStyle w:val="ListParagraph"/>
        <w:widowControl w:val="0"/>
        <w:numPr>
          <w:ilvl w:val="0"/>
          <w:numId w:val="27"/>
        </w:numPr>
        <w:autoSpaceDE w:val="0"/>
        <w:autoSpaceDN w:val="0"/>
        <w:adjustRightInd w:val="0"/>
        <w:ind w:left="1701" w:hanging="567"/>
        <w:rPr>
          <w:szCs w:val="20"/>
          <w:lang w:val="en-US"/>
        </w:rPr>
      </w:pPr>
      <w:r w:rsidRPr="00456824">
        <w:rPr>
          <w:szCs w:val="20"/>
          <w:lang w:val="en-US"/>
        </w:rPr>
        <w:t xml:space="preserve">If the </w:t>
      </w:r>
      <w:r>
        <w:rPr>
          <w:szCs w:val="20"/>
          <w:lang w:val="en-US"/>
        </w:rPr>
        <w:t xml:space="preserve">groundwater </w:t>
      </w:r>
      <w:r w:rsidRPr="00456824">
        <w:rPr>
          <w:szCs w:val="20"/>
          <w:lang w:val="en-US"/>
        </w:rPr>
        <w:t xml:space="preserve">concentration for the Contaminants of Concern exceed </w:t>
      </w:r>
      <w:r>
        <w:rPr>
          <w:szCs w:val="20"/>
          <w:lang w:val="en-US"/>
        </w:rPr>
        <w:t>Schedule ‘B’ (groundwater trigger levels);</w:t>
      </w:r>
      <w:r w:rsidRPr="00456824">
        <w:rPr>
          <w:szCs w:val="20"/>
          <w:lang w:val="en-US"/>
        </w:rPr>
        <w:t xml:space="preserve"> </w:t>
      </w:r>
      <w:r>
        <w:rPr>
          <w:szCs w:val="20"/>
          <w:lang w:val="en-US"/>
        </w:rPr>
        <w:t xml:space="preserve">then groundwater </w:t>
      </w:r>
      <w:r w:rsidRPr="00456824">
        <w:rPr>
          <w:szCs w:val="20"/>
          <w:lang w:val="en-US"/>
        </w:rPr>
        <w:t xml:space="preserve">monitoring shall recommence within </w:t>
      </w:r>
      <w:r>
        <w:rPr>
          <w:szCs w:val="20"/>
          <w:lang w:val="en-US"/>
        </w:rPr>
        <w:t>thirty (30)</w:t>
      </w:r>
      <w:r w:rsidRPr="00456824">
        <w:rPr>
          <w:szCs w:val="20"/>
          <w:lang w:val="en-US"/>
        </w:rPr>
        <w:t xml:space="preserve"> days of receipt of the analytical results</w:t>
      </w:r>
      <w:r>
        <w:rPr>
          <w:szCs w:val="20"/>
          <w:lang w:val="en-US"/>
        </w:rPr>
        <w:t xml:space="preserve"> and be carried out as f</w:t>
      </w:r>
      <w:r w:rsidRPr="00456824">
        <w:rPr>
          <w:szCs w:val="20"/>
          <w:lang w:val="en-US"/>
        </w:rPr>
        <w:t>ollows:</w:t>
      </w:r>
    </w:p>
    <w:p w14:paraId="73BA74D2" w14:textId="6591ECE8" w:rsidR="00793193" w:rsidRDefault="00793193" w:rsidP="00D90730">
      <w:pPr>
        <w:pStyle w:val="ListParagraph"/>
        <w:widowControl w:val="0"/>
        <w:numPr>
          <w:ilvl w:val="1"/>
          <w:numId w:val="27"/>
        </w:numPr>
        <w:autoSpaceDE w:val="0"/>
        <w:autoSpaceDN w:val="0"/>
        <w:adjustRightInd w:val="0"/>
        <w:ind w:left="2268" w:hanging="567"/>
        <w:rPr>
          <w:szCs w:val="20"/>
          <w:lang w:val="en-US"/>
        </w:rPr>
      </w:pPr>
      <w:r w:rsidRPr="00606D3E">
        <w:rPr>
          <w:szCs w:val="20"/>
          <w:lang w:val="en-US"/>
        </w:rPr>
        <w:t xml:space="preserve">If any of the concentrations of the Contaminants of Concern exceeds </w:t>
      </w:r>
      <w:r>
        <w:rPr>
          <w:szCs w:val="20"/>
          <w:lang w:val="en-US"/>
        </w:rPr>
        <w:t xml:space="preserve">Schedule ‘B’ (groundwater trigger levels) </w:t>
      </w:r>
      <w:r w:rsidRPr="00606D3E">
        <w:rPr>
          <w:szCs w:val="20"/>
          <w:lang w:val="en-US"/>
        </w:rPr>
        <w:t>on the recommenc</w:t>
      </w:r>
      <w:r>
        <w:rPr>
          <w:szCs w:val="20"/>
          <w:lang w:val="en-US"/>
        </w:rPr>
        <w:t>ed groundwater monitoring event; t</w:t>
      </w:r>
      <w:r w:rsidRPr="00606D3E">
        <w:rPr>
          <w:szCs w:val="20"/>
          <w:lang w:val="en-US"/>
        </w:rPr>
        <w:t>hen within 30 days of the receipt of the analytical results</w:t>
      </w:r>
      <w:r>
        <w:rPr>
          <w:szCs w:val="20"/>
          <w:lang w:val="en-US"/>
        </w:rPr>
        <w:t>;</w:t>
      </w:r>
      <w:r w:rsidRPr="00606D3E">
        <w:rPr>
          <w:szCs w:val="20"/>
          <w:lang w:val="en-US"/>
        </w:rPr>
        <w:t xml:space="preserve"> </w:t>
      </w:r>
    </w:p>
    <w:p w14:paraId="53208F4E" w14:textId="3262086B" w:rsidR="00793193" w:rsidRPr="00D67AF3" w:rsidRDefault="00793193" w:rsidP="0003066E">
      <w:pPr>
        <w:pStyle w:val="ListParagraph"/>
        <w:widowControl w:val="0"/>
        <w:numPr>
          <w:ilvl w:val="3"/>
          <w:numId w:val="32"/>
        </w:numPr>
        <w:autoSpaceDE w:val="0"/>
        <w:autoSpaceDN w:val="0"/>
        <w:adjustRightInd w:val="0"/>
        <w:ind w:left="2835" w:hanging="567"/>
        <w:rPr>
          <w:szCs w:val="20"/>
        </w:rPr>
      </w:pPr>
      <w:r w:rsidRPr="00D67AF3">
        <w:rPr>
          <w:szCs w:val="20"/>
          <w:lang w:val="en-US"/>
        </w:rPr>
        <w:t>develop and submit a contingency plan to the Director; and</w:t>
      </w:r>
    </w:p>
    <w:p w14:paraId="23267649" w14:textId="77777777" w:rsidR="00793193" w:rsidRPr="00D67AF3" w:rsidRDefault="00793193" w:rsidP="0003066E">
      <w:pPr>
        <w:pStyle w:val="ListParagraph"/>
        <w:widowControl w:val="0"/>
        <w:numPr>
          <w:ilvl w:val="3"/>
          <w:numId w:val="32"/>
        </w:numPr>
        <w:autoSpaceDE w:val="0"/>
        <w:autoSpaceDN w:val="0"/>
        <w:adjustRightInd w:val="0"/>
        <w:ind w:left="2835" w:hanging="567"/>
        <w:rPr>
          <w:szCs w:val="20"/>
        </w:rPr>
      </w:pPr>
      <w:r w:rsidRPr="00D67AF3">
        <w:rPr>
          <w:szCs w:val="20"/>
          <w:lang w:val="en-US"/>
        </w:rPr>
        <w:t xml:space="preserve">The groundwater monitoring shall continue on a </w:t>
      </w:r>
      <w:r>
        <w:rPr>
          <w:szCs w:val="20"/>
          <w:lang w:val="en-US"/>
        </w:rPr>
        <w:t>quarterly basis</w:t>
      </w:r>
      <w:r w:rsidRPr="00D67AF3">
        <w:rPr>
          <w:szCs w:val="20"/>
          <w:lang w:val="en-US"/>
        </w:rPr>
        <w:t xml:space="preserve"> </w:t>
      </w:r>
      <w:r w:rsidRPr="00D67AF3">
        <w:rPr>
          <w:szCs w:val="20"/>
          <w:lang w:val="en-US"/>
        </w:rPr>
        <w:lastRenderedPageBreak/>
        <w:t xml:space="preserve">(every </w:t>
      </w:r>
      <w:r>
        <w:rPr>
          <w:szCs w:val="20"/>
          <w:lang w:val="en-US"/>
        </w:rPr>
        <w:t xml:space="preserve">three (3) </w:t>
      </w:r>
      <w:r w:rsidRPr="00D67AF3">
        <w:rPr>
          <w:szCs w:val="20"/>
          <w:lang w:val="en-US"/>
        </w:rPr>
        <w:t xml:space="preserve">month) </w:t>
      </w:r>
      <w:r w:rsidRPr="00D67AF3">
        <w:rPr>
          <w:szCs w:val="20"/>
        </w:rPr>
        <w:t>until such time as the Director, upon application by the Owner, has reviewed the data available and either alters or revokes the CPU.</w:t>
      </w:r>
    </w:p>
    <w:p w14:paraId="49CF2DF0" w14:textId="77777777" w:rsidR="00D30E7A" w:rsidRPr="00D30E7A" w:rsidRDefault="00D30E7A" w:rsidP="00D30E7A">
      <w:pPr>
        <w:pStyle w:val="ListParagraph"/>
        <w:widowControl w:val="0"/>
        <w:autoSpaceDE w:val="0"/>
        <w:autoSpaceDN w:val="0"/>
        <w:adjustRightInd w:val="0"/>
        <w:ind w:left="2835"/>
        <w:rPr>
          <w:szCs w:val="20"/>
        </w:rPr>
      </w:pPr>
    </w:p>
    <w:p w14:paraId="03E33F24" w14:textId="7AD8B801" w:rsidR="00794D1F" w:rsidRPr="007D03E3" w:rsidRDefault="00BB45B8" w:rsidP="007D03E3">
      <w:pPr>
        <w:pStyle w:val="ListParagraph"/>
        <w:widowControl w:val="0"/>
        <w:numPr>
          <w:ilvl w:val="0"/>
          <w:numId w:val="40"/>
        </w:numPr>
        <w:tabs>
          <w:tab w:val="left" w:pos="1985"/>
        </w:tabs>
        <w:autoSpaceDE w:val="0"/>
        <w:autoSpaceDN w:val="0"/>
        <w:adjustRightInd w:val="0"/>
        <w:spacing w:after="0"/>
        <w:ind w:left="1134" w:hanging="567"/>
        <w:rPr>
          <w:szCs w:val="20"/>
        </w:rPr>
      </w:pPr>
      <w:r w:rsidRPr="007D03E3">
        <w:rPr>
          <w:szCs w:val="20"/>
        </w:rPr>
        <w:t xml:space="preserve">The Owner shall retain a copy of the site plan prepared and signed by a Qualified Person prior to occupancy </w:t>
      </w:r>
      <w:r w:rsidR="009F594B">
        <w:rPr>
          <w:szCs w:val="20"/>
        </w:rPr>
        <w:t xml:space="preserve">of any Building </w:t>
      </w:r>
      <w:r w:rsidRPr="007D03E3">
        <w:rPr>
          <w:szCs w:val="20"/>
        </w:rPr>
        <w:t xml:space="preserve">which will describe the Property, </w:t>
      </w:r>
      <w:r w:rsidR="00793193">
        <w:rPr>
          <w:szCs w:val="20"/>
        </w:rPr>
        <w:t>p</w:t>
      </w:r>
      <w:r w:rsidRPr="007D03E3">
        <w:rPr>
          <w:szCs w:val="20"/>
        </w:rPr>
        <w:t>lacement and quality of all of the barriers to site soils.  The site plan will include a plan and cross section drawings specifying the vertical and lateral extent of the barriers.  This site plan shall be retained by the Owner for inspection upon request by a Provincial Officer.  The site plan shall be revised following the completion of any alteration to the extent of the barriers to site soils.</w:t>
      </w:r>
    </w:p>
    <w:p w14:paraId="2ACFF715" w14:textId="77777777" w:rsidR="001B4531" w:rsidRDefault="001B4531" w:rsidP="00AE1A96">
      <w:pPr>
        <w:pStyle w:val="ListParagraph"/>
        <w:widowControl w:val="0"/>
        <w:tabs>
          <w:tab w:val="left" w:pos="1560"/>
        </w:tabs>
        <w:autoSpaceDE w:val="0"/>
        <w:autoSpaceDN w:val="0"/>
        <w:adjustRightInd w:val="0"/>
        <w:spacing w:after="0"/>
        <w:ind w:left="1931"/>
        <w:rPr>
          <w:szCs w:val="20"/>
        </w:rPr>
      </w:pPr>
    </w:p>
    <w:p w14:paraId="55A40C31" w14:textId="42EA1997" w:rsidR="00AF5828" w:rsidRPr="007D03E3" w:rsidRDefault="00AF5828" w:rsidP="007D03E3">
      <w:pPr>
        <w:pStyle w:val="ListParagraph"/>
        <w:widowControl w:val="0"/>
        <w:numPr>
          <w:ilvl w:val="0"/>
          <w:numId w:val="40"/>
        </w:numPr>
        <w:tabs>
          <w:tab w:val="left" w:pos="1134"/>
        </w:tabs>
        <w:autoSpaceDE w:val="0"/>
        <w:autoSpaceDN w:val="0"/>
        <w:adjustRightInd w:val="0"/>
        <w:spacing w:after="0"/>
        <w:ind w:left="1134" w:hanging="567"/>
        <w:rPr>
          <w:szCs w:val="20"/>
        </w:rPr>
      </w:pPr>
      <w:r w:rsidRPr="007D03E3">
        <w:rPr>
          <w:szCs w:val="20"/>
        </w:rPr>
        <w:t>The Owner shall prepare by March 31 each year, an annual report documenting activities relating to the Risk Management Measures undertaken during the previous calendar year. A copy of this report shall be maintained on file by the Owner and shall be made available upon request</w:t>
      </w:r>
      <w:r w:rsidR="00247359" w:rsidRPr="007D03E3">
        <w:rPr>
          <w:szCs w:val="20"/>
        </w:rPr>
        <w:t xml:space="preserve"> by a Provincial Officer</w:t>
      </w:r>
      <w:r w:rsidRPr="007D03E3">
        <w:rPr>
          <w:szCs w:val="20"/>
        </w:rPr>
        <w:t xml:space="preserve">. The report shall include, but not be limited to, the following minimum information requirements: </w:t>
      </w:r>
    </w:p>
    <w:p w14:paraId="014FA38F" w14:textId="02F06A20" w:rsidR="00F80BAD" w:rsidRDefault="00F80BAD" w:rsidP="007D03E3">
      <w:pPr>
        <w:pStyle w:val="ListNumber2"/>
        <w:numPr>
          <w:ilvl w:val="1"/>
          <w:numId w:val="40"/>
        </w:numPr>
        <w:tabs>
          <w:tab w:val="left" w:pos="1701"/>
        </w:tabs>
        <w:overflowPunct w:val="0"/>
        <w:autoSpaceDE w:val="0"/>
        <w:autoSpaceDN w:val="0"/>
        <w:adjustRightInd w:val="0"/>
        <w:spacing w:after="0" w:line="240" w:lineRule="auto"/>
        <w:ind w:left="1701" w:hanging="567"/>
        <w:contextualSpacing w:val="0"/>
        <w:textAlignment w:val="baseline"/>
      </w:pPr>
      <w:r w:rsidRPr="00862B94">
        <w:t>a copy of all records relate</w:t>
      </w:r>
      <w:r>
        <w:t>d</w:t>
      </w:r>
      <w:r w:rsidRPr="00862B94">
        <w:t xml:space="preserve"> to the inspection and maintenance program for the barrier to site soils</w:t>
      </w:r>
      <w:r w:rsidR="00567537">
        <w:t xml:space="preserve">, Building foundations, </w:t>
      </w:r>
      <w:r w:rsidR="007D305D">
        <w:t>Storage Garage</w:t>
      </w:r>
      <w:r w:rsidR="00567537">
        <w:t>s and fences</w:t>
      </w:r>
      <w:r w:rsidR="00A13146">
        <w:t xml:space="preserve"> along with </w:t>
      </w:r>
      <w:r w:rsidR="00A13146" w:rsidRPr="00A13146">
        <w:rPr>
          <w:lang w:val="en-US"/>
        </w:rPr>
        <w:t>and all repairs and maintenance efforts carried out to mitigate any concerns identified</w:t>
      </w:r>
      <w:r>
        <w:t>;</w:t>
      </w:r>
    </w:p>
    <w:p w14:paraId="67424431" w14:textId="189A00AE" w:rsidR="00F80BAD" w:rsidRDefault="00F80BAD" w:rsidP="007D03E3">
      <w:pPr>
        <w:pStyle w:val="ListNumber2"/>
        <w:numPr>
          <w:ilvl w:val="1"/>
          <w:numId w:val="40"/>
        </w:numPr>
        <w:tabs>
          <w:tab w:val="left" w:pos="2127"/>
        </w:tabs>
        <w:overflowPunct w:val="0"/>
        <w:autoSpaceDE w:val="0"/>
        <w:autoSpaceDN w:val="0"/>
        <w:adjustRightInd w:val="0"/>
        <w:spacing w:after="0" w:line="240" w:lineRule="auto"/>
        <w:ind w:left="1701" w:hanging="567"/>
        <w:contextualSpacing w:val="0"/>
        <w:textAlignment w:val="baseline"/>
      </w:pPr>
      <w:r w:rsidRPr="00862B94">
        <w:t>a copy of all records relat</w:t>
      </w:r>
      <w:r>
        <w:t>ed</w:t>
      </w:r>
      <w:r w:rsidRPr="00862B94">
        <w:t xml:space="preserve"> to the soil</w:t>
      </w:r>
      <w:r>
        <w:t xml:space="preserve"> </w:t>
      </w:r>
      <w:r w:rsidRPr="00862B94">
        <w:t>management plan</w:t>
      </w:r>
      <w:r>
        <w:t xml:space="preserve"> and the health and safety plan on the Property;</w:t>
      </w:r>
    </w:p>
    <w:p w14:paraId="743F0230" w14:textId="79F51F91" w:rsidR="00F80BAD" w:rsidRDefault="00F80BAD" w:rsidP="007D03E3">
      <w:pPr>
        <w:pStyle w:val="ListNumber2"/>
        <w:numPr>
          <w:ilvl w:val="1"/>
          <w:numId w:val="40"/>
        </w:numPr>
        <w:tabs>
          <w:tab w:val="left" w:pos="2127"/>
        </w:tabs>
        <w:overflowPunct w:val="0"/>
        <w:autoSpaceDE w:val="0"/>
        <w:autoSpaceDN w:val="0"/>
        <w:adjustRightInd w:val="0"/>
        <w:spacing w:after="0" w:line="240" w:lineRule="auto"/>
        <w:ind w:left="1701" w:hanging="567"/>
        <w:contextualSpacing w:val="0"/>
        <w:textAlignment w:val="baseline"/>
      </w:pPr>
      <w:r>
        <w:t xml:space="preserve">a copy of all records for </w:t>
      </w:r>
      <w:r w:rsidR="00793193">
        <w:t xml:space="preserve">groundwater </w:t>
      </w:r>
      <w:r>
        <w:t>monitoring</w:t>
      </w:r>
      <w:r w:rsidR="00A13146">
        <w:t xml:space="preserve"> </w:t>
      </w:r>
      <w:r>
        <w:t>including</w:t>
      </w:r>
      <w:r w:rsidR="00567537">
        <w:t xml:space="preserve"> the</w:t>
      </w:r>
      <w:r>
        <w:t xml:space="preserve"> laboratory’s certificate of analyses and chain of custody, </w:t>
      </w:r>
      <w:r w:rsidR="00793193">
        <w:t xml:space="preserve">borehole logs indicating the </w:t>
      </w:r>
      <w:r w:rsidR="00567537">
        <w:t xml:space="preserve">construction details of </w:t>
      </w:r>
      <w:r w:rsidR="00D90730">
        <w:t>the</w:t>
      </w:r>
      <w:r w:rsidR="00793193">
        <w:t xml:space="preserve"> well</w:t>
      </w:r>
      <w:r>
        <w:t xml:space="preserve">; </w:t>
      </w:r>
    </w:p>
    <w:p w14:paraId="34A05332" w14:textId="5E7A6DD5" w:rsidR="00F80BAD" w:rsidRPr="003D18C3" w:rsidRDefault="00F80BAD" w:rsidP="007D03E3">
      <w:pPr>
        <w:pStyle w:val="ListNumber2"/>
        <w:widowControl w:val="0"/>
        <w:numPr>
          <w:ilvl w:val="1"/>
          <w:numId w:val="40"/>
        </w:numPr>
        <w:tabs>
          <w:tab w:val="left" w:pos="1701"/>
        </w:tabs>
        <w:overflowPunct w:val="0"/>
        <w:autoSpaceDE w:val="0"/>
        <w:autoSpaceDN w:val="0"/>
        <w:adjustRightInd w:val="0"/>
        <w:spacing w:after="0" w:line="240" w:lineRule="auto"/>
        <w:ind w:left="1701" w:hanging="567"/>
        <w:contextualSpacing w:val="0"/>
        <w:textAlignment w:val="baseline"/>
        <w:rPr>
          <w:szCs w:val="20"/>
          <w:lang w:val="en-US"/>
        </w:rPr>
      </w:pPr>
      <w:r>
        <w:t>a copy of all signed site plans including any alterations; and</w:t>
      </w:r>
    </w:p>
    <w:p w14:paraId="66D85AE6" w14:textId="6AEEA63E" w:rsidR="00F80BAD" w:rsidRPr="00577288" w:rsidRDefault="00F80BAD" w:rsidP="007D03E3">
      <w:pPr>
        <w:pStyle w:val="ListNumber2"/>
        <w:widowControl w:val="0"/>
        <w:numPr>
          <w:ilvl w:val="1"/>
          <w:numId w:val="40"/>
        </w:numPr>
        <w:tabs>
          <w:tab w:val="left" w:pos="1701"/>
        </w:tabs>
        <w:overflowPunct w:val="0"/>
        <w:autoSpaceDE w:val="0"/>
        <w:autoSpaceDN w:val="0"/>
        <w:adjustRightInd w:val="0"/>
        <w:spacing w:after="0" w:line="240" w:lineRule="auto"/>
        <w:ind w:left="1701" w:hanging="567"/>
        <w:contextualSpacing w:val="0"/>
        <w:textAlignment w:val="baseline"/>
        <w:rPr>
          <w:szCs w:val="20"/>
          <w:lang w:val="en-US"/>
        </w:rPr>
      </w:pPr>
      <w:r>
        <w:t>a copy of the updated financial assurance every three years from the date of issuance of the CPU if applicable.</w:t>
      </w:r>
    </w:p>
    <w:p w14:paraId="5C0199B1" w14:textId="77777777" w:rsidR="003D18C3" w:rsidRPr="00E521A5" w:rsidRDefault="003D18C3" w:rsidP="003D18C3">
      <w:pPr>
        <w:pStyle w:val="ListNumber2"/>
        <w:widowControl w:val="0"/>
        <w:numPr>
          <w:ilvl w:val="0"/>
          <w:numId w:val="0"/>
        </w:numPr>
        <w:tabs>
          <w:tab w:val="left" w:pos="1843"/>
        </w:tabs>
        <w:overflowPunct w:val="0"/>
        <w:autoSpaceDE w:val="0"/>
        <w:autoSpaceDN w:val="0"/>
        <w:adjustRightInd w:val="0"/>
        <w:spacing w:after="0" w:line="240" w:lineRule="auto"/>
        <w:ind w:left="1843"/>
        <w:contextualSpacing w:val="0"/>
        <w:textAlignment w:val="baseline"/>
        <w:rPr>
          <w:szCs w:val="20"/>
          <w:lang w:val="en-US"/>
        </w:rPr>
      </w:pPr>
    </w:p>
    <w:bookmarkEnd w:id="2"/>
    <w:bookmarkEnd w:id="3"/>
    <w:p w14:paraId="55A40C3A" w14:textId="25B6FC4A" w:rsidR="00AF5828" w:rsidRDefault="00AF5828" w:rsidP="00AF5828">
      <w:pPr>
        <w:widowControl w:val="0"/>
        <w:autoSpaceDE w:val="0"/>
        <w:autoSpaceDN w:val="0"/>
        <w:adjustRightInd w:val="0"/>
        <w:spacing w:after="0"/>
        <w:ind w:left="720" w:hanging="720"/>
        <w:rPr>
          <w:szCs w:val="20"/>
        </w:rPr>
      </w:pPr>
      <w:r w:rsidRPr="00D714D9">
        <w:rPr>
          <w:szCs w:val="20"/>
        </w:rPr>
        <w:t>4.3</w:t>
      </w:r>
      <w:r w:rsidRPr="00D714D9">
        <w:rPr>
          <w:szCs w:val="20"/>
        </w:rPr>
        <w:tab/>
        <w:t xml:space="preserve">Refrain from using the Property for any of the following use(s):  </w:t>
      </w:r>
      <w:r w:rsidR="005A67CD">
        <w:rPr>
          <w:szCs w:val="20"/>
        </w:rPr>
        <w:t>NA</w:t>
      </w:r>
    </w:p>
    <w:p w14:paraId="55A40C3B" w14:textId="77777777" w:rsidR="00AF5828" w:rsidRPr="00D714D9" w:rsidRDefault="00AF5828" w:rsidP="00AF5828">
      <w:pPr>
        <w:widowControl w:val="0"/>
        <w:autoSpaceDE w:val="0"/>
        <w:autoSpaceDN w:val="0"/>
        <w:adjustRightInd w:val="0"/>
        <w:spacing w:after="0"/>
        <w:ind w:left="720" w:hanging="720"/>
        <w:rPr>
          <w:szCs w:val="20"/>
        </w:rPr>
      </w:pPr>
    </w:p>
    <w:p w14:paraId="55A40C3D" w14:textId="647B53E5" w:rsidR="00AF5828" w:rsidRPr="000F0DBE" w:rsidRDefault="00AF5828" w:rsidP="000F0DBE">
      <w:pPr>
        <w:pStyle w:val="ListParagraph"/>
        <w:numPr>
          <w:ilvl w:val="1"/>
          <w:numId w:val="7"/>
        </w:numPr>
        <w:tabs>
          <w:tab w:val="clear" w:pos="360"/>
        </w:tabs>
        <w:spacing w:after="0"/>
        <w:ind w:left="709" w:hanging="709"/>
        <w:rPr>
          <w:szCs w:val="20"/>
        </w:rPr>
      </w:pPr>
      <w:r w:rsidRPr="000F0DBE">
        <w:rPr>
          <w:szCs w:val="20"/>
        </w:rPr>
        <w:t xml:space="preserve">Refrain from constructing the following building(s):  </w:t>
      </w:r>
      <w:r w:rsidR="000F0DBE" w:rsidRPr="000F0DBE">
        <w:rPr>
          <w:szCs w:val="20"/>
        </w:rPr>
        <w:t xml:space="preserve">No building construction unless construction is in accordance with Item 4.2 </w:t>
      </w:r>
      <w:r w:rsidR="00B90FF7">
        <w:rPr>
          <w:szCs w:val="20"/>
        </w:rPr>
        <w:t>f</w:t>
      </w:r>
      <w:r w:rsidR="00C34D03">
        <w:rPr>
          <w:szCs w:val="20"/>
        </w:rPr>
        <w:t>.</w:t>
      </w:r>
      <w:r w:rsidR="00D94DA0">
        <w:rPr>
          <w:szCs w:val="20"/>
        </w:rPr>
        <w:t xml:space="preserve"> </w:t>
      </w:r>
      <w:r w:rsidR="000F0DBE" w:rsidRPr="000F0DBE">
        <w:rPr>
          <w:szCs w:val="20"/>
        </w:rPr>
        <w:t>of the CPU.</w:t>
      </w:r>
    </w:p>
    <w:p w14:paraId="18414714" w14:textId="77777777" w:rsidR="000F0DBE" w:rsidRPr="000F0DBE" w:rsidRDefault="000F0DBE" w:rsidP="000F0DBE">
      <w:pPr>
        <w:pStyle w:val="ListParagraph"/>
        <w:spacing w:after="0"/>
        <w:ind w:left="360"/>
        <w:rPr>
          <w:szCs w:val="20"/>
        </w:rPr>
      </w:pPr>
    </w:p>
    <w:p w14:paraId="55A40C3E" w14:textId="77777777" w:rsidR="00AF5828" w:rsidRDefault="00AF5828" w:rsidP="00C91A86">
      <w:pPr>
        <w:numPr>
          <w:ilvl w:val="1"/>
          <w:numId w:val="7"/>
        </w:numPr>
        <w:tabs>
          <w:tab w:val="clear" w:pos="360"/>
          <w:tab w:val="num" w:pos="720"/>
        </w:tabs>
        <w:spacing w:after="0" w:line="240" w:lineRule="auto"/>
        <w:ind w:left="720" w:hanging="720"/>
        <w:rPr>
          <w:szCs w:val="20"/>
        </w:rPr>
      </w:pPr>
      <w:r w:rsidRPr="00982B59">
        <w:rPr>
          <w:szCs w:val="20"/>
        </w:rPr>
        <w:t xml:space="preserve">The Owner shall ensure that every occupant of the Property is given notice that the Ministry has issued this CPU and that it contains the provisions noted above in </w:t>
      </w:r>
      <w:r>
        <w:rPr>
          <w:szCs w:val="20"/>
        </w:rPr>
        <w:t xml:space="preserve">Items </w:t>
      </w:r>
      <w:r w:rsidRPr="00982B59">
        <w:rPr>
          <w:szCs w:val="20"/>
        </w:rPr>
        <w:t xml:space="preserve">4.3 and 4.4, unless noted N/A. </w:t>
      </w:r>
      <w:r>
        <w:rPr>
          <w:szCs w:val="20"/>
        </w:rPr>
        <w:t xml:space="preserve"> </w:t>
      </w:r>
      <w:r w:rsidRPr="00982B59">
        <w:rPr>
          <w:szCs w:val="20"/>
        </w:rPr>
        <w:t>For the purposes of this requirement, an occupant means any person with whom the Owner has a contractual relationship regarding the occupancy of all or part of the Property.</w:t>
      </w:r>
    </w:p>
    <w:p w14:paraId="55A40C40" w14:textId="77777777" w:rsidR="00AF5828" w:rsidRPr="00D714D9" w:rsidRDefault="00AF5828" w:rsidP="00AF5828">
      <w:pPr>
        <w:pStyle w:val="Heading2"/>
      </w:pPr>
      <w:r w:rsidRPr="00D714D9">
        <w:t xml:space="preserve">Site </w:t>
      </w:r>
      <w:r w:rsidRPr="00D9497C">
        <w:t>Changes</w:t>
      </w:r>
    </w:p>
    <w:p w14:paraId="55A40C41" w14:textId="77777777" w:rsidR="00AF5828" w:rsidRPr="00D714D9" w:rsidRDefault="00AF5828" w:rsidP="00AF5828">
      <w:pPr>
        <w:widowControl w:val="0"/>
        <w:autoSpaceDE w:val="0"/>
        <w:autoSpaceDN w:val="0"/>
        <w:adjustRightInd w:val="0"/>
        <w:spacing w:after="0"/>
        <w:ind w:left="720" w:hanging="720"/>
        <w:rPr>
          <w:szCs w:val="20"/>
        </w:rPr>
      </w:pPr>
      <w:r w:rsidRPr="00D714D9">
        <w:rPr>
          <w:szCs w:val="20"/>
        </w:rPr>
        <w:t>4.6</w:t>
      </w:r>
      <w:r w:rsidRPr="00D714D9">
        <w:rPr>
          <w:szCs w:val="20"/>
        </w:rPr>
        <w:tab/>
        <w:t xml:space="preserve">In the event of a change in the physical site conditions or receptor characteristics at the Property that may affect the Risk Management Measures and/or any underlying basis for the Risk Management Measures, forthwith notify the Director of such changes and the steps taken, to implement, maintain and operate any further Risk Management Measures as are necessary to prevent, eliminate or ameliorate any Adverse Effect that will result from the presence on, in or under the Property or the discharge of any </w:t>
      </w:r>
      <w:r w:rsidRPr="00D714D9">
        <w:rPr>
          <w:szCs w:val="20"/>
        </w:rPr>
        <w:lastRenderedPageBreak/>
        <w:t>Contaminant of Concern into the natural environment from the Property. An amendment to the CPU will be issued to address the changes set out in the notice received and any further changes that the Director considers necessary in the circumstances.</w:t>
      </w:r>
    </w:p>
    <w:p w14:paraId="55A40C43" w14:textId="77777777" w:rsidR="00AF5828" w:rsidRPr="00D714D9" w:rsidRDefault="00AF5828" w:rsidP="00AF5828">
      <w:pPr>
        <w:pStyle w:val="Heading2"/>
      </w:pPr>
      <w:r w:rsidRPr="00D9497C">
        <w:t>Reports</w:t>
      </w:r>
    </w:p>
    <w:p w14:paraId="55A40C44" w14:textId="77777777" w:rsidR="00AF5828" w:rsidRPr="00D714D9" w:rsidRDefault="00AF5828" w:rsidP="00AF5828">
      <w:pPr>
        <w:widowControl w:val="0"/>
        <w:autoSpaceDE w:val="0"/>
        <w:autoSpaceDN w:val="0"/>
        <w:adjustRightInd w:val="0"/>
        <w:spacing w:after="0"/>
        <w:ind w:left="720" w:hanging="720"/>
        <w:rPr>
          <w:szCs w:val="20"/>
        </w:rPr>
      </w:pPr>
      <w:r w:rsidRPr="00D714D9">
        <w:rPr>
          <w:szCs w:val="20"/>
        </w:rPr>
        <w:t>4.7</w:t>
      </w:r>
      <w:r w:rsidRPr="00D714D9">
        <w:rPr>
          <w:szCs w:val="20"/>
        </w:rPr>
        <w:tab/>
        <w:t>Retain a copy of any reports required under the CPU, the Risk Assessment and any reports referred to in the Risk Assessment (until otherwise notified by the Director) and within ten (10) days of the Director or a Provincial Officer making a request for a report, provide a copy to the Director or Provincial Officer.</w:t>
      </w:r>
    </w:p>
    <w:p w14:paraId="55A40C46" w14:textId="77777777" w:rsidR="00AF5828" w:rsidRPr="00D714D9" w:rsidRDefault="00AF5828" w:rsidP="000620C2">
      <w:pPr>
        <w:pStyle w:val="Heading2"/>
      </w:pPr>
      <w:r w:rsidRPr="00794720">
        <w:t>Property</w:t>
      </w:r>
      <w:r w:rsidRPr="00D714D9">
        <w:t xml:space="preserve"> </w:t>
      </w:r>
      <w:r w:rsidRPr="000620C2">
        <w:t>Requirement</w:t>
      </w:r>
    </w:p>
    <w:p w14:paraId="55A40C47" w14:textId="77777777" w:rsidR="00AF5828" w:rsidRPr="00D714D9" w:rsidRDefault="00AF5828" w:rsidP="00AF5828">
      <w:pPr>
        <w:autoSpaceDE w:val="0"/>
        <w:autoSpaceDN w:val="0"/>
        <w:adjustRightInd w:val="0"/>
        <w:spacing w:after="0"/>
        <w:ind w:left="720" w:hanging="720"/>
        <w:rPr>
          <w:szCs w:val="20"/>
        </w:rPr>
      </w:pPr>
      <w:r>
        <w:rPr>
          <w:szCs w:val="20"/>
        </w:rPr>
        <w:t>4.8</w:t>
      </w:r>
      <w:r>
        <w:rPr>
          <w:szCs w:val="20"/>
        </w:rPr>
        <w:tab/>
      </w:r>
      <w:r w:rsidRPr="00D714D9">
        <w:rPr>
          <w:szCs w:val="20"/>
        </w:rPr>
        <w:t xml:space="preserve">For the reasons set out in the CPU and pursuant to the authority vested in me under subsection 197(1) of the Act, I hereby order you and any other person with an interest in the Property, before dealing with the Property in any way, to give a copy of the CPU, including any amendments thereto, to every person who will acquire an interest in the Property as a result of the dealing. </w:t>
      </w:r>
    </w:p>
    <w:p w14:paraId="55A40C48" w14:textId="77777777" w:rsidR="00AF5828" w:rsidRPr="00D714D9" w:rsidRDefault="00AF5828" w:rsidP="00AF5828">
      <w:pPr>
        <w:autoSpaceDE w:val="0"/>
        <w:autoSpaceDN w:val="0"/>
        <w:adjustRightInd w:val="0"/>
        <w:spacing w:after="0"/>
        <w:rPr>
          <w:szCs w:val="20"/>
        </w:rPr>
      </w:pPr>
    </w:p>
    <w:p w14:paraId="55A40C49" w14:textId="77777777" w:rsidR="00AF5828" w:rsidRPr="00D714D9" w:rsidRDefault="00AF5828" w:rsidP="000620C2">
      <w:pPr>
        <w:pStyle w:val="Heading2"/>
      </w:pPr>
      <w:r w:rsidRPr="00D714D9">
        <w:t xml:space="preserve">Certificate of </w:t>
      </w:r>
      <w:r w:rsidRPr="000620C2">
        <w:t>Requirement</w:t>
      </w:r>
    </w:p>
    <w:p w14:paraId="357F7CD1" w14:textId="287E53E5" w:rsidR="00363CF1" w:rsidRDefault="00AF5828" w:rsidP="00363CF1">
      <w:pPr>
        <w:widowControl w:val="0"/>
        <w:autoSpaceDE w:val="0"/>
        <w:autoSpaceDN w:val="0"/>
        <w:adjustRightInd w:val="0"/>
        <w:spacing w:after="0"/>
        <w:ind w:left="720" w:hanging="720"/>
        <w:rPr>
          <w:szCs w:val="20"/>
        </w:rPr>
      </w:pPr>
      <w:r w:rsidRPr="00D714D9">
        <w:rPr>
          <w:szCs w:val="20"/>
        </w:rPr>
        <w:t>4.9</w:t>
      </w:r>
      <w:r w:rsidRPr="00D714D9">
        <w:rPr>
          <w:szCs w:val="20"/>
        </w:rPr>
        <w:tab/>
      </w:r>
      <w:r w:rsidR="00363CF1" w:rsidRPr="0041360C">
        <w:rPr>
          <w:szCs w:val="20"/>
        </w:rPr>
        <w:t>Within fifteen (15) days from the date of receipt of a certificate of requirement issued under subsection 197(2) of the Act and as set out in Schedule ‘</w:t>
      </w:r>
      <w:r w:rsidR="00793193">
        <w:rPr>
          <w:szCs w:val="20"/>
        </w:rPr>
        <w:t>C</w:t>
      </w:r>
      <w:r w:rsidR="00363CF1" w:rsidRPr="0041360C">
        <w:rPr>
          <w:szCs w:val="20"/>
        </w:rPr>
        <w:t>’, register the certificate of requirement on title to the Property, in the appropriate land registry office.</w:t>
      </w:r>
    </w:p>
    <w:p w14:paraId="55A40C4B" w14:textId="17A524BF" w:rsidR="00AF5828" w:rsidRPr="00D714D9" w:rsidRDefault="00AF5828" w:rsidP="00AF5828">
      <w:pPr>
        <w:widowControl w:val="0"/>
        <w:autoSpaceDE w:val="0"/>
        <w:autoSpaceDN w:val="0"/>
        <w:adjustRightInd w:val="0"/>
        <w:spacing w:after="0"/>
        <w:ind w:left="720" w:hanging="720"/>
        <w:rPr>
          <w:szCs w:val="20"/>
        </w:rPr>
      </w:pPr>
    </w:p>
    <w:p w14:paraId="55A40C4C" w14:textId="77777777" w:rsidR="00AF5828" w:rsidRPr="00D714D9" w:rsidRDefault="00AF5828" w:rsidP="00AF5828">
      <w:pPr>
        <w:widowControl w:val="0"/>
        <w:autoSpaceDE w:val="0"/>
        <w:autoSpaceDN w:val="0"/>
        <w:adjustRightInd w:val="0"/>
        <w:spacing w:after="0"/>
        <w:ind w:left="720" w:hanging="720"/>
        <w:rPr>
          <w:szCs w:val="20"/>
        </w:rPr>
      </w:pPr>
      <w:r w:rsidRPr="00D714D9">
        <w:rPr>
          <w:szCs w:val="20"/>
        </w:rPr>
        <w:t>4.10</w:t>
      </w:r>
      <w:r w:rsidRPr="00D714D9">
        <w:rPr>
          <w:szCs w:val="20"/>
        </w:rPr>
        <w:tab/>
        <w:t>Immediately after registration of the certificate of requirement, provide to the Director written verification that the certificate of requirement has been registered on title to the Property.</w:t>
      </w:r>
    </w:p>
    <w:p w14:paraId="55A40C4E" w14:textId="77777777" w:rsidR="00AF5828" w:rsidRPr="00D714D9" w:rsidRDefault="00AF5828" w:rsidP="000620C2">
      <w:pPr>
        <w:pStyle w:val="Heading2"/>
      </w:pPr>
      <w:r w:rsidRPr="000620C2">
        <w:t>Owner</w:t>
      </w:r>
      <w:r>
        <w:t xml:space="preserve"> </w:t>
      </w:r>
      <w:r w:rsidRPr="00D714D9">
        <w:t xml:space="preserve">Change </w:t>
      </w:r>
    </w:p>
    <w:p w14:paraId="0DC89A4C" w14:textId="77777777" w:rsidR="00B966CD" w:rsidRDefault="00AF5828" w:rsidP="00B966CD">
      <w:pPr>
        <w:widowControl w:val="0"/>
        <w:autoSpaceDE w:val="0"/>
        <w:autoSpaceDN w:val="0"/>
        <w:adjustRightInd w:val="0"/>
        <w:spacing w:after="0"/>
        <w:ind w:left="720" w:hanging="720"/>
        <w:rPr>
          <w:szCs w:val="20"/>
        </w:rPr>
      </w:pPr>
      <w:r>
        <w:rPr>
          <w:szCs w:val="20"/>
        </w:rPr>
        <w:t>4.11</w:t>
      </w:r>
      <w:r>
        <w:rPr>
          <w:szCs w:val="20"/>
        </w:rPr>
        <w:tab/>
      </w:r>
      <w:r w:rsidRPr="007717BA">
        <w:rPr>
          <w:szCs w:val="20"/>
        </w:rPr>
        <w:t>While the CPU is in effect, the Owner shall forthwith report in writing, to the Director any changes of ownership of the Property, except that while the Property is registered under the Condominium Act, 1998, S.O.1998 c.19, as amended, no notice shall be given of changes in the ownership of individual condominium units or any appurtenant common elements on the Property.</w:t>
      </w:r>
    </w:p>
    <w:p w14:paraId="5B2AC31B" w14:textId="77777777" w:rsidR="00B966CD" w:rsidRDefault="00B966CD" w:rsidP="00B966CD">
      <w:pPr>
        <w:widowControl w:val="0"/>
        <w:autoSpaceDE w:val="0"/>
        <w:autoSpaceDN w:val="0"/>
        <w:adjustRightInd w:val="0"/>
        <w:spacing w:after="0"/>
        <w:ind w:left="720" w:hanging="720"/>
        <w:rPr>
          <w:szCs w:val="20"/>
        </w:rPr>
      </w:pPr>
    </w:p>
    <w:p w14:paraId="1A490A82" w14:textId="77777777" w:rsidR="00B966CD" w:rsidRPr="00B966CD" w:rsidRDefault="00AF5828" w:rsidP="00B966CD">
      <w:pPr>
        <w:widowControl w:val="0"/>
        <w:autoSpaceDE w:val="0"/>
        <w:autoSpaceDN w:val="0"/>
        <w:adjustRightInd w:val="0"/>
        <w:spacing w:after="0"/>
        <w:ind w:left="720" w:hanging="720"/>
        <w:rPr>
          <w:sz w:val="26"/>
          <w:szCs w:val="26"/>
          <w:u w:val="single"/>
        </w:rPr>
      </w:pPr>
      <w:r w:rsidRPr="00B966CD">
        <w:rPr>
          <w:sz w:val="26"/>
          <w:szCs w:val="26"/>
          <w:u w:val="single"/>
        </w:rPr>
        <w:t>Financial Assurance</w:t>
      </w:r>
    </w:p>
    <w:p w14:paraId="43C04B8B" w14:textId="77777777" w:rsidR="00B966CD" w:rsidRDefault="00B966CD" w:rsidP="00B966CD">
      <w:pPr>
        <w:widowControl w:val="0"/>
        <w:autoSpaceDE w:val="0"/>
        <w:autoSpaceDN w:val="0"/>
        <w:adjustRightInd w:val="0"/>
        <w:spacing w:after="0"/>
        <w:ind w:left="720" w:hanging="720"/>
      </w:pPr>
    </w:p>
    <w:p w14:paraId="70BD2CF5" w14:textId="5BD71431" w:rsidR="00AA6753" w:rsidRDefault="00AF5828" w:rsidP="00495E01">
      <w:pPr>
        <w:spacing w:after="0"/>
        <w:ind w:left="709" w:hanging="709"/>
        <w:rPr>
          <w:szCs w:val="20"/>
        </w:rPr>
      </w:pPr>
      <w:r w:rsidRPr="00A100E7">
        <w:rPr>
          <w:szCs w:val="20"/>
        </w:rPr>
        <w:t>4.12</w:t>
      </w:r>
      <w:r w:rsidRPr="00A100E7">
        <w:rPr>
          <w:szCs w:val="20"/>
        </w:rPr>
        <w:tab/>
      </w:r>
      <w:r w:rsidR="00AA6753" w:rsidRPr="00887B68">
        <w:rPr>
          <w:rFonts w:cs="Arial"/>
          <w:lang w:val="en-US"/>
        </w:rPr>
        <w:t xml:space="preserve">Within fifteen (15) days of the date of the CPU, the Owner shall provide financial assurance </w:t>
      </w:r>
      <w:bookmarkStart w:id="4" w:name="_Hlk62637192"/>
      <w:r w:rsidR="00AA6753" w:rsidRPr="00887B68">
        <w:rPr>
          <w:rFonts w:cs="Arial"/>
          <w:lang w:val="en-US"/>
        </w:rPr>
        <w:t xml:space="preserve">to the Crown in right of Ontario </w:t>
      </w:r>
      <w:bookmarkEnd w:id="4"/>
      <w:r w:rsidR="00AA6753" w:rsidRPr="00887B68">
        <w:rPr>
          <w:rFonts w:cs="Arial"/>
          <w:lang w:val="en-US"/>
        </w:rPr>
        <w:t xml:space="preserve">in the </w:t>
      </w:r>
      <w:r w:rsidR="00AA6753" w:rsidRPr="009D041E">
        <w:rPr>
          <w:rFonts w:cs="Arial"/>
          <w:lang w:val="en-US"/>
        </w:rPr>
        <w:t xml:space="preserve">amount </w:t>
      </w:r>
      <w:r w:rsidR="00567537">
        <w:rPr>
          <w:szCs w:val="20"/>
          <w:lang w:val="en-US"/>
        </w:rPr>
        <w:t xml:space="preserve">of </w:t>
      </w:r>
      <w:r w:rsidR="00793193">
        <w:rPr>
          <w:szCs w:val="20"/>
          <w:lang w:val="en-US"/>
        </w:rPr>
        <w:t xml:space="preserve">eighteen thousand, seven hundred and seventy-seven </w:t>
      </w:r>
      <w:r w:rsidR="00A21CDB">
        <w:rPr>
          <w:szCs w:val="20"/>
          <w:lang w:val="en-US"/>
        </w:rPr>
        <w:t>dollars</w:t>
      </w:r>
      <w:r w:rsidR="00AA6753">
        <w:rPr>
          <w:szCs w:val="20"/>
          <w:lang w:val="en-US"/>
        </w:rPr>
        <w:t xml:space="preserve"> </w:t>
      </w:r>
      <w:r w:rsidR="00AA6753" w:rsidRPr="00F80BAD">
        <w:rPr>
          <w:szCs w:val="20"/>
          <w:lang w:val="en-US"/>
        </w:rPr>
        <w:t>($</w:t>
      </w:r>
      <w:r w:rsidR="00793193">
        <w:rPr>
          <w:szCs w:val="20"/>
          <w:lang w:val="en-US"/>
        </w:rPr>
        <w:t>18,777.00</w:t>
      </w:r>
      <w:r w:rsidR="00AA6753" w:rsidRPr="00F80BAD">
        <w:rPr>
          <w:szCs w:val="20"/>
          <w:lang w:val="en-US"/>
        </w:rPr>
        <w:t>)</w:t>
      </w:r>
      <w:r w:rsidR="00AA6753">
        <w:rPr>
          <w:szCs w:val="20"/>
          <w:lang w:val="en-US"/>
        </w:rPr>
        <w:t xml:space="preserve"> </w:t>
      </w:r>
      <w:r w:rsidR="00AA6753" w:rsidRPr="00887B68">
        <w:rPr>
          <w:rFonts w:cs="Arial"/>
          <w:lang w:val="en-US"/>
        </w:rPr>
        <w:t>in a form satisfactory to the Director and in accordance with Part XII of the Act.</w:t>
      </w:r>
    </w:p>
    <w:p w14:paraId="3A753435" w14:textId="77777777" w:rsidR="00F80BAD" w:rsidRPr="00F80BAD" w:rsidRDefault="00F80BAD" w:rsidP="00F80BAD">
      <w:pPr>
        <w:spacing w:after="0"/>
        <w:ind w:left="709" w:hanging="709"/>
        <w:rPr>
          <w:szCs w:val="20"/>
          <w:lang w:val="en-US"/>
        </w:rPr>
      </w:pPr>
    </w:p>
    <w:p w14:paraId="3D60A19B" w14:textId="469F957E" w:rsidR="00F80BAD" w:rsidRDefault="00F80BAD" w:rsidP="00567537">
      <w:pPr>
        <w:pStyle w:val="ListParagraph"/>
        <w:numPr>
          <w:ilvl w:val="1"/>
          <w:numId w:val="41"/>
        </w:numPr>
        <w:spacing w:after="0"/>
        <w:ind w:left="709" w:hanging="709"/>
        <w:rPr>
          <w:szCs w:val="20"/>
          <w:lang w:val="en-US"/>
        </w:rPr>
      </w:pPr>
      <w:r w:rsidRPr="00567537">
        <w:rPr>
          <w:szCs w:val="20"/>
          <w:lang w:val="en-US"/>
        </w:rPr>
        <w:lastRenderedPageBreak/>
        <w:t xml:space="preserve">A written report reviewing the financial assurance required by the CPU shall be included in the annual report referred to as Item 4.2 </w:t>
      </w:r>
      <w:r w:rsidR="00793193">
        <w:rPr>
          <w:szCs w:val="20"/>
          <w:lang w:val="en-US"/>
        </w:rPr>
        <w:t>m</w:t>
      </w:r>
      <w:r w:rsidR="00D94DA0" w:rsidRPr="00567537">
        <w:rPr>
          <w:szCs w:val="20"/>
          <w:lang w:val="en-US"/>
        </w:rPr>
        <w:t>.</w:t>
      </w:r>
      <w:r w:rsidRPr="00567537">
        <w:rPr>
          <w:szCs w:val="20"/>
          <w:lang w:val="en-US"/>
        </w:rPr>
        <w:t xml:space="preserve"> with an updated cost estimate with respect to the matters dealt with in Item 4.12 above.</w:t>
      </w:r>
    </w:p>
    <w:p w14:paraId="1E074144" w14:textId="77777777" w:rsidR="00567537" w:rsidRPr="00567537" w:rsidRDefault="00567537" w:rsidP="00567537">
      <w:pPr>
        <w:pStyle w:val="ListParagraph"/>
        <w:spacing w:after="0"/>
        <w:ind w:left="709"/>
        <w:rPr>
          <w:szCs w:val="20"/>
          <w:lang w:val="en-US"/>
        </w:rPr>
      </w:pPr>
    </w:p>
    <w:p w14:paraId="4A34B5EE" w14:textId="0EEEACB5" w:rsidR="00F80BAD" w:rsidRDefault="00F80BAD" w:rsidP="009407D9">
      <w:pPr>
        <w:spacing w:after="0"/>
        <w:ind w:left="709" w:hanging="709"/>
        <w:rPr>
          <w:rFonts w:cs="Arial"/>
          <w:color w:val="000000"/>
        </w:rPr>
      </w:pPr>
    </w:p>
    <w:p w14:paraId="55A40C54" w14:textId="7F0F500C" w:rsidR="00AF5828" w:rsidRPr="00D30E1A" w:rsidRDefault="00FA20D7" w:rsidP="000A14D9">
      <w:pPr>
        <w:spacing w:after="0"/>
        <w:ind w:left="709" w:hanging="709"/>
        <w:rPr>
          <w:b/>
          <w:sz w:val="28"/>
          <w:szCs w:val="28"/>
        </w:rPr>
      </w:pPr>
      <w:r w:rsidRPr="00D30E1A">
        <w:rPr>
          <w:b/>
          <w:sz w:val="28"/>
          <w:szCs w:val="28"/>
        </w:rPr>
        <w:t>P</w:t>
      </w:r>
      <w:r w:rsidR="00AF5828" w:rsidRPr="00D30E1A">
        <w:rPr>
          <w:b/>
          <w:sz w:val="28"/>
          <w:szCs w:val="28"/>
        </w:rPr>
        <w:t xml:space="preserve">art 5:  General </w:t>
      </w:r>
    </w:p>
    <w:p w14:paraId="0197159B" w14:textId="77777777" w:rsidR="00E521A5" w:rsidRPr="00D30E1A" w:rsidRDefault="00E521A5" w:rsidP="000A14D9">
      <w:pPr>
        <w:spacing w:after="0"/>
        <w:ind w:left="709" w:hanging="709"/>
        <w:rPr>
          <w:b/>
          <w:sz w:val="28"/>
          <w:szCs w:val="28"/>
        </w:rPr>
      </w:pPr>
    </w:p>
    <w:p w14:paraId="55A40C55" w14:textId="77777777" w:rsidR="00AF5828" w:rsidRPr="00D714D9" w:rsidRDefault="00AF5828" w:rsidP="00AF5828">
      <w:pPr>
        <w:spacing w:after="0"/>
        <w:ind w:left="720" w:hanging="720"/>
        <w:rPr>
          <w:szCs w:val="20"/>
        </w:rPr>
      </w:pPr>
      <w:r w:rsidRPr="00D714D9">
        <w:rPr>
          <w:szCs w:val="20"/>
        </w:rPr>
        <w:t>5.1</w:t>
      </w:r>
      <w:r w:rsidR="006E4ED8">
        <w:rPr>
          <w:szCs w:val="20"/>
        </w:rPr>
        <w:tab/>
      </w:r>
      <w:r w:rsidRPr="00D714D9">
        <w:rPr>
          <w:szCs w:val="20"/>
        </w:rPr>
        <w:t>The requirements of the CPU are severable. If any requirement of the CPU or the application of any requirement to any circumstance is held invalid, the application of such requirement to other circumstances and the remainder of the CPU shall not be affected thereby.</w:t>
      </w:r>
    </w:p>
    <w:p w14:paraId="55A40C56" w14:textId="77777777" w:rsidR="00AF5828" w:rsidRPr="00D714D9" w:rsidRDefault="00AF5828" w:rsidP="00AF5828">
      <w:pPr>
        <w:spacing w:after="0"/>
        <w:rPr>
          <w:szCs w:val="20"/>
        </w:rPr>
      </w:pPr>
    </w:p>
    <w:p w14:paraId="55A40C57" w14:textId="77777777" w:rsidR="00AF5828" w:rsidRPr="00D714D9" w:rsidRDefault="00AF5828" w:rsidP="00AF5828">
      <w:pPr>
        <w:spacing w:after="0"/>
        <w:rPr>
          <w:szCs w:val="20"/>
        </w:rPr>
      </w:pPr>
      <w:r w:rsidRPr="00D714D9">
        <w:rPr>
          <w:szCs w:val="20"/>
        </w:rPr>
        <w:t>5.2</w:t>
      </w:r>
      <w:r w:rsidR="006E4ED8">
        <w:rPr>
          <w:szCs w:val="20"/>
        </w:rPr>
        <w:tab/>
      </w:r>
      <w:r w:rsidRPr="00D714D9">
        <w:rPr>
          <w:szCs w:val="20"/>
        </w:rPr>
        <w:t xml:space="preserve">An application under sub section 168.6(3) of the Act to, </w:t>
      </w:r>
    </w:p>
    <w:p w14:paraId="55A40C58" w14:textId="77777777" w:rsidR="00AF5828" w:rsidRPr="00AF7379" w:rsidRDefault="00AF5828" w:rsidP="00C91A86">
      <w:pPr>
        <w:pStyle w:val="ListParagraph"/>
        <w:numPr>
          <w:ilvl w:val="0"/>
          <w:numId w:val="17"/>
        </w:numPr>
        <w:spacing w:after="0"/>
        <w:rPr>
          <w:szCs w:val="20"/>
        </w:rPr>
      </w:pPr>
      <w:r w:rsidRPr="00AF7379">
        <w:rPr>
          <w:szCs w:val="20"/>
        </w:rPr>
        <w:t>alter any terms and conditions in the CPU or impose new terms and conditions; or</w:t>
      </w:r>
    </w:p>
    <w:p w14:paraId="55A40C59" w14:textId="77777777" w:rsidR="00AF5828" w:rsidRPr="00AF7379" w:rsidRDefault="00AF5828" w:rsidP="00C91A86">
      <w:pPr>
        <w:pStyle w:val="ListParagraph"/>
        <w:numPr>
          <w:ilvl w:val="0"/>
          <w:numId w:val="17"/>
        </w:numPr>
        <w:spacing w:after="0"/>
        <w:rPr>
          <w:szCs w:val="20"/>
        </w:rPr>
      </w:pPr>
      <w:r w:rsidRPr="00AF7379">
        <w:rPr>
          <w:szCs w:val="20"/>
        </w:rPr>
        <w:t>revoke the CPU;</w:t>
      </w:r>
    </w:p>
    <w:p w14:paraId="55A40C5A" w14:textId="77777777" w:rsidR="00AF5828" w:rsidRPr="00AF7379" w:rsidRDefault="00AF5828" w:rsidP="00D44B9C">
      <w:pPr>
        <w:spacing w:after="0"/>
        <w:ind w:left="720"/>
        <w:rPr>
          <w:szCs w:val="20"/>
        </w:rPr>
      </w:pPr>
      <w:r w:rsidRPr="00AF7379">
        <w:rPr>
          <w:szCs w:val="20"/>
        </w:rPr>
        <w:t>shall be made in writing to the Director, with reasons for the request.</w:t>
      </w:r>
    </w:p>
    <w:p w14:paraId="55A40C5B" w14:textId="77777777" w:rsidR="00AF5828" w:rsidRPr="00D714D9" w:rsidRDefault="00AF5828" w:rsidP="00AF5828">
      <w:pPr>
        <w:spacing w:after="0"/>
        <w:ind w:left="180"/>
        <w:rPr>
          <w:szCs w:val="20"/>
        </w:rPr>
      </w:pPr>
    </w:p>
    <w:p w14:paraId="55A40C5C" w14:textId="77777777" w:rsidR="00AF5828" w:rsidRPr="00D714D9" w:rsidRDefault="00AF5828" w:rsidP="00C91A86">
      <w:pPr>
        <w:numPr>
          <w:ilvl w:val="1"/>
          <w:numId w:val="6"/>
        </w:numPr>
        <w:spacing w:after="0" w:line="240" w:lineRule="auto"/>
        <w:ind w:hanging="720"/>
        <w:rPr>
          <w:szCs w:val="20"/>
        </w:rPr>
      </w:pPr>
      <w:r w:rsidRPr="00D714D9">
        <w:rPr>
          <w:szCs w:val="20"/>
        </w:rPr>
        <w:t xml:space="preserve">The Director may </w:t>
      </w:r>
      <w:r>
        <w:rPr>
          <w:szCs w:val="20"/>
        </w:rPr>
        <w:t>alter</w:t>
      </w:r>
      <w:r w:rsidRPr="00D714D9">
        <w:rPr>
          <w:szCs w:val="20"/>
        </w:rPr>
        <w:t xml:space="preserve"> the CPU under subsections 132(2) or (3) of the Act to change a requirement as to financial assurance, including that the financial assurance may be increased or reduced or released in stages.  The total financial assurance required may be reduced from time to time or released by an order issued by the Director under section 134 of the Act upon request and submission of such supporting documentation as required by the Director.</w:t>
      </w:r>
    </w:p>
    <w:p w14:paraId="55A40C5D" w14:textId="77777777" w:rsidR="00AF5828" w:rsidRPr="00D714D9" w:rsidRDefault="00AF5828" w:rsidP="00AF5828">
      <w:pPr>
        <w:spacing w:after="0"/>
        <w:ind w:left="180"/>
        <w:rPr>
          <w:szCs w:val="20"/>
        </w:rPr>
      </w:pPr>
    </w:p>
    <w:p w14:paraId="55A40C5E" w14:textId="77777777" w:rsidR="00AF5828" w:rsidRPr="00D714D9" w:rsidRDefault="006E4ED8" w:rsidP="00AF5828">
      <w:pPr>
        <w:spacing w:after="0"/>
        <w:ind w:left="720" w:hanging="720"/>
        <w:rPr>
          <w:szCs w:val="20"/>
        </w:rPr>
      </w:pPr>
      <w:r>
        <w:rPr>
          <w:szCs w:val="20"/>
        </w:rPr>
        <w:t>5.4</w:t>
      </w:r>
      <w:r>
        <w:rPr>
          <w:szCs w:val="20"/>
        </w:rPr>
        <w:tab/>
      </w:r>
      <w:r w:rsidR="00AF5828" w:rsidRPr="00D714D9">
        <w:rPr>
          <w:szCs w:val="20"/>
        </w:rPr>
        <w:t>Subsection 186(3) of the Act provides that non-compliance with the requirements of the CPU constitutes an offence.</w:t>
      </w:r>
    </w:p>
    <w:p w14:paraId="55A40C5F" w14:textId="77777777" w:rsidR="00AF5828" w:rsidRPr="00D714D9" w:rsidRDefault="00AF5828" w:rsidP="00AF5828">
      <w:pPr>
        <w:spacing w:after="0"/>
        <w:rPr>
          <w:szCs w:val="20"/>
        </w:rPr>
      </w:pPr>
    </w:p>
    <w:p w14:paraId="55A40C60" w14:textId="77777777" w:rsidR="00AF5828" w:rsidRPr="00D714D9" w:rsidRDefault="006E4ED8" w:rsidP="00AF5828">
      <w:pPr>
        <w:spacing w:after="0"/>
        <w:ind w:left="720" w:hanging="720"/>
        <w:rPr>
          <w:szCs w:val="20"/>
        </w:rPr>
      </w:pPr>
      <w:r>
        <w:rPr>
          <w:szCs w:val="20"/>
        </w:rPr>
        <w:t>5.5</w:t>
      </w:r>
      <w:r>
        <w:rPr>
          <w:szCs w:val="20"/>
        </w:rPr>
        <w:tab/>
      </w:r>
      <w:r w:rsidR="00AF5828" w:rsidRPr="00D714D9">
        <w:rPr>
          <w:szCs w:val="20"/>
        </w:rPr>
        <w:t xml:space="preserve">The requirements of the CPU are minimum requirements only and do not relieve </w:t>
      </w:r>
      <w:r w:rsidR="00AF5828">
        <w:rPr>
          <w:szCs w:val="20"/>
        </w:rPr>
        <w:t>the Owner</w:t>
      </w:r>
      <w:r w:rsidR="00AF5828" w:rsidRPr="00D714D9">
        <w:rPr>
          <w:szCs w:val="20"/>
        </w:rPr>
        <w:t xml:space="preserve"> from,</w:t>
      </w:r>
    </w:p>
    <w:p w14:paraId="55A40C61" w14:textId="77777777" w:rsidR="00AF5828" w:rsidRPr="00647500" w:rsidRDefault="00AF5828" w:rsidP="00C91A86">
      <w:pPr>
        <w:pStyle w:val="ListParagraph"/>
        <w:numPr>
          <w:ilvl w:val="1"/>
          <w:numId w:val="18"/>
        </w:numPr>
        <w:spacing w:after="0"/>
        <w:rPr>
          <w:color w:val="000000"/>
          <w:szCs w:val="20"/>
        </w:rPr>
      </w:pPr>
      <w:r w:rsidRPr="00647500">
        <w:rPr>
          <w:szCs w:val="20"/>
        </w:rPr>
        <w:t>complying with any o</w:t>
      </w:r>
      <w:r w:rsidRPr="00647500">
        <w:rPr>
          <w:color w:val="000000"/>
          <w:szCs w:val="20"/>
        </w:rPr>
        <w:t>ther applicable order, statute, regulation, municipal, provincial or federal law; or</w:t>
      </w:r>
    </w:p>
    <w:p w14:paraId="55A40C62" w14:textId="77777777" w:rsidR="00AF5828" w:rsidRPr="00647500" w:rsidRDefault="00AF5828" w:rsidP="00C91A86">
      <w:pPr>
        <w:pStyle w:val="ListParagraph"/>
        <w:numPr>
          <w:ilvl w:val="1"/>
          <w:numId w:val="18"/>
        </w:numPr>
        <w:spacing w:after="0"/>
        <w:rPr>
          <w:color w:val="000000"/>
          <w:szCs w:val="20"/>
        </w:rPr>
      </w:pPr>
      <w:r w:rsidRPr="00647500">
        <w:rPr>
          <w:color w:val="000000"/>
          <w:szCs w:val="20"/>
        </w:rPr>
        <w:t>obtaining any approvals or consents not specified in the CPU.</w:t>
      </w:r>
    </w:p>
    <w:p w14:paraId="55A40C63" w14:textId="77777777" w:rsidR="00AF5828" w:rsidRPr="009A00F2" w:rsidRDefault="00AF5828" w:rsidP="00AF5828">
      <w:pPr>
        <w:spacing w:after="0"/>
        <w:rPr>
          <w:color w:val="000000"/>
          <w:szCs w:val="20"/>
        </w:rPr>
      </w:pPr>
    </w:p>
    <w:p w14:paraId="55A40C64" w14:textId="77777777" w:rsidR="00AF5828" w:rsidRDefault="006E4ED8" w:rsidP="00AF5828">
      <w:pPr>
        <w:spacing w:after="0"/>
        <w:ind w:left="720" w:hanging="720"/>
        <w:rPr>
          <w:color w:val="000000"/>
          <w:szCs w:val="20"/>
        </w:rPr>
      </w:pPr>
      <w:r>
        <w:rPr>
          <w:color w:val="000000"/>
          <w:szCs w:val="20"/>
        </w:rPr>
        <w:t>5.6</w:t>
      </w:r>
      <w:r>
        <w:rPr>
          <w:color w:val="000000"/>
          <w:szCs w:val="20"/>
        </w:rPr>
        <w:tab/>
      </w:r>
      <w:r w:rsidR="00AF5828" w:rsidRPr="0002531F">
        <w:rPr>
          <w:color w:val="000000"/>
          <w:szCs w:val="20"/>
        </w:rPr>
        <w:t xml:space="preserve">Notwithstanding the issuance of the CPU, further requirements may be imposed in accordance with legislation as circumstances require.  The Director shall also </w:t>
      </w:r>
      <w:r w:rsidR="00AF5828">
        <w:rPr>
          <w:color w:val="000000"/>
          <w:szCs w:val="20"/>
        </w:rPr>
        <w:t>alter</w:t>
      </w:r>
      <w:r w:rsidR="00AF5828" w:rsidRPr="0002531F">
        <w:rPr>
          <w:color w:val="000000"/>
          <w:szCs w:val="20"/>
        </w:rPr>
        <w:t xml:space="preserve"> the CPU where the approval or acceptance of the Director is required in respect of a matter under the CPU and the Director either does not grant the approval or acceptance or does not grant it in a manner agreed to by the Owner. </w:t>
      </w:r>
    </w:p>
    <w:p w14:paraId="55A40C65" w14:textId="77777777" w:rsidR="00AF5828" w:rsidRPr="009A00F2" w:rsidRDefault="00AF5828" w:rsidP="00AF5828">
      <w:pPr>
        <w:spacing w:after="0"/>
        <w:ind w:left="720" w:hanging="720"/>
        <w:rPr>
          <w:color w:val="000000"/>
          <w:szCs w:val="20"/>
        </w:rPr>
      </w:pPr>
    </w:p>
    <w:p w14:paraId="55A40C66" w14:textId="77777777" w:rsidR="00AF5828" w:rsidRPr="009A00F2" w:rsidRDefault="006E4ED8" w:rsidP="00AF5828">
      <w:pPr>
        <w:spacing w:after="0"/>
        <w:ind w:left="720" w:hanging="720"/>
        <w:rPr>
          <w:color w:val="000000"/>
          <w:szCs w:val="20"/>
        </w:rPr>
      </w:pPr>
      <w:r>
        <w:rPr>
          <w:color w:val="000000"/>
          <w:szCs w:val="20"/>
        </w:rPr>
        <w:t>5.7</w:t>
      </w:r>
      <w:r>
        <w:rPr>
          <w:color w:val="000000"/>
          <w:szCs w:val="20"/>
        </w:rPr>
        <w:tab/>
      </w:r>
      <w:r w:rsidR="00AF5828" w:rsidRPr="009A00F2">
        <w:rPr>
          <w:color w:val="000000"/>
          <w:szCs w:val="20"/>
        </w:rPr>
        <w:t>In the event that, any person is, in the opinion of the Director, rendered unable to comply with any requirements in the CPU because of,</w:t>
      </w:r>
    </w:p>
    <w:p w14:paraId="55A40C67" w14:textId="77777777" w:rsidR="00AF5828" w:rsidRPr="00647500" w:rsidRDefault="00AF5828" w:rsidP="00C91A86">
      <w:pPr>
        <w:pStyle w:val="ListParagraph"/>
        <w:numPr>
          <w:ilvl w:val="0"/>
          <w:numId w:val="19"/>
        </w:numPr>
        <w:spacing w:after="0"/>
        <w:rPr>
          <w:color w:val="000000"/>
          <w:szCs w:val="20"/>
        </w:rPr>
      </w:pPr>
      <w:r w:rsidRPr="00647500">
        <w:rPr>
          <w:color w:val="000000"/>
          <w:szCs w:val="20"/>
        </w:rPr>
        <w:t>natural phenomena of an inevitable or irresistible nature, or insurrections,</w:t>
      </w:r>
    </w:p>
    <w:p w14:paraId="55A40C68" w14:textId="77777777" w:rsidR="00AF5828" w:rsidRPr="00647500" w:rsidRDefault="00AF5828" w:rsidP="00C91A86">
      <w:pPr>
        <w:pStyle w:val="ListParagraph"/>
        <w:numPr>
          <w:ilvl w:val="0"/>
          <w:numId w:val="19"/>
        </w:numPr>
        <w:spacing w:after="0"/>
        <w:ind w:right="-180"/>
        <w:rPr>
          <w:color w:val="000000"/>
          <w:szCs w:val="20"/>
        </w:rPr>
      </w:pPr>
      <w:r w:rsidRPr="00647500">
        <w:rPr>
          <w:color w:val="000000"/>
          <w:szCs w:val="20"/>
        </w:rPr>
        <w:t>strikes, lockouts or other labour disturbances,</w:t>
      </w:r>
    </w:p>
    <w:p w14:paraId="55A40C69" w14:textId="77777777" w:rsidR="00AF5828" w:rsidRDefault="00AF5828" w:rsidP="00C91A86">
      <w:pPr>
        <w:pStyle w:val="ListParagraph"/>
        <w:numPr>
          <w:ilvl w:val="0"/>
          <w:numId w:val="19"/>
        </w:numPr>
        <w:spacing w:after="0"/>
        <w:rPr>
          <w:color w:val="000000"/>
          <w:szCs w:val="20"/>
        </w:rPr>
      </w:pPr>
      <w:r w:rsidRPr="00647500">
        <w:rPr>
          <w:color w:val="000000"/>
          <w:szCs w:val="20"/>
        </w:rPr>
        <w:t>inability to obtain materials or equipment for reasons beyond your control, or</w:t>
      </w:r>
    </w:p>
    <w:p w14:paraId="55A40C6A" w14:textId="77777777" w:rsidR="00B2345E" w:rsidRDefault="00B2345E" w:rsidP="00C91A86">
      <w:pPr>
        <w:pStyle w:val="ListParagraph"/>
        <w:numPr>
          <w:ilvl w:val="0"/>
          <w:numId w:val="19"/>
        </w:numPr>
        <w:spacing w:after="0"/>
        <w:rPr>
          <w:color w:val="000000"/>
          <w:szCs w:val="20"/>
        </w:rPr>
      </w:pPr>
      <w:r w:rsidRPr="00B2345E">
        <w:rPr>
          <w:color w:val="000000"/>
          <w:szCs w:val="20"/>
        </w:rPr>
        <w:lastRenderedPageBreak/>
        <w:t>any other cause whether similar to or different from the foregoing beyond your control, the requirements shall be adjusted in a manner defined by the Director. To obtain such an adjustment, the Director must be notified immediately of any of the above occurrences, providing details that demonstrate that no practical alternatives are feasible in order to meet the requirements in question.</w:t>
      </w:r>
    </w:p>
    <w:p w14:paraId="55A40C6B" w14:textId="77777777" w:rsidR="00AF5828" w:rsidRPr="009A00F2" w:rsidRDefault="00AF5828" w:rsidP="00AF5828">
      <w:pPr>
        <w:spacing w:after="0"/>
        <w:rPr>
          <w:color w:val="000000"/>
          <w:szCs w:val="20"/>
        </w:rPr>
      </w:pPr>
    </w:p>
    <w:p w14:paraId="55A40C6C" w14:textId="77777777" w:rsidR="00AF5828" w:rsidRDefault="006E4ED8" w:rsidP="00AF5828">
      <w:pPr>
        <w:spacing w:after="0"/>
        <w:ind w:left="720" w:hanging="720"/>
        <w:rPr>
          <w:color w:val="000000"/>
          <w:szCs w:val="20"/>
        </w:rPr>
      </w:pPr>
      <w:r>
        <w:rPr>
          <w:color w:val="000000"/>
          <w:szCs w:val="20"/>
        </w:rPr>
        <w:t>5.8</w:t>
      </w:r>
      <w:r>
        <w:rPr>
          <w:color w:val="000000"/>
          <w:szCs w:val="20"/>
        </w:rPr>
        <w:tab/>
      </w:r>
      <w:r w:rsidR="00AF5828" w:rsidRPr="009A00F2">
        <w:rPr>
          <w:color w:val="000000"/>
          <w:szCs w:val="20"/>
        </w:rPr>
        <w:t xml:space="preserve">Failure to comply with a requirement of the CPU by the date specified does not absolve </w:t>
      </w:r>
      <w:r w:rsidR="00AF5828">
        <w:rPr>
          <w:color w:val="000000"/>
          <w:szCs w:val="20"/>
        </w:rPr>
        <w:t>the Owner</w:t>
      </w:r>
      <w:r w:rsidR="00AF5828" w:rsidRPr="009A00F2">
        <w:rPr>
          <w:color w:val="000000"/>
          <w:szCs w:val="20"/>
        </w:rPr>
        <w:t xml:space="preserve"> from compliance with the requirement. The obligation to complete the requirement shall continue each day thereafter.</w:t>
      </w:r>
    </w:p>
    <w:p w14:paraId="1CFDF9ED" w14:textId="77777777" w:rsidR="00B86A1F" w:rsidRDefault="00B86A1F" w:rsidP="00AF5828">
      <w:pPr>
        <w:spacing w:after="0"/>
        <w:ind w:left="720" w:hanging="720"/>
        <w:rPr>
          <w:color w:val="000000"/>
          <w:szCs w:val="20"/>
        </w:rPr>
      </w:pPr>
    </w:p>
    <w:p w14:paraId="0F1AB0CA" w14:textId="7958275D" w:rsidR="00B86A1F" w:rsidRPr="00B86A1F" w:rsidRDefault="00B86A1F" w:rsidP="00B86A1F">
      <w:pPr>
        <w:spacing w:after="0"/>
        <w:ind w:left="720" w:hanging="720"/>
        <w:rPr>
          <w:color w:val="000000"/>
          <w:szCs w:val="20"/>
        </w:rPr>
      </w:pPr>
      <w:r w:rsidRPr="00B86A1F">
        <w:rPr>
          <w:color w:val="000000"/>
          <w:szCs w:val="20"/>
        </w:rPr>
        <w:t xml:space="preserve">5.9  </w:t>
      </w:r>
      <w:r>
        <w:rPr>
          <w:color w:val="000000"/>
          <w:szCs w:val="20"/>
        </w:rPr>
        <w:tab/>
      </w:r>
      <w:r w:rsidRPr="00B86A1F">
        <w:rPr>
          <w:color w:val="000000"/>
          <w:szCs w:val="20"/>
        </w:rPr>
        <w:t>In the event that the Owner complies with the provisions of Items 4.9 and 4.10 of the CPU regarding the registration of the certificate of requirement on title to the Property, and then creates a condominium corporation by the registration of a declaration and description with respect to the Property pursuant to the Condominium Act, 1998, S.O. 1998, c.19, as amended, and then transfers ownership of the Property to various condominium unit owners, the ongoing obligations of the Owner under this CPU can be carried out by the condominium corporation on behalf of the new Owners of the Property</w:t>
      </w:r>
    </w:p>
    <w:p w14:paraId="55A40C6E" w14:textId="77777777" w:rsidR="00AF5828" w:rsidRDefault="00AF5828" w:rsidP="000620C2">
      <w:pPr>
        <w:pStyle w:val="Heading1"/>
      </w:pPr>
      <w:r>
        <w:t>Part 6:  Hearing before the Environmental Review Tribunal</w:t>
      </w:r>
    </w:p>
    <w:p w14:paraId="55A40C70" w14:textId="77777777" w:rsidR="00AF5828" w:rsidRPr="004F4B1F" w:rsidRDefault="00AF5828" w:rsidP="00AF5828">
      <w:pPr>
        <w:spacing w:after="0"/>
        <w:ind w:left="720" w:hanging="720"/>
        <w:rPr>
          <w:szCs w:val="20"/>
        </w:rPr>
      </w:pPr>
      <w:r w:rsidRPr="004F4B1F">
        <w:rPr>
          <w:szCs w:val="20"/>
        </w:rPr>
        <w:t>6.1</w:t>
      </w:r>
      <w:r w:rsidRPr="004F4B1F">
        <w:rPr>
          <w:szCs w:val="20"/>
        </w:rPr>
        <w:tab/>
        <w:t xml:space="preserve">Pursuant to section 139 of the Act, you may require a hearing before the Environmental Review Tribunal (the </w:t>
      </w:r>
      <w:r>
        <w:rPr>
          <w:szCs w:val="20"/>
        </w:rPr>
        <w:t>“</w:t>
      </w:r>
      <w:r w:rsidRPr="004F4B1F">
        <w:rPr>
          <w:szCs w:val="20"/>
        </w:rPr>
        <w:t>Tribunal</w:t>
      </w:r>
      <w:r>
        <w:rPr>
          <w:szCs w:val="20"/>
        </w:rPr>
        <w:t>”</w:t>
      </w:r>
      <w:r w:rsidRPr="004F4B1F">
        <w:rPr>
          <w:szCs w:val="20"/>
        </w:rPr>
        <w:t>), if within fifteen (15) days after service on you of a copy of the CPU, you serve written notice upon the Director and the Tribunal.</w:t>
      </w:r>
    </w:p>
    <w:p w14:paraId="55A40C71" w14:textId="77777777" w:rsidR="00AF5828" w:rsidRPr="004F4B1F" w:rsidRDefault="00AF5828" w:rsidP="00AF5828">
      <w:pPr>
        <w:autoSpaceDE w:val="0"/>
        <w:autoSpaceDN w:val="0"/>
        <w:adjustRightInd w:val="0"/>
        <w:spacing w:after="0"/>
        <w:rPr>
          <w:szCs w:val="20"/>
        </w:rPr>
      </w:pPr>
    </w:p>
    <w:p w14:paraId="55A40C72" w14:textId="77777777" w:rsidR="00AF5828" w:rsidRPr="004F4B1F" w:rsidRDefault="00AF5828" w:rsidP="00AF5828">
      <w:pPr>
        <w:autoSpaceDE w:val="0"/>
        <w:autoSpaceDN w:val="0"/>
        <w:adjustRightInd w:val="0"/>
        <w:spacing w:after="0"/>
        <w:ind w:left="720" w:hanging="720"/>
        <w:rPr>
          <w:szCs w:val="20"/>
        </w:rPr>
      </w:pPr>
      <w:r w:rsidRPr="004F4B1F">
        <w:rPr>
          <w:szCs w:val="20"/>
        </w:rPr>
        <w:t>6.2</w:t>
      </w:r>
      <w:r w:rsidRPr="004F4B1F">
        <w:rPr>
          <w:szCs w:val="20"/>
        </w:rPr>
        <w:tab/>
        <w:t>Pursuant to section 142 of the Act, the notice requiring the hearing must include a statement of the portions of the CPU and the grounds on which you intend to rely at the hearing.  Except by leave of the Tribunal, you are not entitled to appeal a portion of the CPU</w:t>
      </w:r>
      <w:r>
        <w:rPr>
          <w:szCs w:val="20"/>
        </w:rPr>
        <w:t>,</w:t>
      </w:r>
      <w:r w:rsidRPr="004F4B1F">
        <w:rPr>
          <w:szCs w:val="20"/>
        </w:rPr>
        <w:t xml:space="preserve"> or to rely on a ground, that is not stated in the notice requiring the hearing.</w:t>
      </w:r>
    </w:p>
    <w:p w14:paraId="55A40C73" w14:textId="77777777" w:rsidR="00AF5828" w:rsidRPr="004F4B1F" w:rsidRDefault="00AF5828" w:rsidP="00AF5828">
      <w:pPr>
        <w:autoSpaceDE w:val="0"/>
        <w:autoSpaceDN w:val="0"/>
        <w:adjustRightInd w:val="0"/>
        <w:spacing w:after="0"/>
        <w:ind w:left="720" w:hanging="720"/>
        <w:rPr>
          <w:szCs w:val="20"/>
        </w:rPr>
      </w:pPr>
    </w:p>
    <w:p w14:paraId="55A40C74" w14:textId="77777777" w:rsidR="00AF5828" w:rsidRPr="004F4B1F" w:rsidRDefault="00AF5828" w:rsidP="00AF5828">
      <w:pPr>
        <w:autoSpaceDE w:val="0"/>
        <w:autoSpaceDN w:val="0"/>
        <w:adjustRightInd w:val="0"/>
        <w:spacing w:after="0"/>
        <w:ind w:left="720" w:hanging="720"/>
        <w:rPr>
          <w:szCs w:val="20"/>
        </w:rPr>
      </w:pPr>
      <w:r w:rsidRPr="004F4B1F">
        <w:rPr>
          <w:szCs w:val="20"/>
        </w:rPr>
        <w:t>6.3</w:t>
      </w:r>
      <w:r w:rsidRPr="004F4B1F">
        <w:rPr>
          <w:szCs w:val="20"/>
        </w:rPr>
        <w:tab/>
        <w:t>Service of a notice requiring a hearing must be carried out in a manner set out in section 182 of the Act and Ontario Regulation 227/07</w:t>
      </w:r>
      <w:r>
        <w:rPr>
          <w:szCs w:val="20"/>
        </w:rPr>
        <w:t xml:space="preserve">: </w:t>
      </w:r>
      <w:r w:rsidRPr="00203C54">
        <w:rPr>
          <w:i/>
          <w:szCs w:val="20"/>
        </w:rPr>
        <w:t>Service of Documents,</w:t>
      </w:r>
      <w:r>
        <w:rPr>
          <w:szCs w:val="20"/>
        </w:rPr>
        <w:t xml:space="preserve"> made under the Act as they may be amended from time to time.</w:t>
      </w:r>
      <w:r w:rsidRPr="004F4B1F">
        <w:rPr>
          <w:szCs w:val="20"/>
        </w:rPr>
        <w:t xml:space="preserve">  The address, email address and fax numbers of the Director and the Tribunal are:</w:t>
      </w:r>
    </w:p>
    <w:p w14:paraId="55A40C76" w14:textId="77777777" w:rsidR="00AF5828" w:rsidRDefault="00AF5828" w:rsidP="00AF5828">
      <w:pPr>
        <w:spacing w:after="0"/>
        <w:ind w:left="720"/>
        <w:rPr>
          <w:szCs w:val="20"/>
        </w:rPr>
      </w:pPr>
    </w:p>
    <w:p w14:paraId="55A40C77" w14:textId="77777777" w:rsidR="00AF5828" w:rsidRDefault="00AF5828" w:rsidP="00AF5828">
      <w:pPr>
        <w:spacing w:after="0"/>
        <w:ind w:left="720"/>
        <w:rPr>
          <w:szCs w:val="20"/>
        </w:rPr>
      </w:pPr>
      <w:r w:rsidRPr="004F4B1F">
        <w:rPr>
          <w:szCs w:val="20"/>
        </w:rPr>
        <w:t>The Secretary</w:t>
      </w:r>
    </w:p>
    <w:p w14:paraId="55A40C78" w14:textId="77777777" w:rsidR="00AF5828" w:rsidRDefault="00AF5828" w:rsidP="00AF5828">
      <w:pPr>
        <w:spacing w:after="0"/>
        <w:ind w:left="720"/>
        <w:rPr>
          <w:szCs w:val="20"/>
        </w:rPr>
      </w:pPr>
      <w:r w:rsidRPr="004F4B1F">
        <w:rPr>
          <w:szCs w:val="20"/>
        </w:rPr>
        <w:t>Environmental Review Tribunal</w:t>
      </w:r>
    </w:p>
    <w:p w14:paraId="55A40C79" w14:textId="77777777" w:rsidR="00AF5828" w:rsidRDefault="00AF5828" w:rsidP="00AF5828">
      <w:pPr>
        <w:spacing w:after="0"/>
        <w:ind w:left="720"/>
        <w:rPr>
          <w:szCs w:val="20"/>
        </w:rPr>
      </w:pPr>
      <w:r w:rsidRPr="004F4B1F">
        <w:rPr>
          <w:szCs w:val="20"/>
        </w:rPr>
        <w:t>655 Bay Street, Suite 1500</w:t>
      </w:r>
    </w:p>
    <w:p w14:paraId="55A40C7A" w14:textId="77777777" w:rsidR="00AF5828" w:rsidRDefault="00AF5828" w:rsidP="00AF5828">
      <w:pPr>
        <w:spacing w:after="0"/>
        <w:ind w:left="720"/>
        <w:rPr>
          <w:szCs w:val="20"/>
        </w:rPr>
      </w:pPr>
      <w:r w:rsidRPr="004F4B1F">
        <w:rPr>
          <w:szCs w:val="20"/>
        </w:rPr>
        <w:t>Toronto, ON, M5G 1E5</w:t>
      </w:r>
    </w:p>
    <w:p w14:paraId="6B719FB0" w14:textId="77777777" w:rsidR="00FA20D7" w:rsidRDefault="00AF5828" w:rsidP="00FA20D7">
      <w:pPr>
        <w:spacing w:after="0"/>
        <w:ind w:left="720"/>
        <w:rPr>
          <w:szCs w:val="20"/>
        </w:rPr>
      </w:pPr>
      <w:r>
        <w:rPr>
          <w:szCs w:val="20"/>
        </w:rPr>
        <w:t>F</w:t>
      </w:r>
      <w:r w:rsidRPr="004F4B1F">
        <w:rPr>
          <w:szCs w:val="20"/>
        </w:rPr>
        <w:t xml:space="preserve">ax: </w:t>
      </w:r>
      <w:r w:rsidR="00FA20D7" w:rsidRPr="00FA20D7">
        <w:rPr>
          <w:szCs w:val="20"/>
        </w:rPr>
        <w:t>1-877-849-2066</w:t>
      </w:r>
    </w:p>
    <w:p w14:paraId="55A40C7C" w14:textId="2FD1727B" w:rsidR="00AF5828" w:rsidRDefault="00AF5828" w:rsidP="00FA20D7">
      <w:pPr>
        <w:spacing w:after="0"/>
        <w:ind w:left="720"/>
        <w:rPr>
          <w:szCs w:val="20"/>
        </w:rPr>
      </w:pPr>
      <w:r w:rsidRPr="004F4B1F">
        <w:rPr>
          <w:szCs w:val="20"/>
        </w:rPr>
        <w:t xml:space="preserve">Email: </w:t>
      </w:r>
      <w:hyperlink r:id="rId13" w:history="1">
        <w:r w:rsidRPr="00224CCF">
          <w:rPr>
            <w:rStyle w:val="Hyperlink"/>
            <w:szCs w:val="20"/>
          </w:rPr>
          <w:t>ERTTribunalSecretary@ontario.ca</w:t>
        </w:r>
      </w:hyperlink>
    </w:p>
    <w:p w14:paraId="55A40C7D" w14:textId="77777777" w:rsidR="00AF5828" w:rsidRDefault="00AF5828" w:rsidP="00AF5828">
      <w:pPr>
        <w:spacing w:after="0"/>
        <w:rPr>
          <w:szCs w:val="20"/>
        </w:rPr>
      </w:pPr>
    </w:p>
    <w:p w14:paraId="55A40C7E" w14:textId="77777777" w:rsidR="00AF5828" w:rsidRPr="004F4B1F" w:rsidRDefault="00AF5828" w:rsidP="00AF5828">
      <w:pPr>
        <w:spacing w:after="0"/>
        <w:ind w:firstLine="720"/>
        <w:rPr>
          <w:szCs w:val="20"/>
        </w:rPr>
      </w:pPr>
      <w:r w:rsidRPr="004F4B1F">
        <w:rPr>
          <w:szCs w:val="20"/>
        </w:rPr>
        <w:t>and</w:t>
      </w:r>
    </w:p>
    <w:p w14:paraId="55A40C7F" w14:textId="77777777" w:rsidR="00AF5828" w:rsidRDefault="00AF5828" w:rsidP="00AF5828">
      <w:pPr>
        <w:spacing w:after="0"/>
        <w:rPr>
          <w:szCs w:val="20"/>
        </w:rPr>
      </w:pPr>
    </w:p>
    <w:p w14:paraId="29E30E93" w14:textId="77777777" w:rsidR="005F1D98" w:rsidRDefault="00AF5828" w:rsidP="005F1D98">
      <w:pPr>
        <w:spacing w:after="0"/>
        <w:rPr>
          <w:szCs w:val="20"/>
        </w:rPr>
      </w:pPr>
      <w:r>
        <w:rPr>
          <w:szCs w:val="20"/>
        </w:rPr>
        <w:lastRenderedPageBreak/>
        <w:tab/>
      </w:r>
      <w:r w:rsidR="005F1D98">
        <w:rPr>
          <w:szCs w:val="20"/>
        </w:rPr>
        <w:t>Jimena Caicedo</w:t>
      </w:r>
    </w:p>
    <w:p w14:paraId="06B2F8E5" w14:textId="77777777" w:rsidR="005F1D98" w:rsidRDefault="005F1D98" w:rsidP="005F1D98">
      <w:pPr>
        <w:spacing w:after="0"/>
        <w:ind w:left="1440" w:hanging="720"/>
        <w:rPr>
          <w:szCs w:val="20"/>
        </w:rPr>
      </w:pPr>
      <w:r w:rsidRPr="004F4B1F">
        <w:rPr>
          <w:szCs w:val="20"/>
        </w:rPr>
        <w:t>Ministry of the Environment</w:t>
      </w:r>
      <w:r>
        <w:rPr>
          <w:szCs w:val="20"/>
        </w:rPr>
        <w:t>, Conservation and Parks</w:t>
      </w:r>
    </w:p>
    <w:p w14:paraId="1B03145A" w14:textId="77777777" w:rsidR="005F1D98" w:rsidRDefault="005F1D98" w:rsidP="005F1D98">
      <w:pPr>
        <w:spacing w:after="0"/>
        <w:ind w:left="1440" w:hanging="720"/>
        <w:rPr>
          <w:szCs w:val="20"/>
        </w:rPr>
      </w:pPr>
      <w:r>
        <w:rPr>
          <w:szCs w:val="20"/>
        </w:rPr>
        <w:t>5775 Yonge Street, 8</w:t>
      </w:r>
      <w:r w:rsidRPr="004F4B1F">
        <w:rPr>
          <w:szCs w:val="20"/>
          <w:vertAlign w:val="superscript"/>
        </w:rPr>
        <w:t>th</w:t>
      </w:r>
      <w:r>
        <w:rPr>
          <w:szCs w:val="20"/>
        </w:rPr>
        <w:t xml:space="preserve"> Floor</w:t>
      </w:r>
    </w:p>
    <w:p w14:paraId="60308C25" w14:textId="77777777" w:rsidR="005F1D98" w:rsidRDefault="005F1D98" w:rsidP="005F1D98">
      <w:pPr>
        <w:spacing w:after="0"/>
        <w:ind w:left="1440" w:hanging="720"/>
        <w:rPr>
          <w:szCs w:val="20"/>
        </w:rPr>
      </w:pPr>
      <w:r>
        <w:rPr>
          <w:szCs w:val="20"/>
        </w:rPr>
        <w:t>Toronto</w:t>
      </w:r>
      <w:r w:rsidRPr="004F4B1F">
        <w:rPr>
          <w:szCs w:val="20"/>
        </w:rPr>
        <w:t>, Ontario</w:t>
      </w:r>
    </w:p>
    <w:p w14:paraId="417D6446" w14:textId="77777777" w:rsidR="005F1D98" w:rsidRPr="007509AF" w:rsidRDefault="005F1D98" w:rsidP="005F1D98">
      <w:pPr>
        <w:spacing w:after="0"/>
        <w:ind w:left="1440" w:hanging="720"/>
        <w:rPr>
          <w:szCs w:val="20"/>
          <w:lang w:val="fr-CA"/>
        </w:rPr>
      </w:pPr>
      <w:r w:rsidRPr="007509AF">
        <w:rPr>
          <w:szCs w:val="20"/>
          <w:lang w:val="fr-CA"/>
        </w:rPr>
        <w:t>M2M 4J1</w:t>
      </w:r>
    </w:p>
    <w:p w14:paraId="027C9C70" w14:textId="77777777" w:rsidR="005F1D98" w:rsidRPr="007509AF" w:rsidRDefault="005F1D98" w:rsidP="005F1D98">
      <w:pPr>
        <w:spacing w:after="0"/>
        <w:ind w:left="1440" w:hanging="720"/>
        <w:rPr>
          <w:szCs w:val="20"/>
          <w:lang w:val="fr-CA"/>
        </w:rPr>
      </w:pPr>
      <w:r w:rsidRPr="007509AF">
        <w:rPr>
          <w:szCs w:val="20"/>
          <w:lang w:val="fr-CA"/>
        </w:rPr>
        <w:t>Fax: 416-326-5536</w:t>
      </w:r>
    </w:p>
    <w:p w14:paraId="018A2159" w14:textId="77777777" w:rsidR="005F1D98" w:rsidRPr="007509AF" w:rsidRDefault="005F1D98" w:rsidP="005F1D98">
      <w:pPr>
        <w:spacing w:after="0"/>
        <w:ind w:firstLine="720"/>
        <w:rPr>
          <w:szCs w:val="20"/>
          <w:lang w:val="fr-CA"/>
        </w:rPr>
      </w:pPr>
      <w:r w:rsidRPr="007509AF">
        <w:rPr>
          <w:szCs w:val="20"/>
          <w:lang w:val="fr-CA"/>
        </w:rPr>
        <w:t xml:space="preserve">Email: </w:t>
      </w:r>
      <w:r>
        <w:rPr>
          <w:szCs w:val="20"/>
          <w:lang w:val="fr-CA"/>
        </w:rPr>
        <w:t>jimena.caicedo</w:t>
      </w:r>
      <w:r w:rsidRPr="007509AF">
        <w:rPr>
          <w:szCs w:val="20"/>
          <w:lang w:val="fr-CA"/>
        </w:rPr>
        <w:t>@ontario.ca</w:t>
      </w:r>
    </w:p>
    <w:p w14:paraId="55A40C87" w14:textId="6A390E36" w:rsidR="00AF5828" w:rsidRPr="007509AF" w:rsidRDefault="00AF5828" w:rsidP="005F1D98">
      <w:pPr>
        <w:spacing w:after="0"/>
        <w:rPr>
          <w:szCs w:val="20"/>
          <w:lang w:val="fr-CA"/>
        </w:rPr>
      </w:pPr>
    </w:p>
    <w:p w14:paraId="55A40C88" w14:textId="77777777" w:rsidR="00AF5828" w:rsidRPr="004F4B1F" w:rsidRDefault="00AF5828" w:rsidP="00AF5828">
      <w:pPr>
        <w:spacing w:after="0"/>
        <w:ind w:left="720" w:hanging="720"/>
        <w:rPr>
          <w:szCs w:val="20"/>
        </w:rPr>
      </w:pPr>
      <w:r>
        <w:rPr>
          <w:szCs w:val="20"/>
        </w:rPr>
        <w:t>6.4</w:t>
      </w:r>
      <w:r>
        <w:rPr>
          <w:szCs w:val="20"/>
        </w:rPr>
        <w:tab/>
      </w:r>
      <w:r w:rsidRPr="004F4B1F">
        <w:rPr>
          <w:szCs w:val="20"/>
        </w:rPr>
        <w:t>Unless stayed by application to the Tribunal under section 143 of the Act, the CPU is effective from the date of issue.</w:t>
      </w:r>
    </w:p>
    <w:p w14:paraId="55A40C89" w14:textId="77777777" w:rsidR="00AF5828" w:rsidRPr="004F4B1F" w:rsidRDefault="00AF5828" w:rsidP="00AF5828">
      <w:pPr>
        <w:spacing w:after="0"/>
        <w:rPr>
          <w:szCs w:val="20"/>
        </w:rPr>
      </w:pPr>
    </w:p>
    <w:p w14:paraId="61D9058B" w14:textId="77777777" w:rsidR="00016CF8" w:rsidRPr="004F4B1F" w:rsidRDefault="00AF5828" w:rsidP="00016CF8">
      <w:pPr>
        <w:spacing w:after="0"/>
        <w:ind w:left="720" w:hanging="720"/>
        <w:rPr>
          <w:szCs w:val="20"/>
        </w:rPr>
      </w:pPr>
      <w:r w:rsidRPr="004F4B1F">
        <w:rPr>
          <w:szCs w:val="20"/>
        </w:rPr>
        <w:t>6.5</w:t>
      </w:r>
      <w:r>
        <w:rPr>
          <w:szCs w:val="20"/>
        </w:rPr>
        <w:tab/>
      </w:r>
      <w:bookmarkStart w:id="5" w:name="_Hlk70419746"/>
      <w:r w:rsidR="00016CF8" w:rsidRPr="004F4B1F">
        <w:rPr>
          <w:szCs w:val="20"/>
        </w:rPr>
        <w:t xml:space="preserve">If you commence an appeal before the Tribunal, under section 47 of the Environmental Bill of Rights, 1993 (the “EBR”), you must give notice to the public in the </w:t>
      </w:r>
      <w:r w:rsidR="00016CF8">
        <w:rPr>
          <w:rFonts w:cs="Arial"/>
          <w:spacing w:val="-1"/>
        </w:rPr>
        <w:t>Environmental Registry of Ontario</w:t>
      </w:r>
      <w:r w:rsidR="00016CF8" w:rsidRPr="004F4B1F">
        <w:rPr>
          <w:szCs w:val="20"/>
        </w:rPr>
        <w:t xml:space="preserve"> registry.  The notice must include a brief description of the CPU (sufficient to identify it) and a brief description of the grounds of appeal. </w:t>
      </w:r>
    </w:p>
    <w:p w14:paraId="5DB69A88" w14:textId="77777777" w:rsidR="00016CF8" w:rsidRDefault="00016CF8" w:rsidP="00016CF8">
      <w:pPr>
        <w:spacing w:after="0"/>
        <w:rPr>
          <w:szCs w:val="20"/>
        </w:rPr>
      </w:pPr>
    </w:p>
    <w:p w14:paraId="415348F8" w14:textId="77777777" w:rsidR="00016CF8" w:rsidRPr="00D722A4" w:rsidRDefault="00016CF8" w:rsidP="00016CF8">
      <w:pPr>
        <w:spacing w:after="0"/>
        <w:ind w:left="709"/>
        <w:rPr>
          <w:szCs w:val="20"/>
          <w:lang w:val="en-US"/>
        </w:rPr>
      </w:pPr>
      <w:r w:rsidRPr="00D722A4">
        <w:rPr>
          <w:szCs w:val="20"/>
          <w:lang w:val="en-US"/>
        </w:rPr>
        <w:t xml:space="preserve">The notice must be delivered to the </w:t>
      </w:r>
      <w:bookmarkStart w:id="6" w:name="_Hlk7797087"/>
      <w:r w:rsidRPr="00D722A4">
        <w:rPr>
          <w:szCs w:val="20"/>
          <w:lang w:val="en-US"/>
        </w:rPr>
        <w:t xml:space="preserve">Minister of the Environment, Conservation and Parks, College Park 5th Floor, 777 Bay Street, Toronto, ON M7A 2J3, who will place it on the Environmental Registry of Ontario, </w:t>
      </w:r>
      <w:bookmarkEnd w:id="6"/>
      <w:r w:rsidRPr="00D722A4">
        <w:rPr>
          <w:szCs w:val="20"/>
          <w:lang w:val="en-US"/>
        </w:rPr>
        <w:t>by the earlier of:</w:t>
      </w:r>
    </w:p>
    <w:p w14:paraId="33232BB6" w14:textId="77777777" w:rsidR="00016CF8" w:rsidRPr="004F4B1F" w:rsidRDefault="00016CF8" w:rsidP="00016CF8">
      <w:pPr>
        <w:spacing w:after="0"/>
        <w:rPr>
          <w:szCs w:val="20"/>
        </w:rPr>
      </w:pPr>
    </w:p>
    <w:p w14:paraId="6750A1E2" w14:textId="77777777" w:rsidR="00016CF8" w:rsidRDefault="00016CF8" w:rsidP="00016CF8">
      <w:pPr>
        <w:spacing w:after="0"/>
        <w:ind w:left="1440" w:hanging="720"/>
        <w:rPr>
          <w:szCs w:val="20"/>
        </w:rPr>
      </w:pPr>
      <w:r w:rsidRPr="004F4B1F">
        <w:rPr>
          <w:szCs w:val="20"/>
        </w:rPr>
        <w:t>6.5.1</w:t>
      </w:r>
      <w:r>
        <w:rPr>
          <w:szCs w:val="20"/>
        </w:rPr>
        <w:tab/>
      </w:r>
      <w:r w:rsidRPr="004F4B1F">
        <w:rPr>
          <w:szCs w:val="20"/>
        </w:rPr>
        <w:t>two (2) days after the day on which the appeal before the Tribunal was commenced; and</w:t>
      </w:r>
    </w:p>
    <w:p w14:paraId="1B5F40DB" w14:textId="77777777" w:rsidR="00016CF8" w:rsidRDefault="00016CF8" w:rsidP="00016CF8">
      <w:pPr>
        <w:spacing w:after="0"/>
        <w:ind w:left="1440" w:hanging="720"/>
        <w:rPr>
          <w:szCs w:val="20"/>
        </w:rPr>
      </w:pPr>
      <w:r w:rsidRPr="004F4B1F">
        <w:rPr>
          <w:szCs w:val="20"/>
        </w:rPr>
        <w:t>6.5.2</w:t>
      </w:r>
      <w:r>
        <w:rPr>
          <w:szCs w:val="20"/>
        </w:rPr>
        <w:tab/>
      </w:r>
      <w:r w:rsidRPr="004F4B1F">
        <w:rPr>
          <w:szCs w:val="20"/>
        </w:rPr>
        <w:t>fifteen (15) days after service on you of a copy of the CPU.</w:t>
      </w:r>
    </w:p>
    <w:bookmarkEnd w:id="5"/>
    <w:p w14:paraId="55A40C91" w14:textId="3047DEA9" w:rsidR="00AF5828" w:rsidRPr="004F4B1F" w:rsidRDefault="00AF5828" w:rsidP="00016CF8">
      <w:pPr>
        <w:spacing w:after="0"/>
        <w:ind w:left="720" w:hanging="720"/>
        <w:rPr>
          <w:szCs w:val="20"/>
        </w:rPr>
      </w:pPr>
    </w:p>
    <w:p w14:paraId="55A40C92" w14:textId="77777777" w:rsidR="00AF5828" w:rsidRPr="004F4B1F" w:rsidRDefault="00AF5828" w:rsidP="00AF5828">
      <w:pPr>
        <w:spacing w:after="0"/>
        <w:ind w:left="720" w:hanging="720"/>
        <w:rPr>
          <w:szCs w:val="20"/>
        </w:rPr>
      </w:pPr>
      <w:r w:rsidRPr="004F4B1F">
        <w:rPr>
          <w:szCs w:val="20"/>
        </w:rPr>
        <w:t>6.6</w:t>
      </w:r>
      <w:r>
        <w:rPr>
          <w:szCs w:val="20"/>
        </w:rPr>
        <w:tab/>
      </w:r>
      <w:r w:rsidRPr="004F4B1F">
        <w:rPr>
          <w:szCs w:val="20"/>
        </w:rPr>
        <w:t>Pursuant to subsection 47(7) of the EBR, the Tribunal may permit any person to participate in the appeal, as a party or otherwise, in order to provide fair and adequate representation of the private and public interests, including governmental interests, involved in the appeal.</w:t>
      </w:r>
    </w:p>
    <w:p w14:paraId="55A40C93" w14:textId="77777777" w:rsidR="00AF5828" w:rsidRPr="004F4B1F" w:rsidRDefault="00AF5828" w:rsidP="00AF5828">
      <w:pPr>
        <w:spacing w:after="0"/>
        <w:rPr>
          <w:szCs w:val="20"/>
        </w:rPr>
      </w:pPr>
    </w:p>
    <w:p w14:paraId="5155A7BB" w14:textId="77777777" w:rsidR="00016CF8" w:rsidRPr="004F4B1F" w:rsidRDefault="00AF5828" w:rsidP="00016CF8">
      <w:pPr>
        <w:spacing w:after="0"/>
        <w:ind w:left="720" w:hanging="720"/>
        <w:rPr>
          <w:szCs w:val="20"/>
        </w:rPr>
      </w:pPr>
      <w:r w:rsidRPr="004F4B1F">
        <w:rPr>
          <w:szCs w:val="20"/>
        </w:rPr>
        <w:t>6.7</w:t>
      </w:r>
      <w:r>
        <w:rPr>
          <w:szCs w:val="20"/>
        </w:rPr>
        <w:tab/>
      </w:r>
      <w:bookmarkStart w:id="7" w:name="_Hlk70419696"/>
      <w:r w:rsidR="00016CF8" w:rsidRPr="004F4B1F">
        <w:rPr>
          <w:szCs w:val="20"/>
        </w:rPr>
        <w:t xml:space="preserve">For your information, under section 38 of the </w:t>
      </w:r>
      <w:r w:rsidR="00016CF8">
        <w:rPr>
          <w:rFonts w:cs="Arial"/>
          <w:spacing w:val="-1"/>
        </w:rPr>
        <w:t>EBR</w:t>
      </w:r>
      <w:r w:rsidR="00016CF8" w:rsidRPr="004F4B1F">
        <w:rPr>
          <w:szCs w:val="20"/>
        </w:rPr>
        <w:t>, any person resident in Ontario with an interest in the CPU may seek leave to appeal the CPU.  Under section 40 of the EBR, the application for leave to appeal must be made to the Tribunal by the earlier of:</w:t>
      </w:r>
    </w:p>
    <w:p w14:paraId="5E10A48C" w14:textId="77777777" w:rsidR="00016CF8" w:rsidRPr="004F4B1F" w:rsidRDefault="00016CF8" w:rsidP="00016CF8">
      <w:pPr>
        <w:spacing w:after="0"/>
        <w:rPr>
          <w:szCs w:val="20"/>
        </w:rPr>
      </w:pPr>
    </w:p>
    <w:p w14:paraId="3F85731D" w14:textId="77777777" w:rsidR="00016CF8" w:rsidRDefault="00016CF8" w:rsidP="00016CF8">
      <w:pPr>
        <w:spacing w:after="0"/>
        <w:ind w:left="1440" w:hanging="720"/>
        <w:rPr>
          <w:szCs w:val="20"/>
        </w:rPr>
      </w:pPr>
      <w:r w:rsidRPr="004F4B1F">
        <w:rPr>
          <w:szCs w:val="20"/>
        </w:rPr>
        <w:t>6.7.1</w:t>
      </w:r>
      <w:r>
        <w:rPr>
          <w:szCs w:val="20"/>
        </w:rPr>
        <w:tab/>
      </w:r>
      <w:r w:rsidRPr="004F4B1F">
        <w:rPr>
          <w:szCs w:val="20"/>
        </w:rPr>
        <w:t>fifteen (15) days after the day on which notice of the issuance of the CPU i</w:t>
      </w:r>
      <w:r>
        <w:rPr>
          <w:szCs w:val="20"/>
        </w:rPr>
        <w:t xml:space="preserve">s given in the EBR registry; and </w:t>
      </w:r>
    </w:p>
    <w:p w14:paraId="7D9DFAB8" w14:textId="77777777" w:rsidR="00016CF8" w:rsidRDefault="00016CF8" w:rsidP="00016CF8">
      <w:pPr>
        <w:spacing w:after="0"/>
        <w:ind w:left="1440" w:hanging="720"/>
        <w:rPr>
          <w:szCs w:val="20"/>
        </w:rPr>
      </w:pPr>
    </w:p>
    <w:p w14:paraId="30A86738" w14:textId="77777777" w:rsidR="00016CF8" w:rsidRDefault="00016CF8" w:rsidP="00016CF8">
      <w:pPr>
        <w:spacing w:after="0"/>
        <w:ind w:left="1440" w:hanging="720"/>
        <w:rPr>
          <w:szCs w:val="20"/>
        </w:rPr>
      </w:pPr>
      <w:r w:rsidRPr="004F4B1F">
        <w:rPr>
          <w:szCs w:val="20"/>
        </w:rPr>
        <w:t>6.7.2</w:t>
      </w:r>
      <w:r>
        <w:rPr>
          <w:szCs w:val="20"/>
        </w:rPr>
        <w:tab/>
      </w:r>
      <w:r w:rsidRPr="004F4B1F">
        <w:rPr>
          <w:szCs w:val="20"/>
        </w:rPr>
        <w:t xml:space="preserve">if you appeal, fifteen (15) days after the day on which your notice of appeal is given in </w:t>
      </w:r>
      <w:r>
        <w:rPr>
          <w:szCs w:val="20"/>
        </w:rPr>
        <w:t>t</w:t>
      </w:r>
      <w:r w:rsidRPr="004F4B1F">
        <w:rPr>
          <w:szCs w:val="20"/>
        </w:rPr>
        <w:t xml:space="preserve">he </w:t>
      </w:r>
      <w:r>
        <w:rPr>
          <w:szCs w:val="20"/>
        </w:rPr>
        <w:t>E</w:t>
      </w:r>
      <w:r w:rsidRPr="004F4B1F">
        <w:rPr>
          <w:szCs w:val="20"/>
        </w:rPr>
        <w:t>BR registry.</w:t>
      </w:r>
    </w:p>
    <w:p w14:paraId="2D3AD4CA" w14:textId="77777777" w:rsidR="00016CF8" w:rsidRDefault="00016CF8" w:rsidP="00016CF8">
      <w:pPr>
        <w:pStyle w:val="BodyText"/>
        <w:ind w:left="709" w:right="500"/>
        <w:rPr>
          <w:rFonts w:cs="Arial"/>
        </w:rPr>
      </w:pPr>
    </w:p>
    <w:p w14:paraId="7A93BE1F" w14:textId="0136C547" w:rsidR="00016CF8" w:rsidRDefault="00016CF8" w:rsidP="00016CF8">
      <w:pPr>
        <w:pStyle w:val="BodyText"/>
        <w:ind w:left="709" w:right="500"/>
        <w:rPr>
          <w:rFonts w:cs="Arial"/>
        </w:rPr>
      </w:pPr>
      <w:r>
        <w:rPr>
          <w:rFonts w:cs="Arial"/>
        </w:rPr>
        <w:t>Fur</w:t>
      </w:r>
      <w:r>
        <w:rPr>
          <w:rFonts w:cs="Arial"/>
          <w:spacing w:val="-2"/>
        </w:rPr>
        <w:t>t</w:t>
      </w:r>
      <w:r>
        <w:rPr>
          <w:rFonts w:cs="Arial"/>
        </w:rPr>
        <w:t>h</w:t>
      </w:r>
      <w:r>
        <w:rPr>
          <w:rFonts w:cs="Arial"/>
          <w:spacing w:val="-1"/>
        </w:rPr>
        <w:t>e</w:t>
      </w:r>
      <w:r>
        <w:rPr>
          <w:rFonts w:cs="Arial"/>
        </w:rPr>
        <w:t>r</w:t>
      </w:r>
      <w:r>
        <w:rPr>
          <w:rFonts w:cs="Arial"/>
          <w:spacing w:val="-1"/>
        </w:rPr>
        <w:t xml:space="preserve"> in</w:t>
      </w:r>
      <w:r>
        <w:rPr>
          <w:rFonts w:cs="Arial"/>
        </w:rPr>
        <w:t>f</w:t>
      </w:r>
      <w:r>
        <w:rPr>
          <w:rFonts w:cs="Arial"/>
          <w:spacing w:val="-1"/>
        </w:rPr>
        <w:t>o</w:t>
      </w:r>
      <w:r>
        <w:rPr>
          <w:rFonts w:cs="Arial"/>
        </w:rPr>
        <w:t>r</w:t>
      </w:r>
      <w:r>
        <w:rPr>
          <w:rFonts w:cs="Arial"/>
          <w:spacing w:val="-2"/>
        </w:rPr>
        <w:t>m</w:t>
      </w:r>
      <w:r>
        <w:rPr>
          <w:rFonts w:cs="Arial"/>
          <w:spacing w:val="-1"/>
        </w:rPr>
        <w:t>ati</w:t>
      </w:r>
      <w:r>
        <w:rPr>
          <w:rFonts w:cs="Arial"/>
        </w:rPr>
        <w:t>on</w:t>
      </w:r>
      <w:r>
        <w:rPr>
          <w:rFonts w:cs="Arial"/>
          <w:spacing w:val="-1"/>
        </w:rPr>
        <w:t xml:space="preserve"> </w:t>
      </w:r>
      <w:r>
        <w:rPr>
          <w:rFonts w:cs="Arial"/>
        </w:rPr>
        <w:t>on</w:t>
      </w:r>
      <w:r>
        <w:rPr>
          <w:rFonts w:cs="Arial"/>
          <w:spacing w:val="-1"/>
        </w:rPr>
        <w:t xml:space="preserve"> t</w:t>
      </w:r>
      <w:r>
        <w:rPr>
          <w:rFonts w:cs="Arial"/>
        </w:rPr>
        <w:t>he</w:t>
      </w:r>
      <w:r>
        <w:rPr>
          <w:rFonts w:cs="Arial"/>
          <w:spacing w:val="-1"/>
        </w:rPr>
        <w:t xml:space="preserve"> En</w:t>
      </w:r>
      <w:r>
        <w:rPr>
          <w:rFonts w:cs="Arial"/>
        </w:rPr>
        <w:t>v</w:t>
      </w:r>
      <w:r>
        <w:rPr>
          <w:rFonts w:cs="Arial"/>
          <w:spacing w:val="-1"/>
        </w:rPr>
        <w:t>ir</w:t>
      </w:r>
      <w:r>
        <w:rPr>
          <w:rFonts w:cs="Arial"/>
        </w:rPr>
        <w:t>on</w:t>
      </w:r>
      <w:r>
        <w:rPr>
          <w:rFonts w:cs="Arial"/>
          <w:spacing w:val="-3"/>
        </w:rPr>
        <w:t>m</w:t>
      </w:r>
      <w:r>
        <w:rPr>
          <w:rFonts w:cs="Arial"/>
          <w:spacing w:val="-1"/>
        </w:rPr>
        <w:t>e</w:t>
      </w:r>
      <w:r>
        <w:rPr>
          <w:rFonts w:cs="Arial"/>
        </w:rPr>
        <w:t>n</w:t>
      </w:r>
      <w:r>
        <w:rPr>
          <w:rFonts w:cs="Arial"/>
          <w:spacing w:val="-1"/>
        </w:rPr>
        <w:t>ta</w:t>
      </w:r>
      <w:r>
        <w:rPr>
          <w:rFonts w:cs="Arial"/>
        </w:rPr>
        <w:t>l</w:t>
      </w:r>
      <w:r>
        <w:rPr>
          <w:rFonts w:cs="Arial"/>
          <w:spacing w:val="-1"/>
        </w:rPr>
        <w:t xml:space="preserve"> Re</w:t>
      </w:r>
      <w:r>
        <w:rPr>
          <w:rFonts w:cs="Arial"/>
        </w:rPr>
        <w:t>v</w:t>
      </w:r>
      <w:r>
        <w:rPr>
          <w:rFonts w:cs="Arial"/>
          <w:spacing w:val="-1"/>
        </w:rPr>
        <w:t>ie</w:t>
      </w:r>
      <w:r>
        <w:rPr>
          <w:rFonts w:cs="Arial"/>
        </w:rPr>
        <w:t>w</w:t>
      </w:r>
      <w:r>
        <w:rPr>
          <w:rFonts w:cs="Arial"/>
          <w:spacing w:val="-1"/>
        </w:rPr>
        <w:t xml:space="preserve"> T</w:t>
      </w:r>
      <w:r>
        <w:rPr>
          <w:rFonts w:cs="Arial"/>
        </w:rPr>
        <w:t>r</w:t>
      </w:r>
      <w:r>
        <w:rPr>
          <w:rFonts w:cs="Arial"/>
          <w:spacing w:val="-1"/>
        </w:rPr>
        <w:t>ibu</w:t>
      </w:r>
      <w:r>
        <w:rPr>
          <w:rFonts w:cs="Arial"/>
        </w:rPr>
        <w:t>n</w:t>
      </w:r>
      <w:r>
        <w:rPr>
          <w:rFonts w:cs="Arial"/>
          <w:spacing w:val="-1"/>
        </w:rPr>
        <w:t>a</w:t>
      </w:r>
      <w:r>
        <w:rPr>
          <w:rFonts w:cs="Arial"/>
        </w:rPr>
        <w:t>l</w:t>
      </w:r>
      <w:r>
        <w:rPr>
          <w:rFonts w:cs="Arial"/>
          <w:spacing w:val="-2"/>
        </w:rPr>
        <w:t xml:space="preserve"> </w:t>
      </w:r>
      <w:r>
        <w:rPr>
          <w:rFonts w:cs="Arial"/>
        </w:rPr>
        <w:t>r</w:t>
      </w:r>
      <w:r>
        <w:rPr>
          <w:rFonts w:cs="Arial"/>
          <w:spacing w:val="-2"/>
        </w:rPr>
        <w:t>e</w:t>
      </w:r>
      <w:r>
        <w:rPr>
          <w:rFonts w:cs="Arial"/>
        </w:rPr>
        <w:t>qu</w:t>
      </w:r>
      <w:r>
        <w:rPr>
          <w:rFonts w:cs="Arial"/>
          <w:spacing w:val="-1"/>
        </w:rPr>
        <w:t>i</w:t>
      </w:r>
      <w:r>
        <w:rPr>
          <w:rFonts w:cs="Arial"/>
        </w:rPr>
        <w:t>r</w:t>
      </w:r>
      <w:r>
        <w:rPr>
          <w:rFonts w:cs="Arial"/>
          <w:spacing w:val="-1"/>
        </w:rPr>
        <w:t>e</w:t>
      </w:r>
      <w:r>
        <w:rPr>
          <w:rFonts w:cs="Arial"/>
          <w:spacing w:val="-3"/>
        </w:rPr>
        <w:t>m</w:t>
      </w:r>
      <w:r>
        <w:rPr>
          <w:rFonts w:cs="Arial"/>
          <w:spacing w:val="-1"/>
        </w:rPr>
        <w:t>e</w:t>
      </w:r>
      <w:r>
        <w:rPr>
          <w:rFonts w:cs="Arial"/>
        </w:rPr>
        <w:t>n</w:t>
      </w:r>
      <w:r>
        <w:rPr>
          <w:rFonts w:cs="Arial"/>
          <w:spacing w:val="-1"/>
        </w:rPr>
        <w:t>t</w:t>
      </w:r>
      <w:r>
        <w:rPr>
          <w:rFonts w:cs="Arial"/>
        </w:rPr>
        <w:t xml:space="preserve">s </w:t>
      </w:r>
      <w:r>
        <w:rPr>
          <w:rFonts w:cs="Arial"/>
          <w:spacing w:val="-1"/>
        </w:rPr>
        <w:t>f</w:t>
      </w:r>
      <w:r>
        <w:rPr>
          <w:rFonts w:cs="Arial"/>
        </w:rPr>
        <w:t>or</w:t>
      </w:r>
      <w:r>
        <w:rPr>
          <w:rFonts w:cs="Arial"/>
          <w:spacing w:val="-1"/>
        </w:rPr>
        <w:t xml:space="preserve"> a</w:t>
      </w:r>
      <w:r>
        <w:rPr>
          <w:rFonts w:cs="Arial"/>
        </w:rPr>
        <w:t>n</w:t>
      </w:r>
      <w:r>
        <w:rPr>
          <w:rFonts w:cs="Arial"/>
          <w:spacing w:val="-1"/>
        </w:rPr>
        <w:t xml:space="preserve"> ap</w:t>
      </w:r>
      <w:r>
        <w:rPr>
          <w:rFonts w:cs="Arial"/>
        </w:rPr>
        <w:t>p</w:t>
      </w:r>
      <w:r>
        <w:rPr>
          <w:rFonts w:cs="Arial"/>
          <w:spacing w:val="-1"/>
        </w:rPr>
        <w:t>ea</w:t>
      </w:r>
      <w:r>
        <w:rPr>
          <w:rFonts w:cs="Arial"/>
        </w:rPr>
        <w:t>l</w:t>
      </w:r>
      <w:r>
        <w:rPr>
          <w:rFonts w:cs="Arial"/>
          <w:spacing w:val="-1"/>
        </w:rPr>
        <w:t xml:space="preserve"> c</w:t>
      </w:r>
      <w:r>
        <w:rPr>
          <w:rFonts w:cs="Arial"/>
          <w:spacing w:val="-2"/>
        </w:rPr>
        <w:t>a</w:t>
      </w:r>
      <w:r>
        <w:rPr>
          <w:rFonts w:cs="Arial"/>
        </w:rPr>
        <w:t>n</w:t>
      </w:r>
      <w:r>
        <w:rPr>
          <w:rFonts w:cs="Arial"/>
          <w:spacing w:val="-1"/>
        </w:rPr>
        <w:t xml:space="preserve"> </w:t>
      </w:r>
      <w:r>
        <w:rPr>
          <w:rFonts w:cs="Arial"/>
        </w:rPr>
        <w:t>be</w:t>
      </w:r>
      <w:r>
        <w:rPr>
          <w:rFonts w:cs="Arial"/>
          <w:spacing w:val="-1"/>
        </w:rPr>
        <w:t xml:space="preserve"> </w:t>
      </w:r>
      <w:r>
        <w:rPr>
          <w:rFonts w:cs="Arial"/>
        </w:rPr>
        <w:t>ob</w:t>
      </w:r>
      <w:r>
        <w:rPr>
          <w:rFonts w:cs="Arial"/>
          <w:spacing w:val="-1"/>
        </w:rPr>
        <w:t>tai</w:t>
      </w:r>
      <w:r>
        <w:rPr>
          <w:rFonts w:cs="Arial"/>
        </w:rPr>
        <w:t>n</w:t>
      </w:r>
      <w:r>
        <w:rPr>
          <w:rFonts w:cs="Arial"/>
          <w:spacing w:val="-2"/>
        </w:rPr>
        <w:t>e</w:t>
      </w:r>
      <w:r>
        <w:rPr>
          <w:rFonts w:cs="Arial"/>
        </w:rPr>
        <w:t>d d</w:t>
      </w:r>
      <w:r>
        <w:rPr>
          <w:rFonts w:cs="Arial"/>
          <w:spacing w:val="-1"/>
        </w:rPr>
        <w:t>i</w:t>
      </w:r>
      <w:r>
        <w:rPr>
          <w:rFonts w:cs="Arial"/>
        </w:rPr>
        <w:t>r</w:t>
      </w:r>
      <w:r>
        <w:rPr>
          <w:rFonts w:cs="Arial"/>
          <w:spacing w:val="-1"/>
        </w:rPr>
        <w:t>ectl</w:t>
      </w:r>
      <w:r>
        <w:rPr>
          <w:rFonts w:cs="Arial"/>
        </w:rPr>
        <w:t>y</w:t>
      </w:r>
      <w:r>
        <w:rPr>
          <w:rFonts w:cs="Arial"/>
          <w:spacing w:val="-1"/>
        </w:rPr>
        <w:t xml:space="preserve"> </w:t>
      </w:r>
      <w:r>
        <w:rPr>
          <w:rFonts w:cs="Arial"/>
        </w:rPr>
        <w:t>f</w:t>
      </w:r>
      <w:r>
        <w:rPr>
          <w:rFonts w:cs="Arial"/>
          <w:spacing w:val="-1"/>
        </w:rPr>
        <w:t>r</w:t>
      </w:r>
      <w:r>
        <w:rPr>
          <w:rFonts w:cs="Arial"/>
        </w:rPr>
        <w:t>om</w:t>
      </w:r>
      <w:r>
        <w:rPr>
          <w:rFonts w:cs="Arial"/>
          <w:spacing w:val="-2"/>
        </w:rPr>
        <w:t xml:space="preserve"> </w:t>
      </w:r>
      <w:r>
        <w:rPr>
          <w:rFonts w:cs="Arial"/>
        </w:rPr>
        <w:t xml:space="preserve">the </w:t>
      </w:r>
      <w:r>
        <w:rPr>
          <w:rFonts w:cs="Arial"/>
          <w:spacing w:val="-2"/>
        </w:rPr>
        <w:t>T</w:t>
      </w:r>
      <w:r>
        <w:rPr>
          <w:rFonts w:cs="Arial"/>
        </w:rPr>
        <w:t>r</w:t>
      </w:r>
      <w:r>
        <w:rPr>
          <w:rFonts w:cs="Arial"/>
          <w:spacing w:val="-1"/>
        </w:rPr>
        <w:t>ib</w:t>
      </w:r>
      <w:r>
        <w:rPr>
          <w:rFonts w:cs="Arial"/>
        </w:rPr>
        <w:t>un</w:t>
      </w:r>
      <w:r>
        <w:rPr>
          <w:rFonts w:cs="Arial"/>
          <w:spacing w:val="-1"/>
        </w:rPr>
        <w:t>a</w:t>
      </w:r>
      <w:r>
        <w:rPr>
          <w:rFonts w:cs="Arial"/>
        </w:rPr>
        <w:t>l</w:t>
      </w:r>
      <w:r>
        <w:rPr>
          <w:rFonts w:cs="Arial"/>
          <w:spacing w:val="-2"/>
        </w:rPr>
        <w:t xml:space="preserve"> </w:t>
      </w:r>
      <w:r>
        <w:rPr>
          <w:rFonts w:cs="Arial"/>
          <w:spacing w:val="-1"/>
        </w:rPr>
        <w:t>at</w:t>
      </w:r>
      <w:r>
        <w:rPr>
          <w:rFonts w:cs="Arial"/>
        </w:rPr>
        <w:t>:</w:t>
      </w:r>
    </w:p>
    <w:p w14:paraId="48AEB392" w14:textId="77777777" w:rsidR="00567537" w:rsidRDefault="00567537" w:rsidP="00016CF8">
      <w:pPr>
        <w:pStyle w:val="BodyText"/>
        <w:tabs>
          <w:tab w:val="left" w:pos="2280"/>
          <w:tab w:val="left" w:pos="4440"/>
        </w:tabs>
        <w:ind w:left="709"/>
        <w:rPr>
          <w:rFonts w:cs="Arial"/>
          <w:spacing w:val="-1"/>
        </w:rPr>
      </w:pPr>
    </w:p>
    <w:p w14:paraId="55A130B2" w14:textId="77777777" w:rsidR="00A13146" w:rsidRPr="00A13146" w:rsidRDefault="00016CF8" w:rsidP="00A13146">
      <w:pPr>
        <w:pStyle w:val="BodyText"/>
        <w:tabs>
          <w:tab w:val="left" w:pos="2280"/>
          <w:tab w:val="left" w:pos="4440"/>
        </w:tabs>
        <w:ind w:left="709"/>
        <w:rPr>
          <w:b/>
          <w:bCs/>
        </w:rPr>
      </w:pPr>
      <w:r>
        <w:rPr>
          <w:rFonts w:cs="Arial"/>
          <w:spacing w:val="-1"/>
        </w:rPr>
        <w:lastRenderedPageBreak/>
        <w:t>Tel</w:t>
      </w:r>
      <w:r>
        <w:rPr>
          <w:rFonts w:cs="Arial"/>
        </w:rPr>
        <w:t>:</w:t>
      </w:r>
      <w:r>
        <w:rPr>
          <w:rFonts w:cs="Arial"/>
          <w:spacing w:val="-1"/>
        </w:rPr>
        <w:t xml:space="preserve"> </w:t>
      </w:r>
      <w:r>
        <w:rPr>
          <w:rFonts w:cs="Arial"/>
        </w:rPr>
        <w:t>(</w:t>
      </w:r>
      <w:r>
        <w:rPr>
          <w:rFonts w:cs="Arial"/>
          <w:spacing w:val="-1"/>
        </w:rPr>
        <w:t>4</w:t>
      </w:r>
      <w:r>
        <w:rPr>
          <w:rFonts w:cs="Arial"/>
        </w:rPr>
        <w:t>1</w:t>
      </w:r>
      <w:r>
        <w:rPr>
          <w:rFonts w:cs="Arial"/>
          <w:spacing w:val="-1"/>
        </w:rPr>
        <w:t>6</w:t>
      </w:r>
      <w:r>
        <w:rPr>
          <w:rFonts w:cs="Arial"/>
        </w:rPr>
        <w:t>)</w:t>
      </w:r>
      <w:r>
        <w:rPr>
          <w:rFonts w:cs="Arial"/>
          <w:spacing w:val="-1"/>
        </w:rPr>
        <w:t xml:space="preserve"> 2</w:t>
      </w:r>
      <w:r>
        <w:rPr>
          <w:rFonts w:cs="Arial"/>
        </w:rPr>
        <w:t>1</w:t>
      </w:r>
      <w:r>
        <w:rPr>
          <w:rFonts w:cs="Arial"/>
          <w:spacing w:val="-1"/>
        </w:rPr>
        <w:t>2</w:t>
      </w:r>
      <w:r>
        <w:rPr>
          <w:rFonts w:cs="Arial"/>
        </w:rPr>
        <w:t xml:space="preserve">- </w:t>
      </w:r>
      <w:r>
        <w:rPr>
          <w:rFonts w:cs="Arial"/>
          <w:spacing w:val="-1"/>
        </w:rPr>
        <w:t>6</w:t>
      </w:r>
      <w:r>
        <w:rPr>
          <w:rFonts w:cs="Arial"/>
        </w:rPr>
        <w:t>3</w:t>
      </w:r>
      <w:r>
        <w:rPr>
          <w:rFonts w:cs="Arial"/>
          <w:spacing w:val="-1"/>
        </w:rPr>
        <w:t>4</w:t>
      </w:r>
      <w:r>
        <w:rPr>
          <w:rFonts w:cs="Arial"/>
        </w:rPr>
        <w:t>9               F</w:t>
      </w:r>
      <w:r>
        <w:rPr>
          <w:rFonts w:cs="Arial"/>
          <w:spacing w:val="-1"/>
        </w:rPr>
        <w:t>a</w:t>
      </w:r>
      <w:r>
        <w:rPr>
          <w:rFonts w:cs="Arial"/>
        </w:rPr>
        <w:t>x:</w:t>
      </w:r>
      <w:r>
        <w:rPr>
          <w:rFonts w:cs="Arial"/>
          <w:spacing w:val="-2"/>
        </w:rPr>
        <w:t xml:space="preserve"> </w:t>
      </w:r>
      <w:r>
        <w:rPr>
          <w:rFonts w:cs="Arial"/>
        </w:rPr>
        <w:t>(</w:t>
      </w:r>
      <w:r>
        <w:rPr>
          <w:rFonts w:cs="Arial"/>
          <w:spacing w:val="-1"/>
        </w:rPr>
        <w:t>41</w:t>
      </w:r>
      <w:r>
        <w:rPr>
          <w:rFonts w:cs="Arial"/>
        </w:rPr>
        <w:t>6)</w:t>
      </w:r>
      <w:r>
        <w:rPr>
          <w:rFonts w:cs="Arial"/>
          <w:spacing w:val="-1"/>
        </w:rPr>
        <w:t xml:space="preserve"> 3</w:t>
      </w:r>
      <w:r>
        <w:rPr>
          <w:rFonts w:cs="Arial"/>
        </w:rPr>
        <w:t>2</w:t>
      </w:r>
      <w:r>
        <w:rPr>
          <w:rFonts w:cs="Arial"/>
          <w:spacing w:val="-1"/>
        </w:rPr>
        <w:t>6</w:t>
      </w:r>
      <w:r>
        <w:rPr>
          <w:rFonts w:cs="Arial"/>
        </w:rPr>
        <w:t>-</w:t>
      </w:r>
      <w:r>
        <w:rPr>
          <w:rFonts w:cs="Arial"/>
          <w:spacing w:val="-1"/>
        </w:rPr>
        <w:t>53</w:t>
      </w:r>
      <w:r>
        <w:rPr>
          <w:rFonts w:cs="Arial"/>
        </w:rPr>
        <w:t>70</w:t>
      </w:r>
      <w:r>
        <w:rPr>
          <w:rFonts w:cs="Arial"/>
        </w:rPr>
        <w:tab/>
        <w:t xml:space="preserve">             </w:t>
      </w:r>
      <w:bookmarkEnd w:id="7"/>
      <w:r w:rsidR="00A13146" w:rsidRPr="00A13146">
        <w:rPr>
          <w:b/>
          <w:bCs/>
        </w:rPr>
        <w:fldChar w:fldCharType="begin"/>
      </w:r>
      <w:r w:rsidR="00A13146" w:rsidRPr="00A13146">
        <w:rPr>
          <w:b/>
          <w:bCs/>
        </w:rPr>
        <w:instrText xml:space="preserve"> HYPERLINK "https://olt.gov.on.ca" </w:instrText>
      </w:r>
      <w:r w:rsidR="00A13146" w:rsidRPr="00A13146">
        <w:rPr>
          <w:b/>
          <w:bCs/>
        </w:rPr>
        <w:fldChar w:fldCharType="separate"/>
      </w:r>
      <w:r w:rsidR="00A13146" w:rsidRPr="00A13146">
        <w:rPr>
          <w:rStyle w:val="Hyperlink"/>
          <w:b/>
          <w:bCs/>
        </w:rPr>
        <w:t>https://olt.gov.on.ca</w:t>
      </w:r>
      <w:r w:rsidR="00A13146" w:rsidRPr="00A13146">
        <w:fldChar w:fldCharType="end"/>
      </w:r>
    </w:p>
    <w:p w14:paraId="55A40C99" w14:textId="23D5FF0C" w:rsidR="00AF5828" w:rsidRDefault="00AF5828" w:rsidP="00A13146">
      <w:pPr>
        <w:pStyle w:val="BodyText"/>
        <w:tabs>
          <w:tab w:val="left" w:pos="2280"/>
          <w:tab w:val="left" w:pos="4440"/>
        </w:tabs>
        <w:ind w:left="709"/>
        <w:rPr>
          <w:szCs w:val="20"/>
        </w:rPr>
      </w:pPr>
    </w:p>
    <w:p w14:paraId="26949093" w14:textId="77777777" w:rsidR="009F594B" w:rsidRDefault="009F594B" w:rsidP="001E5FED">
      <w:pPr>
        <w:spacing w:after="0"/>
        <w:rPr>
          <w:szCs w:val="20"/>
        </w:rPr>
      </w:pPr>
    </w:p>
    <w:p w14:paraId="3160BC3B" w14:textId="42E797AF" w:rsidR="005D77FA" w:rsidRDefault="005D77FA" w:rsidP="001E5FED">
      <w:pPr>
        <w:spacing w:after="0"/>
        <w:rPr>
          <w:szCs w:val="20"/>
        </w:rPr>
      </w:pPr>
      <w:r w:rsidRPr="00F70577">
        <w:rPr>
          <w:szCs w:val="20"/>
        </w:rPr>
        <w:t xml:space="preserve">Issued at Toronto this </w:t>
      </w:r>
      <w:r w:rsidR="00B616CD">
        <w:rPr>
          <w:szCs w:val="20"/>
        </w:rPr>
        <w:t>XX</w:t>
      </w:r>
      <w:r w:rsidR="00AE348F" w:rsidRPr="00AE348F">
        <w:rPr>
          <w:szCs w:val="20"/>
          <w:vertAlign w:val="superscript"/>
        </w:rPr>
        <w:t>th</w:t>
      </w:r>
      <w:r w:rsidR="00AE348F">
        <w:rPr>
          <w:szCs w:val="20"/>
        </w:rPr>
        <w:t xml:space="preserve"> </w:t>
      </w:r>
      <w:r w:rsidRPr="00F70577">
        <w:rPr>
          <w:szCs w:val="20"/>
        </w:rPr>
        <w:t xml:space="preserve">day </w:t>
      </w:r>
      <w:r w:rsidRPr="00CE0AFD">
        <w:rPr>
          <w:szCs w:val="20"/>
        </w:rPr>
        <w:t xml:space="preserve">of </w:t>
      </w:r>
      <w:r w:rsidR="00F51361">
        <w:rPr>
          <w:szCs w:val="20"/>
        </w:rPr>
        <w:t>X</w:t>
      </w:r>
      <w:bookmarkStart w:id="8" w:name="_GoBack"/>
      <w:bookmarkEnd w:id="8"/>
      <w:r w:rsidR="00F45FD5">
        <w:rPr>
          <w:szCs w:val="20"/>
        </w:rPr>
        <w:t>XX</w:t>
      </w:r>
      <w:r w:rsidR="00262A07">
        <w:rPr>
          <w:szCs w:val="20"/>
        </w:rPr>
        <w:t xml:space="preserve"> </w:t>
      </w:r>
      <w:r w:rsidRPr="00CE0AFD">
        <w:rPr>
          <w:szCs w:val="20"/>
        </w:rPr>
        <w:t>20</w:t>
      </w:r>
      <w:r>
        <w:rPr>
          <w:szCs w:val="20"/>
        </w:rPr>
        <w:t>2</w:t>
      </w:r>
      <w:r w:rsidR="00262A07">
        <w:rPr>
          <w:szCs w:val="20"/>
        </w:rPr>
        <w:t>1</w:t>
      </w:r>
    </w:p>
    <w:p w14:paraId="4409AC4F" w14:textId="77777777" w:rsidR="001E5FED" w:rsidRPr="001E5FED" w:rsidRDefault="001E5FED" w:rsidP="001E5FED">
      <w:pPr>
        <w:spacing w:after="0"/>
        <w:rPr>
          <w:szCs w:val="20"/>
        </w:rPr>
      </w:pPr>
    </w:p>
    <w:p w14:paraId="1335E71B" w14:textId="51F03D93" w:rsidR="005D77FA" w:rsidRDefault="004E1090" w:rsidP="005D77FA">
      <w:pPr>
        <w:widowControl w:val="0"/>
        <w:autoSpaceDE w:val="0"/>
        <w:autoSpaceDN w:val="0"/>
        <w:adjustRightInd w:val="0"/>
        <w:spacing w:after="0"/>
        <w:rPr>
          <w:b/>
          <w:color w:val="000000"/>
        </w:rPr>
      </w:pPr>
      <w:r>
        <w:rPr>
          <w:b/>
          <w:color w:val="000000"/>
        </w:rPr>
        <w:t>DRAFT</w:t>
      </w:r>
    </w:p>
    <w:p w14:paraId="66D20958" w14:textId="089EEB18" w:rsidR="00DC68AB" w:rsidRDefault="00DC68AB" w:rsidP="005D77FA">
      <w:pPr>
        <w:widowControl w:val="0"/>
        <w:autoSpaceDE w:val="0"/>
        <w:autoSpaceDN w:val="0"/>
        <w:adjustRightInd w:val="0"/>
        <w:spacing w:after="0"/>
        <w:rPr>
          <w:b/>
          <w:color w:val="000000"/>
        </w:rPr>
      </w:pPr>
    </w:p>
    <w:p w14:paraId="53ADB7C8" w14:textId="77777777" w:rsidR="00B26B4F" w:rsidRDefault="00B26B4F" w:rsidP="005D77FA">
      <w:pPr>
        <w:widowControl w:val="0"/>
        <w:autoSpaceDE w:val="0"/>
        <w:autoSpaceDN w:val="0"/>
        <w:adjustRightInd w:val="0"/>
        <w:spacing w:after="0"/>
        <w:rPr>
          <w:b/>
          <w:color w:val="000000"/>
        </w:rPr>
      </w:pPr>
    </w:p>
    <w:p w14:paraId="15EFC004" w14:textId="77777777" w:rsidR="005D77FA" w:rsidRDefault="005D77FA" w:rsidP="005D77FA">
      <w:pPr>
        <w:keepLines/>
        <w:widowControl w:val="0"/>
        <w:tabs>
          <w:tab w:val="decimal" w:pos="19447"/>
        </w:tabs>
        <w:autoSpaceDE w:val="0"/>
        <w:autoSpaceDN w:val="0"/>
        <w:adjustRightInd w:val="0"/>
        <w:spacing w:after="0"/>
        <w:rPr>
          <w:rFonts w:ascii="Helv" w:hAnsi="Helv" w:cs="Helv"/>
          <w:color w:val="000000"/>
          <w:szCs w:val="20"/>
        </w:rPr>
      </w:pPr>
      <w:r>
        <w:rPr>
          <w:rFonts w:ascii="Helv" w:hAnsi="Helv" w:cs="Helv"/>
          <w:color w:val="000000"/>
          <w:szCs w:val="20"/>
        </w:rPr>
        <w:t>Jimena Caicedo</w:t>
      </w:r>
    </w:p>
    <w:p w14:paraId="29A61EB0" w14:textId="77777777" w:rsidR="005D77FA" w:rsidRDefault="005D77FA" w:rsidP="005D77FA">
      <w:pPr>
        <w:keepLines/>
        <w:widowControl w:val="0"/>
        <w:tabs>
          <w:tab w:val="decimal" w:pos="19447"/>
        </w:tabs>
        <w:autoSpaceDE w:val="0"/>
        <w:autoSpaceDN w:val="0"/>
        <w:adjustRightInd w:val="0"/>
        <w:spacing w:after="0"/>
      </w:pPr>
      <w:r>
        <w:rPr>
          <w:rFonts w:ascii="Helv" w:hAnsi="Helv" w:cs="Helv"/>
          <w:color w:val="000000"/>
          <w:szCs w:val="20"/>
        </w:rPr>
        <w:t>Director, section 168.6 of the Act</w:t>
      </w:r>
    </w:p>
    <w:p w14:paraId="05E74023" w14:textId="77777777" w:rsidR="00B616CD" w:rsidRDefault="0015189F">
      <w:r>
        <w:br w:type="page"/>
      </w:r>
    </w:p>
    <w:p w14:paraId="67390605" w14:textId="1C168A55" w:rsidR="00840E0A" w:rsidRDefault="00840E0A" w:rsidP="005F1D98">
      <w:pPr>
        <w:jc w:val="center"/>
        <w:rPr>
          <w:b/>
        </w:rPr>
      </w:pPr>
      <w:r w:rsidRPr="00A1287A">
        <w:rPr>
          <w:b/>
        </w:rPr>
        <w:lastRenderedPageBreak/>
        <w:t>Schedule ‘A’</w:t>
      </w:r>
    </w:p>
    <w:p w14:paraId="11A8E614" w14:textId="77777777" w:rsidR="00840E0A" w:rsidRPr="00C202AD" w:rsidRDefault="00840E0A" w:rsidP="00840E0A">
      <w:pPr>
        <w:keepLines/>
        <w:widowControl w:val="0"/>
        <w:tabs>
          <w:tab w:val="decimal" w:pos="19447"/>
        </w:tabs>
        <w:autoSpaceDE w:val="0"/>
        <w:autoSpaceDN w:val="0"/>
        <w:adjustRightInd w:val="0"/>
        <w:jc w:val="center"/>
        <w:rPr>
          <w:b/>
          <w:sz w:val="20"/>
          <w:szCs w:val="20"/>
        </w:rPr>
      </w:pPr>
      <w:r w:rsidRPr="00C202AD">
        <w:rPr>
          <w:b/>
          <w:sz w:val="20"/>
          <w:szCs w:val="20"/>
        </w:rPr>
        <w:t>Property Specific Standards (Soil</w:t>
      </w:r>
      <w:r>
        <w:rPr>
          <w:b/>
          <w:sz w:val="20"/>
          <w:szCs w:val="20"/>
        </w:rPr>
        <w:t xml:space="preserve"> and Groundwater</w:t>
      </w:r>
      <w:r w:rsidRPr="00C202AD">
        <w:rPr>
          <w:b/>
          <w:sz w:val="20"/>
          <w:szCs w:val="20"/>
        </w:rPr>
        <w:t xml:space="preserve">) for each Contaminant of Concern </w:t>
      </w:r>
    </w:p>
    <w:tbl>
      <w:tblPr>
        <w:tblStyle w:val="TableGrid"/>
        <w:tblW w:w="4849" w:type="pct"/>
        <w:tblLook w:val="0020" w:firstRow="1" w:lastRow="0" w:firstColumn="0" w:lastColumn="0" w:noHBand="0" w:noVBand="0"/>
        <w:tblCaption w:val="Schedule ‘A’ "/>
        <w:tblDescription w:val="Property Specific Standards (Soil) for each Contaminants of Concern &#10;"/>
      </w:tblPr>
      <w:tblGrid>
        <w:gridCol w:w="3539"/>
        <w:gridCol w:w="2835"/>
        <w:gridCol w:w="2694"/>
      </w:tblGrid>
      <w:tr w:rsidR="00840E0A" w:rsidRPr="00FC5768" w14:paraId="7F8976D0" w14:textId="77777777" w:rsidTr="00141EFB">
        <w:tc>
          <w:tcPr>
            <w:tcW w:w="3539" w:type="dxa"/>
          </w:tcPr>
          <w:p w14:paraId="178F5533" w14:textId="77777777" w:rsidR="00840E0A" w:rsidRPr="00C202AD" w:rsidRDefault="00840E0A" w:rsidP="001F518A">
            <w:pPr>
              <w:jc w:val="center"/>
              <w:rPr>
                <w:b/>
                <w:bCs/>
                <w:sz w:val="18"/>
                <w:szCs w:val="18"/>
              </w:rPr>
            </w:pPr>
            <w:r w:rsidRPr="00C202AD">
              <w:rPr>
                <w:b/>
                <w:bCs/>
                <w:sz w:val="18"/>
                <w:szCs w:val="18"/>
              </w:rPr>
              <w:t>Contaminants of Concern (COC)</w:t>
            </w:r>
          </w:p>
        </w:tc>
        <w:tc>
          <w:tcPr>
            <w:tcW w:w="2835" w:type="dxa"/>
          </w:tcPr>
          <w:p w14:paraId="70C44763" w14:textId="77777777" w:rsidR="00840E0A" w:rsidRPr="00C202AD" w:rsidRDefault="00840E0A" w:rsidP="001F518A">
            <w:pPr>
              <w:jc w:val="center"/>
              <w:rPr>
                <w:b/>
                <w:bCs/>
                <w:sz w:val="18"/>
                <w:szCs w:val="18"/>
              </w:rPr>
            </w:pPr>
            <w:r w:rsidRPr="00C202AD">
              <w:rPr>
                <w:b/>
                <w:bCs/>
                <w:sz w:val="18"/>
                <w:szCs w:val="18"/>
              </w:rPr>
              <w:t>Property Specific Standards</w:t>
            </w:r>
            <w:r>
              <w:rPr>
                <w:b/>
                <w:bCs/>
                <w:sz w:val="18"/>
                <w:szCs w:val="18"/>
              </w:rPr>
              <w:t xml:space="preserve"> for Soil</w:t>
            </w:r>
            <w:r w:rsidRPr="00C202AD">
              <w:rPr>
                <w:b/>
                <w:bCs/>
                <w:sz w:val="18"/>
                <w:szCs w:val="18"/>
              </w:rPr>
              <w:t xml:space="preserve"> </w:t>
            </w:r>
            <w:r>
              <w:rPr>
                <w:b/>
                <w:bCs/>
                <w:sz w:val="18"/>
                <w:szCs w:val="18"/>
              </w:rPr>
              <w:t>(</w:t>
            </w:r>
            <w:r>
              <w:rPr>
                <w:rFonts w:cs="Arial"/>
                <w:b/>
                <w:bCs/>
                <w:sz w:val="18"/>
                <w:szCs w:val="18"/>
              </w:rPr>
              <w:t>µ</w:t>
            </w:r>
            <w:r>
              <w:rPr>
                <w:b/>
                <w:bCs/>
                <w:sz w:val="18"/>
                <w:szCs w:val="18"/>
              </w:rPr>
              <w:t>g</w:t>
            </w:r>
            <w:r w:rsidRPr="00C202AD">
              <w:rPr>
                <w:b/>
                <w:bCs/>
                <w:sz w:val="18"/>
                <w:szCs w:val="18"/>
              </w:rPr>
              <w:t>/</w:t>
            </w:r>
            <w:r>
              <w:rPr>
                <w:b/>
                <w:bCs/>
                <w:sz w:val="18"/>
                <w:szCs w:val="18"/>
              </w:rPr>
              <w:t>g</w:t>
            </w:r>
            <w:r w:rsidRPr="00C202AD">
              <w:rPr>
                <w:b/>
                <w:bCs/>
                <w:sz w:val="18"/>
                <w:szCs w:val="18"/>
              </w:rPr>
              <w:t>)</w:t>
            </w:r>
            <w:r>
              <w:rPr>
                <w:b/>
                <w:bCs/>
                <w:sz w:val="18"/>
                <w:szCs w:val="18"/>
              </w:rPr>
              <w:t xml:space="preserve"> </w:t>
            </w:r>
          </w:p>
        </w:tc>
        <w:tc>
          <w:tcPr>
            <w:tcW w:w="2694" w:type="dxa"/>
          </w:tcPr>
          <w:p w14:paraId="34F39435" w14:textId="77777777" w:rsidR="00840E0A" w:rsidRPr="00C202AD" w:rsidRDefault="00840E0A" w:rsidP="001F518A">
            <w:pPr>
              <w:jc w:val="center"/>
              <w:rPr>
                <w:b/>
                <w:bCs/>
                <w:sz w:val="18"/>
                <w:szCs w:val="18"/>
              </w:rPr>
            </w:pPr>
            <w:r w:rsidRPr="00C202AD">
              <w:rPr>
                <w:b/>
                <w:bCs/>
                <w:sz w:val="18"/>
                <w:szCs w:val="18"/>
              </w:rPr>
              <w:t>Property Specific Standards</w:t>
            </w:r>
            <w:r>
              <w:rPr>
                <w:b/>
                <w:bCs/>
                <w:sz w:val="18"/>
                <w:szCs w:val="18"/>
              </w:rPr>
              <w:t xml:space="preserve"> for Groundwater (</w:t>
            </w:r>
            <w:r>
              <w:rPr>
                <w:rFonts w:cs="Arial"/>
                <w:b/>
                <w:bCs/>
                <w:sz w:val="18"/>
                <w:szCs w:val="18"/>
              </w:rPr>
              <w:t>µ</w:t>
            </w:r>
            <w:r>
              <w:rPr>
                <w:b/>
                <w:bCs/>
                <w:sz w:val="18"/>
                <w:szCs w:val="18"/>
              </w:rPr>
              <w:t>g/L)</w:t>
            </w:r>
          </w:p>
        </w:tc>
      </w:tr>
      <w:tr w:rsidR="009634A4" w:rsidRPr="00FC5768" w14:paraId="2585908E" w14:textId="77777777" w:rsidTr="00141EFB">
        <w:tc>
          <w:tcPr>
            <w:tcW w:w="3539" w:type="dxa"/>
          </w:tcPr>
          <w:p w14:paraId="416268B8" w14:textId="2DAF86D6" w:rsidR="009634A4" w:rsidRDefault="009634A4" w:rsidP="001F518A">
            <w:pPr>
              <w:rPr>
                <w:rFonts w:ascii="Helvetica" w:hAnsi="Helvetica" w:cs="Helvetica"/>
              </w:rPr>
            </w:pPr>
            <w:r>
              <w:rPr>
                <w:rFonts w:ascii="Helvetica" w:hAnsi="Helvetica" w:cs="Helvetica"/>
              </w:rPr>
              <w:t>Acenaphthylene</w:t>
            </w:r>
          </w:p>
        </w:tc>
        <w:tc>
          <w:tcPr>
            <w:tcW w:w="2835" w:type="dxa"/>
          </w:tcPr>
          <w:p w14:paraId="775833DB" w14:textId="3026EBE6" w:rsidR="009634A4" w:rsidRDefault="00A468A3" w:rsidP="001F518A">
            <w:pPr>
              <w:jc w:val="center"/>
            </w:pPr>
            <w:r>
              <w:t>0.23</w:t>
            </w:r>
          </w:p>
        </w:tc>
        <w:tc>
          <w:tcPr>
            <w:tcW w:w="2694" w:type="dxa"/>
          </w:tcPr>
          <w:p w14:paraId="0DCA50AC" w14:textId="009411C7" w:rsidR="009634A4" w:rsidRDefault="009634A4" w:rsidP="001F518A">
            <w:pPr>
              <w:jc w:val="center"/>
            </w:pPr>
            <w:r>
              <w:t>NA</w:t>
            </w:r>
          </w:p>
        </w:tc>
      </w:tr>
      <w:tr w:rsidR="009634A4" w:rsidRPr="00FC5768" w14:paraId="006B9D81" w14:textId="77777777" w:rsidTr="00141EFB">
        <w:tc>
          <w:tcPr>
            <w:tcW w:w="3539" w:type="dxa"/>
          </w:tcPr>
          <w:p w14:paraId="4DB93DE6" w14:textId="0C39D7C2" w:rsidR="009634A4" w:rsidRDefault="009634A4" w:rsidP="001F518A">
            <w:pPr>
              <w:rPr>
                <w:rFonts w:ascii="Helvetica" w:hAnsi="Helvetica" w:cs="Helvetica"/>
              </w:rPr>
            </w:pPr>
            <w:r>
              <w:rPr>
                <w:rFonts w:ascii="Helvetica" w:hAnsi="Helvetica" w:cs="Helvetica"/>
              </w:rPr>
              <w:t>Anthracene</w:t>
            </w:r>
          </w:p>
        </w:tc>
        <w:tc>
          <w:tcPr>
            <w:tcW w:w="2835" w:type="dxa"/>
          </w:tcPr>
          <w:p w14:paraId="56889178" w14:textId="5118867A" w:rsidR="009634A4" w:rsidRDefault="00A468A3" w:rsidP="001F518A">
            <w:pPr>
              <w:jc w:val="center"/>
            </w:pPr>
            <w:r>
              <w:t>4.08</w:t>
            </w:r>
          </w:p>
        </w:tc>
        <w:tc>
          <w:tcPr>
            <w:tcW w:w="2694" w:type="dxa"/>
          </w:tcPr>
          <w:p w14:paraId="50419E88" w14:textId="638EE26E" w:rsidR="009634A4" w:rsidRDefault="009634A4" w:rsidP="001F518A">
            <w:pPr>
              <w:jc w:val="center"/>
            </w:pPr>
            <w:r>
              <w:t>NA</w:t>
            </w:r>
          </w:p>
        </w:tc>
      </w:tr>
      <w:tr w:rsidR="00840E0A" w:rsidRPr="00FC5768" w14:paraId="7C38AC54" w14:textId="77777777" w:rsidTr="00141EFB">
        <w:tc>
          <w:tcPr>
            <w:tcW w:w="3539" w:type="dxa"/>
          </w:tcPr>
          <w:p w14:paraId="344700F1" w14:textId="4D67D7DB" w:rsidR="00840E0A" w:rsidRDefault="00A05E66" w:rsidP="001F518A">
            <w:pPr>
              <w:rPr>
                <w:rFonts w:ascii="Helvetica" w:hAnsi="Helvetica" w:cs="Helvetica"/>
              </w:rPr>
            </w:pPr>
            <w:r>
              <w:rPr>
                <w:rFonts w:ascii="Helvetica" w:hAnsi="Helvetica" w:cs="Helvetica"/>
              </w:rPr>
              <w:t>Benzene</w:t>
            </w:r>
          </w:p>
        </w:tc>
        <w:tc>
          <w:tcPr>
            <w:tcW w:w="2835" w:type="dxa"/>
          </w:tcPr>
          <w:p w14:paraId="22FBFE49" w14:textId="5D70F659" w:rsidR="00840E0A" w:rsidRDefault="003557D5" w:rsidP="001F518A">
            <w:pPr>
              <w:jc w:val="center"/>
            </w:pPr>
            <w:r>
              <w:t>0.52</w:t>
            </w:r>
          </w:p>
        </w:tc>
        <w:tc>
          <w:tcPr>
            <w:tcW w:w="2694" w:type="dxa"/>
          </w:tcPr>
          <w:p w14:paraId="3856FD1A" w14:textId="606DFD32" w:rsidR="00840E0A" w:rsidRDefault="006D0AC4" w:rsidP="001F518A">
            <w:pPr>
              <w:jc w:val="center"/>
            </w:pPr>
            <w:r>
              <w:t>372</w:t>
            </w:r>
          </w:p>
        </w:tc>
      </w:tr>
      <w:tr w:rsidR="003557D5" w:rsidRPr="00FC5768" w14:paraId="04D454E0" w14:textId="77777777" w:rsidTr="00141EFB">
        <w:tc>
          <w:tcPr>
            <w:tcW w:w="3539" w:type="dxa"/>
          </w:tcPr>
          <w:p w14:paraId="4F0409F9" w14:textId="59EF3CD1" w:rsidR="003557D5" w:rsidRDefault="003557D5" w:rsidP="001F518A">
            <w:pPr>
              <w:rPr>
                <w:rFonts w:ascii="Helvetica" w:hAnsi="Helvetica" w:cs="Helvetica"/>
              </w:rPr>
            </w:pPr>
            <w:r>
              <w:rPr>
                <w:rFonts w:ascii="Helvetica" w:hAnsi="Helvetica" w:cs="Helvetica"/>
              </w:rPr>
              <w:t>Benz(a)anthracene</w:t>
            </w:r>
          </w:p>
        </w:tc>
        <w:tc>
          <w:tcPr>
            <w:tcW w:w="2835" w:type="dxa"/>
          </w:tcPr>
          <w:p w14:paraId="68FF6A46" w14:textId="2EE99F13" w:rsidR="003557D5" w:rsidRDefault="003557D5" w:rsidP="001F518A">
            <w:pPr>
              <w:jc w:val="center"/>
            </w:pPr>
            <w:r>
              <w:t>6.48</w:t>
            </w:r>
          </w:p>
        </w:tc>
        <w:tc>
          <w:tcPr>
            <w:tcW w:w="2694" w:type="dxa"/>
          </w:tcPr>
          <w:p w14:paraId="299CF0F3" w14:textId="204FDD21" w:rsidR="003557D5" w:rsidRDefault="006D0AC4" w:rsidP="001F518A">
            <w:pPr>
              <w:jc w:val="center"/>
            </w:pPr>
            <w:r>
              <w:t>NA</w:t>
            </w:r>
          </w:p>
        </w:tc>
      </w:tr>
      <w:tr w:rsidR="009634A4" w:rsidRPr="00FC5768" w14:paraId="71EB0DE4" w14:textId="77777777" w:rsidTr="00141EFB">
        <w:tc>
          <w:tcPr>
            <w:tcW w:w="3539" w:type="dxa"/>
          </w:tcPr>
          <w:p w14:paraId="1CDA0E87" w14:textId="5C0BBD49" w:rsidR="009634A4" w:rsidRDefault="009634A4" w:rsidP="001F518A">
            <w:pPr>
              <w:rPr>
                <w:rFonts w:ascii="Helvetica" w:hAnsi="Helvetica" w:cs="Helvetica"/>
              </w:rPr>
            </w:pPr>
            <w:r>
              <w:rPr>
                <w:rFonts w:ascii="Helvetica" w:hAnsi="Helvetica" w:cs="Helvetica"/>
              </w:rPr>
              <w:t>Benzo(a)pyrene</w:t>
            </w:r>
          </w:p>
        </w:tc>
        <w:tc>
          <w:tcPr>
            <w:tcW w:w="2835" w:type="dxa"/>
          </w:tcPr>
          <w:p w14:paraId="746C129A" w14:textId="3F7F4645" w:rsidR="009634A4" w:rsidRDefault="003557D5" w:rsidP="001F518A">
            <w:pPr>
              <w:jc w:val="center"/>
            </w:pPr>
            <w:r>
              <w:t>5.16</w:t>
            </w:r>
          </w:p>
        </w:tc>
        <w:tc>
          <w:tcPr>
            <w:tcW w:w="2694" w:type="dxa"/>
          </w:tcPr>
          <w:p w14:paraId="71129BAC" w14:textId="6DE152BD" w:rsidR="009634A4" w:rsidRDefault="009634A4" w:rsidP="001F518A">
            <w:pPr>
              <w:jc w:val="center"/>
            </w:pPr>
            <w:r>
              <w:t>NA</w:t>
            </w:r>
          </w:p>
        </w:tc>
      </w:tr>
      <w:tr w:rsidR="009634A4" w:rsidRPr="00FC5768" w14:paraId="5E678FAA" w14:textId="77777777" w:rsidTr="00141EFB">
        <w:tc>
          <w:tcPr>
            <w:tcW w:w="3539" w:type="dxa"/>
          </w:tcPr>
          <w:p w14:paraId="289C48C4" w14:textId="7A0EBDC8" w:rsidR="009634A4" w:rsidRDefault="009634A4" w:rsidP="001F518A">
            <w:pPr>
              <w:rPr>
                <w:rFonts w:ascii="Helvetica" w:hAnsi="Helvetica" w:cs="Helvetica"/>
              </w:rPr>
            </w:pPr>
            <w:r>
              <w:rPr>
                <w:rFonts w:ascii="Helvetica" w:hAnsi="Helvetica" w:cs="Helvetica"/>
              </w:rPr>
              <w:t>Benzo(b)fluoranthene</w:t>
            </w:r>
          </w:p>
        </w:tc>
        <w:tc>
          <w:tcPr>
            <w:tcW w:w="2835" w:type="dxa"/>
          </w:tcPr>
          <w:p w14:paraId="0EA03D4E" w14:textId="66273A06" w:rsidR="009634A4" w:rsidRDefault="003557D5" w:rsidP="001F518A">
            <w:pPr>
              <w:jc w:val="center"/>
            </w:pPr>
            <w:r>
              <w:t>6.24</w:t>
            </w:r>
          </w:p>
        </w:tc>
        <w:tc>
          <w:tcPr>
            <w:tcW w:w="2694" w:type="dxa"/>
          </w:tcPr>
          <w:p w14:paraId="345C925B" w14:textId="0AF948A2" w:rsidR="009634A4" w:rsidRDefault="009634A4" w:rsidP="001F518A">
            <w:pPr>
              <w:jc w:val="center"/>
            </w:pPr>
            <w:r>
              <w:t>NA</w:t>
            </w:r>
          </w:p>
        </w:tc>
      </w:tr>
      <w:tr w:rsidR="003557D5" w:rsidRPr="00FC5768" w14:paraId="32196B3E" w14:textId="77777777" w:rsidTr="00141EFB">
        <w:tc>
          <w:tcPr>
            <w:tcW w:w="3539" w:type="dxa"/>
          </w:tcPr>
          <w:p w14:paraId="6C8C3287" w14:textId="6183E9CC" w:rsidR="003557D5" w:rsidRDefault="003557D5" w:rsidP="001F518A">
            <w:pPr>
              <w:rPr>
                <w:rFonts w:ascii="Helvetica" w:hAnsi="Helvetica" w:cs="Helvetica"/>
              </w:rPr>
            </w:pPr>
            <w:r>
              <w:rPr>
                <w:rFonts w:ascii="Helvetica" w:hAnsi="Helvetica" w:cs="Helvetica"/>
              </w:rPr>
              <w:t>Benzo(k)fluoranthene</w:t>
            </w:r>
          </w:p>
        </w:tc>
        <w:tc>
          <w:tcPr>
            <w:tcW w:w="2835" w:type="dxa"/>
          </w:tcPr>
          <w:p w14:paraId="597B4FE4" w14:textId="4C0A1D0C" w:rsidR="003557D5" w:rsidRDefault="003557D5" w:rsidP="001F518A">
            <w:pPr>
              <w:jc w:val="center"/>
            </w:pPr>
            <w:r>
              <w:t>1.92</w:t>
            </w:r>
          </w:p>
        </w:tc>
        <w:tc>
          <w:tcPr>
            <w:tcW w:w="2694" w:type="dxa"/>
          </w:tcPr>
          <w:p w14:paraId="6AB4B890" w14:textId="355A1CC6" w:rsidR="003557D5" w:rsidRDefault="00A21423" w:rsidP="001F518A">
            <w:pPr>
              <w:jc w:val="center"/>
            </w:pPr>
            <w:r>
              <w:t>NA</w:t>
            </w:r>
          </w:p>
        </w:tc>
      </w:tr>
      <w:tr w:rsidR="00840E0A" w:rsidRPr="00FC5768" w14:paraId="4258B1E8" w14:textId="77777777" w:rsidTr="00141EFB">
        <w:tc>
          <w:tcPr>
            <w:tcW w:w="3539" w:type="dxa"/>
          </w:tcPr>
          <w:p w14:paraId="1A0B3C42" w14:textId="7D9945BD" w:rsidR="00840E0A" w:rsidRDefault="003557D5" w:rsidP="001F518A">
            <w:pPr>
              <w:rPr>
                <w:rFonts w:ascii="Helvetica" w:hAnsi="Helvetica" w:cs="Helvetica"/>
              </w:rPr>
            </w:pPr>
            <w:r>
              <w:rPr>
                <w:rFonts w:ascii="Helvetica" w:hAnsi="Helvetica" w:cs="Helvetica"/>
              </w:rPr>
              <w:t>Boron (HWS)</w:t>
            </w:r>
          </w:p>
        </w:tc>
        <w:tc>
          <w:tcPr>
            <w:tcW w:w="2835" w:type="dxa"/>
          </w:tcPr>
          <w:p w14:paraId="3C138253" w14:textId="6F03396A" w:rsidR="00840E0A" w:rsidRDefault="003557D5" w:rsidP="001F518A">
            <w:pPr>
              <w:jc w:val="center"/>
            </w:pPr>
            <w:r>
              <w:t>13.2</w:t>
            </w:r>
          </w:p>
        </w:tc>
        <w:tc>
          <w:tcPr>
            <w:tcW w:w="2694" w:type="dxa"/>
          </w:tcPr>
          <w:p w14:paraId="537B7588" w14:textId="2E4284B1" w:rsidR="00840E0A" w:rsidRDefault="00AD742F" w:rsidP="001F518A">
            <w:pPr>
              <w:jc w:val="center"/>
            </w:pPr>
            <w:r>
              <w:t>NA</w:t>
            </w:r>
          </w:p>
        </w:tc>
      </w:tr>
      <w:tr w:rsidR="00840E0A" w:rsidRPr="00FC5768" w14:paraId="64E55A27" w14:textId="77777777" w:rsidTr="00141EFB">
        <w:tc>
          <w:tcPr>
            <w:tcW w:w="3539" w:type="dxa"/>
          </w:tcPr>
          <w:p w14:paraId="299B3947" w14:textId="474A8F87" w:rsidR="00840E0A" w:rsidRDefault="00AD742F" w:rsidP="001F518A">
            <w:pPr>
              <w:rPr>
                <w:rFonts w:ascii="Helvetica" w:hAnsi="Helvetica" w:cs="Helvetica"/>
              </w:rPr>
            </w:pPr>
            <w:r>
              <w:rPr>
                <w:rFonts w:ascii="Helvetica" w:hAnsi="Helvetica" w:cs="Helvetica"/>
              </w:rPr>
              <w:t>Cadmium</w:t>
            </w:r>
          </w:p>
        </w:tc>
        <w:tc>
          <w:tcPr>
            <w:tcW w:w="2835" w:type="dxa"/>
          </w:tcPr>
          <w:p w14:paraId="42F1237F" w14:textId="46BC4ACC" w:rsidR="00840E0A" w:rsidRDefault="003557D5" w:rsidP="001F518A">
            <w:pPr>
              <w:jc w:val="center"/>
            </w:pPr>
            <w:r>
              <w:t>1.56</w:t>
            </w:r>
          </w:p>
        </w:tc>
        <w:tc>
          <w:tcPr>
            <w:tcW w:w="2694" w:type="dxa"/>
          </w:tcPr>
          <w:p w14:paraId="37EB9CA6" w14:textId="762A79AB" w:rsidR="00840E0A" w:rsidRDefault="00AD742F" w:rsidP="001F518A">
            <w:pPr>
              <w:jc w:val="center"/>
            </w:pPr>
            <w:r>
              <w:t>NA</w:t>
            </w:r>
          </w:p>
        </w:tc>
      </w:tr>
      <w:tr w:rsidR="00AD742F" w:rsidRPr="00FC5768" w14:paraId="4A2D9D0D" w14:textId="77777777" w:rsidTr="00141EFB">
        <w:tc>
          <w:tcPr>
            <w:tcW w:w="3539" w:type="dxa"/>
          </w:tcPr>
          <w:p w14:paraId="2018CB58" w14:textId="08AB6DB4" w:rsidR="00AD742F" w:rsidRDefault="00AD742F" w:rsidP="001F518A">
            <w:pPr>
              <w:rPr>
                <w:rFonts w:ascii="Helvetica" w:hAnsi="Helvetica" w:cs="Helvetica"/>
              </w:rPr>
            </w:pPr>
            <w:r>
              <w:rPr>
                <w:rFonts w:ascii="Helvetica" w:hAnsi="Helvetica" w:cs="Helvetica"/>
              </w:rPr>
              <w:t>Copper</w:t>
            </w:r>
          </w:p>
        </w:tc>
        <w:tc>
          <w:tcPr>
            <w:tcW w:w="2835" w:type="dxa"/>
          </w:tcPr>
          <w:p w14:paraId="723DBEC4" w14:textId="53229F14" w:rsidR="00AD742F" w:rsidRDefault="003557D5" w:rsidP="001F518A">
            <w:pPr>
              <w:jc w:val="center"/>
              <w:rPr>
                <w:rFonts w:ascii="Helvetica" w:hAnsi="Helvetica" w:cs="Helvetica"/>
              </w:rPr>
            </w:pPr>
            <w:r>
              <w:rPr>
                <w:rFonts w:ascii="Helvetica" w:hAnsi="Helvetica" w:cs="Helvetica"/>
              </w:rPr>
              <w:t>228</w:t>
            </w:r>
          </w:p>
        </w:tc>
        <w:tc>
          <w:tcPr>
            <w:tcW w:w="2694" w:type="dxa"/>
          </w:tcPr>
          <w:p w14:paraId="45CC5033" w14:textId="4BBAC31F" w:rsidR="00AD742F" w:rsidRDefault="00AD742F" w:rsidP="001F518A">
            <w:pPr>
              <w:jc w:val="center"/>
            </w:pPr>
            <w:r>
              <w:t>NA</w:t>
            </w:r>
          </w:p>
        </w:tc>
      </w:tr>
      <w:tr w:rsidR="006D0AC4" w:rsidRPr="00FC5768" w14:paraId="2F9C4E36" w14:textId="77777777" w:rsidTr="00141EFB">
        <w:tc>
          <w:tcPr>
            <w:tcW w:w="3539" w:type="dxa"/>
          </w:tcPr>
          <w:p w14:paraId="478FE283" w14:textId="033EEB57" w:rsidR="006D0AC4" w:rsidRDefault="006D0AC4" w:rsidP="001F518A">
            <w:pPr>
              <w:rPr>
                <w:rFonts w:ascii="Helvetica" w:hAnsi="Helvetica" w:cs="Helvetica"/>
              </w:rPr>
            </w:pPr>
            <w:r>
              <w:rPr>
                <w:rFonts w:ascii="Helvetica" w:hAnsi="Helvetica" w:cs="Helvetica"/>
              </w:rPr>
              <w:t>Cyanide</w:t>
            </w:r>
          </w:p>
        </w:tc>
        <w:tc>
          <w:tcPr>
            <w:tcW w:w="2835" w:type="dxa"/>
          </w:tcPr>
          <w:p w14:paraId="75F1A084" w14:textId="60AC65BC" w:rsidR="006D0AC4" w:rsidRDefault="006D0AC4" w:rsidP="001F518A">
            <w:pPr>
              <w:jc w:val="center"/>
              <w:rPr>
                <w:rFonts w:ascii="Helvetica" w:hAnsi="Helvetica" w:cs="Helvetica"/>
              </w:rPr>
            </w:pPr>
            <w:r>
              <w:rPr>
                <w:rFonts w:ascii="Helvetica" w:hAnsi="Helvetica" w:cs="Helvetica"/>
              </w:rPr>
              <w:t>0.084</w:t>
            </w:r>
          </w:p>
        </w:tc>
        <w:tc>
          <w:tcPr>
            <w:tcW w:w="2694" w:type="dxa"/>
          </w:tcPr>
          <w:p w14:paraId="51A7DB7E" w14:textId="1F88C496" w:rsidR="006D0AC4" w:rsidRDefault="00A21423" w:rsidP="001F518A">
            <w:pPr>
              <w:jc w:val="center"/>
            </w:pPr>
            <w:r>
              <w:t>NA</w:t>
            </w:r>
          </w:p>
        </w:tc>
      </w:tr>
      <w:tr w:rsidR="00AD742F" w:rsidRPr="00FC5768" w14:paraId="25ECDD69" w14:textId="77777777" w:rsidTr="00141EFB">
        <w:tc>
          <w:tcPr>
            <w:tcW w:w="3539" w:type="dxa"/>
          </w:tcPr>
          <w:p w14:paraId="24FEAE34" w14:textId="6BD4A32F" w:rsidR="00AD742F" w:rsidRDefault="00AD742F" w:rsidP="001F518A">
            <w:pPr>
              <w:rPr>
                <w:rFonts w:ascii="Helvetica" w:hAnsi="Helvetica" w:cs="Helvetica"/>
              </w:rPr>
            </w:pPr>
            <w:r>
              <w:rPr>
                <w:rFonts w:ascii="Helvetica" w:hAnsi="Helvetica" w:cs="Helvetica"/>
              </w:rPr>
              <w:t>Dibenzo(a,h)anthracene</w:t>
            </w:r>
          </w:p>
        </w:tc>
        <w:tc>
          <w:tcPr>
            <w:tcW w:w="2835" w:type="dxa"/>
          </w:tcPr>
          <w:p w14:paraId="596DC9CB" w14:textId="463A1C90" w:rsidR="00AD742F" w:rsidRDefault="003557D5" w:rsidP="001F518A">
            <w:pPr>
              <w:jc w:val="center"/>
              <w:rPr>
                <w:rFonts w:ascii="Helvetica" w:hAnsi="Helvetica" w:cs="Helvetica"/>
              </w:rPr>
            </w:pPr>
            <w:r>
              <w:rPr>
                <w:rFonts w:ascii="Helvetica" w:hAnsi="Helvetica" w:cs="Helvetica"/>
              </w:rPr>
              <w:t>0.62</w:t>
            </w:r>
          </w:p>
        </w:tc>
        <w:tc>
          <w:tcPr>
            <w:tcW w:w="2694" w:type="dxa"/>
          </w:tcPr>
          <w:p w14:paraId="63E366D5" w14:textId="6FE8F5DF" w:rsidR="00AD742F" w:rsidRDefault="00AD742F" w:rsidP="001F518A">
            <w:pPr>
              <w:jc w:val="center"/>
            </w:pPr>
            <w:r>
              <w:t>NA</w:t>
            </w:r>
          </w:p>
        </w:tc>
      </w:tr>
      <w:tr w:rsidR="00A05E66" w:rsidRPr="00FC5768" w14:paraId="197991A6" w14:textId="77777777" w:rsidTr="00141EFB">
        <w:tc>
          <w:tcPr>
            <w:tcW w:w="3539" w:type="dxa"/>
          </w:tcPr>
          <w:p w14:paraId="7C5F3CD6" w14:textId="21CAE2CE" w:rsidR="00A05E66" w:rsidRDefault="00A05E66" w:rsidP="001F518A">
            <w:pPr>
              <w:rPr>
                <w:rFonts w:ascii="Helvetica" w:hAnsi="Helvetica" w:cs="Helvetica"/>
              </w:rPr>
            </w:pPr>
            <w:r>
              <w:rPr>
                <w:rFonts w:ascii="Helvetica" w:hAnsi="Helvetica" w:cs="Helvetica"/>
              </w:rPr>
              <w:t>Dichloroethane, 1,2-</w:t>
            </w:r>
          </w:p>
        </w:tc>
        <w:tc>
          <w:tcPr>
            <w:tcW w:w="2835" w:type="dxa"/>
          </w:tcPr>
          <w:p w14:paraId="6CADE908" w14:textId="7C86D498" w:rsidR="00A05E66" w:rsidRDefault="003557D5" w:rsidP="001F518A">
            <w:pPr>
              <w:jc w:val="center"/>
              <w:rPr>
                <w:rFonts w:ascii="Helvetica" w:hAnsi="Helvetica" w:cs="Helvetica"/>
              </w:rPr>
            </w:pPr>
            <w:r>
              <w:rPr>
                <w:rFonts w:ascii="Helvetica" w:hAnsi="Helvetica" w:cs="Helvetica"/>
              </w:rPr>
              <w:t>0.12</w:t>
            </w:r>
          </w:p>
        </w:tc>
        <w:tc>
          <w:tcPr>
            <w:tcW w:w="2694" w:type="dxa"/>
          </w:tcPr>
          <w:p w14:paraId="66D1CB85" w14:textId="28674782" w:rsidR="00A05E66" w:rsidRDefault="00A21423" w:rsidP="001F518A">
            <w:pPr>
              <w:jc w:val="center"/>
            </w:pPr>
            <w:r>
              <w:t>2.04</w:t>
            </w:r>
          </w:p>
        </w:tc>
      </w:tr>
      <w:tr w:rsidR="00E869F8" w:rsidRPr="00FC5768" w14:paraId="4836D64F" w14:textId="77777777" w:rsidTr="00141EFB">
        <w:tc>
          <w:tcPr>
            <w:tcW w:w="3539" w:type="dxa"/>
          </w:tcPr>
          <w:p w14:paraId="762CCCA2" w14:textId="60BFFF49" w:rsidR="00E869F8" w:rsidRDefault="00E869F8" w:rsidP="001F518A">
            <w:pPr>
              <w:rPr>
                <w:rFonts w:ascii="Helvetica" w:hAnsi="Helvetica" w:cs="Helvetica"/>
              </w:rPr>
            </w:pPr>
            <w:r>
              <w:rPr>
                <w:rFonts w:ascii="Helvetica" w:hAnsi="Helvetica" w:cs="Helvetica"/>
              </w:rPr>
              <w:t>Dichloroethylene, 1,1-</w:t>
            </w:r>
          </w:p>
        </w:tc>
        <w:tc>
          <w:tcPr>
            <w:tcW w:w="2835" w:type="dxa"/>
          </w:tcPr>
          <w:p w14:paraId="2FB35040" w14:textId="07843CE0" w:rsidR="00E869F8" w:rsidRDefault="00E869F8" w:rsidP="001F518A">
            <w:pPr>
              <w:jc w:val="center"/>
              <w:rPr>
                <w:rFonts w:ascii="Helvetica" w:hAnsi="Helvetica" w:cs="Helvetica"/>
              </w:rPr>
            </w:pPr>
            <w:r>
              <w:rPr>
                <w:rFonts w:ascii="Helvetica" w:hAnsi="Helvetica" w:cs="Helvetica"/>
              </w:rPr>
              <w:t>NA</w:t>
            </w:r>
          </w:p>
        </w:tc>
        <w:tc>
          <w:tcPr>
            <w:tcW w:w="2694" w:type="dxa"/>
          </w:tcPr>
          <w:p w14:paraId="0D1A6239" w14:textId="2EDD38E9" w:rsidR="00E869F8" w:rsidRDefault="00A21423" w:rsidP="001F518A">
            <w:pPr>
              <w:jc w:val="center"/>
            </w:pPr>
            <w:r>
              <w:t>1.6</w:t>
            </w:r>
          </w:p>
        </w:tc>
      </w:tr>
      <w:tr w:rsidR="00E869F8" w:rsidRPr="00FC5768" w14:paraId="6DBA6CFF" w14:textId="77777777" w:rsidTr="00141EFB">
        <w:tc>
          <w:tcPr>
            <w:tcW w:w="3539" w:type="dxa"/>
          </w:tcPr>
          <w:p w14:paraId="1E6F4B1A" w14:textId="3A6FB35C" w:rsidR="00E869F8" w:rsidRDefault="00E869F8" w:rsidP="001F518A">
            <w:pPr>
              <w:rPr>
                <w:rFonts w:ascii="Helvetica" w:hAnsi="Helvetica" w:cs="Helvetica"/>
              </w:rPr>
            </w:pPr>
            <w:r w:rsidRPr="00E869F8">
              <w:rPr>
                <w:rFonts w:ascii="Helvetica" w:hAnsi="Helvetica" w:cs="Helvetica"/>
              </w:rPr>
              <w:t>Dichloroethylene, 1,</w:t>
            </w:r>
            <w:r>
              <w:rPr>
                <w:rFonts w:ascii="Helvetica" w:hAnsi="Helvetica" w:cs="Helvetica"/>
              </w:rPr>
              <w:t>2</w:t>
            </w:r>
            <w:r w:rsidRPr="00E869F8">
              <w:rPr>
                <w:rFonts w:ascii="Helvetica" w:hAnsi="Helvetica" w:cs="Helvetica"/>
              </w:rPr>
              <w:t>-</w:t>
            </w:r>
            <w:r>
              <w:rPr>
                <w:rFonts w:ascii="Helvetica" w:hAnsi="Helvetica" w:cs="Helvetica"/>
              </w:rPr>
              <w:t>cis-</w:t>
            </w:r>
          </w:p>
        </w:tc>
        <w:tc>
          <w:tcPr>
            <w:tcW w:w="2835" w:type="dxa"/>
          </w:tcPr>
          <w:p w14:paraId="2EA0F632" w14:textId="20BC9B8D" w:rsidR="00E869F8" w:rsidRDefault="00E869F8" w:rsidP="001F518A">
            <w:pPr>
              <w:jc w:val="center"/>
              <w:rPr>
                <w:rFonts w:ascii="Helvetica" w:hAnsi="Helvetica" w:cs="Helvetica"/>
              </w:rPr>
            </w:pPr>
            <w:r>
              <w:rPr>
                <w:rFonts w:ascii="Helvetica" w:hAnsi="Helvetica" w:cs="Helvetica"/>
              </w:rPr>
              <w:t>NA</w:t>
            </w:r>
          </w:p>
        </w:tc>
        <w:tc>
          <w:tcPr>
            <w:tcW w:w="2694" w:type="dxa"/>
          </w:tcPr>
          <w:p w14:paraId="70119628" w14:textId="0A6405CB" w:rsidR="00E869F8" w:rsidRDefault="00A21423" w:rsidP="001F518A">
            <w:pPr>
              <w:jc w:val="center"/>
            </w:pPr>
            <w:r>
              <w:t>2.28</w:t>
            </w:r>
          </w:p>
        </w:tc>
      </w:tr>
      <w:tr w:rsidR="00840E0A" w:rsidRPr="00FC5768" w14:paraId="436C6977" w14:textId="77777777" w:rsidTr="00141EFB">
        <w:tc>
          <w:tcPr>
            <w:tcW w:w="3539" w:type="dxa"/>
          </w:tcPr>
          <w:p w14:paraId="17493B67" w14:textId="197F206A" w:rsidR="00840E0A" w:rsidRDefault="00A05E66" w:rsidP="001F518A">
            <w:pPr>
              <w:rPr>
                <w:rFonts w:ascii="Helvetica" w:hAnsi="Helvetica" w:cs="Helvetica"/>
              </w:rPr>
            </w:pPr>
            <w:r w:rsidRPr="00E869F8">
              <w:rPr>
                <w:rFonts w:ascii="Helvetica" w:hAnsi="Helvetica" w:cs="Helvetica"/>
              </w:rPr>
              <w:t>Dichloroethylene, 1,</w:t>
            </w:r>
            <w:r>
              <w:rPr>
                <w:rFonts w:ascii="Helvetica" w:hAnsi="Helvetica" w:cs="Helvetica"/>
              </w:rPr>
              <w:t>2</w:t>
            </w:r>
            <w:r w:rsidRPr="00E869F8">
              <w:rPr>
                <w:rFonts w:ascii="Helvetica" w:hAnsi="Helvetica" w:cs="Helvetica"/>
              </w:rPr>
              <w:t>-</w:t>
            </w:r>
            <w:r>
              <w:rPr>
                <w:rFonts w:ascii="Helvetica" w:hAnsi="Helvetica" w:cs="Helvetica"/>
              </w:rPr>
              <w:t>trans-</w:t>
            </w:r>
          </w:p>
        </w:tc>
        <w:tc>
          <w:tcPr>
            <w:tcW w:w="2835" w:type="dxa"/>
          </w:tcPr>
          <w:p w14:paraId="6F78A06D" w14:textId="74B3BF3B" w:rsidR="00840E0A" w:rsidRDefault="00A05E66" w:rsidP="001F518A">
            <w:pPr>
              <w:jc w:val="center"/>
              <w:rPr>
                <w:rFonts w:ascii="Helvetica" w:hAnsi="Helvetica" w:cs="Helvetica"/>
              </w:rPr>
            </w:pPr>
            <w:r>
              <w:rPr>
                <w:rFonts w:ascii="Helvetica" w:hAnsi="Helvetica" w:cs="Helvetica"/>
              </w:rPr>
              <w:t>NA</w:t>
            </w:r>
          </w:p>
        </w:tc>
        <w:tc>
          <w:tcPr>
            <w:tcW w:w="2694" w:type="dxa"/>
          </w:tcPr>
          <w:p w14:paraId="01AF76C7" w14:textId="78E3A6F6" w:rsidR="00840E0A" w:rsidRDefault="00A21423" w:rsidP="001F518A">
            <w:pPr>
              <w:jc w:val="center"/>
            </w:pPr>
            <w:r>
              <w:t>1.6</w:t>
            </w:r>
          </w:p>
        </w:tc>
      </w:tr>
      <w:tr w:rsidR="006D0AC4" w:rsidRPr="00FC5768" w14:paraId="35F55BE6" w14:textId="77777777" w:rsidTr="00141EFB">
        <w:tc>
          <w:tcPr>
            <w:tcW w:w="3539" w:type="dxa"/>
          </w:tcPr>
          <w:p w14:paraId="2162A8E8" w14:textId="359F6794" w:rsidR="006D0AC4" w:rsidRDefault="006D0AC4" w:rsidP="001F518A">
            <w:pPr>
              <w:rPr>
                <w:rFonts w:ascii="Helvetica" w:hAnsi="Helvetica" w:cs="Helvetica"/>
              </w:rPr>
            </w:pPr>
            <w:r>
              <w:rPr>
                <w:rFonts w:ascii="Helvetica" w:hAnsi="Helvetica" w:cs="Helvetica"/>
              </w:rPr>
              <w:t>Electrical Conductivity (mS/cm)</w:t>
            </w:r>
          </w:p>
        </w:tc>
        <w:tc>
          <w:tcPr>
            <w:tcW w:w="2835" w:type="dxa"/>
          </w:tcPr>
          <w:p w14:paraId="60F6A239" w14:textId="31F5039D" w:rsidR="006D0AC4" w:rsidRDefault="006D0AC4" w:rsidP="001F518A">
            <w:pPr>
              <w:jc w:val="center"/>
              <w:rPr>
                <w:rFonts w:ascii="Helvetica" w:hAnsi="Helvetica" w:cs="Helvetica"/>
              </w:rPr>
            </w:pPr>
            <w:r>
              <w:rPr>
                <w:rFonts w:ascii="Helvetica" w:hAnsi="Helvetica" w:cs="Helvetica"/>
              </w:rPr>
              <w:t>3.36</w:t>
            </w:r>
          </w:p>
        </w:tc>
        <w:tc>
          <w:tcPr>
            <w:tcW w:w="2694" w:type="dxa"/>
          </w:tcPr>
          <w:p w14:paraId="70BA4BA8" w14:textId="223100E5" w:rsidR="006D0AC4" w:rsidRDefault="006D0AC4" w:rsidP="001F518A">
            <w:pPr>
              <w:jc w:val="center"/>
            </w:pPr>
            <w:r>
              <w:t>NA</w:t>
            </w:r>
          </w:p>
        </w:tc>
      </w:tr>
      <w:tr w:rsidR="00840E0A" w:rsidRPr="00FC5768" w14:paraId="5146F202" w14:textId="77777777" w:rsidTr="00141EFB">
        <w:tc>
          <w:tcPr>
            <w:tcW w:w="3539" w:type="dxa"/>
          </w:tcPr>
          <w:p w14:paraId="3116C46A" w14:textId="4A2EE2DF" w:rsidR="00840E0A" w:rsidRDefault="00AD742F" w:rsidP="001F518A">
            <w:pPr>
              <w:rPr>
                <w:rFonts w:ascii="Helvetica" w:hAnsi="Helvetica" w:cs="Helvetica"/>
              </w:rPr>
            </w:pPr>
            <w:r>
              <w:rPr>
                <w:rFonts w:ascii="Helvetica" w:hAnsi="Helvetica" w:cs="Helvetica"/>
              </w:rPr>
              <w:t>Fluoranthene</w:t>
            </w:r>
          </w:p>
        </w:tc>
        <w:tc>
          <w:tcPr>
            <w:tcW w:w="2835" w:type="dxa"/>
          </w:tcPr>
          <w:p w14:paraId="5179DA3E" w14:textId="4261743A" w:rsidR="00840E0A" w:rsidRDefault="003557D5" w:rsidP="001F518A">
            <w:pPr>
              <w:jc w:val="center"/>
              <w:rPr>
                <w:rFonts w:ascii="Helvetica" w:hAnsi="Helvetica" w:cs="Helvetica"/>
              </w:rPr>
            </w:pPr>
            <w:r>
              <w:rPr>
                <w:rFonts w:ascii="Helvetica" w:hAnsi="Helvetica" w:cs="Helvetica"/>
              </w:rPr>
              <w:t>18</w:t>
            </w:r>
          </w:p>
        </w:tc>
        <w:tc>
          <w:tcPr>
            <w:tcW w:w="2694" w:type="dxa"/>
          </w:tcPr>
          <w:p w14:paraId="4AB65E28" w14:textId="3B35F168" w:rsidR="00840E0A" w:rsidRDefault="00AD742F" w:rsidP="001F518A">
            <w:pPr>
              <w:jc w:val="center"/>
            </w:pPr>
            <w:r>
              <w:t>NA</w:t>
            </w:r>
          </w:p>
        </w:tc>
      </w:tr>
      <w:tr w:rsidR="00AD742F" w:rsidRPr="00FC5768" w14:paraId="7AA52005" w14:textId="77777777" w:rsidTr="00141EFB">
        <w:tc>
          <w:tcPr>
            <w:tcW w:w="3539" w:type="dxa"/>
          </w:tcPr>
          <w:p w14:paraId="41E55FCA" w14:textId="0D811076" w:rsidR="00AD742F" w:rsidRDefault="00AD742F" w:rsidP="001F518A">
            <w:pPr>
              <w:rPr>
                <w:rFonts w:ascii="Helvetica" w:hAnsi="Helvetica" w:cs="Helvetica"/>
              </w:rPr>
            </w:pPr>
            <w:r>
              <w:rPr>
                <w:rFonts w:ascii="Helvetica" w:hAnsi="Helvetica" w:cs="Helvetica"/>
              </w:rPr>
              <w:t>Indeno(1,2,3-cd)pyrene</w:t>
            </w:r>
          </w:p>
        </w:tc>
        <w:tc>
          <w:tcPr>
            <w:tcW w:w="2835" w:type="dxa"/>
          </w:tcPr>
          <w:p w14:paraId="1798A97E" w14:textId="69A5C64D" w:rsidR="00AD742F" w:rsidRDefault="003557D5" w:rsidP="001F518A">
            <w:pPr>
              <w:jc w:val="center"/>
              <w:rPr>
                <w:rFonts w:ascii="Helvetica" w:hAnsi="Helvetica" w:cs="Helvetica"/>
              </w:rPr>
            </w:pPr>
            <w:r>
              <w:rPr>
                <w:rFonts w:ascii="Helvetica" w:hAnsi="Helvetica" w:cs="Helvetica"/>
              </w:rPr>
              <w:t>3.12</w:t>
            </w:r>
          </w:p>
        </w:tc>
        <w:tc>
          <w:tcPr>
            <w:tcW w:w="2694" w:type="dxa"/>
          </w:tcPr>
          <w:p w14:paraId="56AB09D5" w14:textId="3CEFF752" w:rsidR="00AD742F" w:rsidRDefault="00AD742F" w:rsidP="001F518A">
            <w:pPr>
              <w:jc w:val="center"/>
            </w:pPr>
            <w:r>
              <w:t>NA</w:t>
            </w:r>
          </w:p>
        </w:tc>
      </w:tr>
      <w:tr w:rsidR="00AD742F" w:rsidRPr="00FC5768" w14:paraId="39D6C922" w14:textId="77777777" w:rsidTr="00141EFB">
        <w:tc>
          <w:tcPr>
            <w:tcW w:w="3539" w:type="dxa"/>
          </w:tcPr>
          <w:p w14:paraId="2B7276B3" w14:textId="734ABDA3" w:rsidR="00AD742F" w:rsidRDefault="00AD742F" w:rsidP="001F518A">
            <w:pPr>
              <w:rPr>
                <w:rFonts w:ascii="Helvetica" w:hAnsi="Helvetica" w:cs="Helvetica"/>
              </w:rPr>
            </w:pPr>
            <w:r>
              <w:rPr>
                <w:rFonts w:ascii="Helvetica" w:hAnsi="Helvetica" w:cs="Helvetica"/>
              </w:rPr>
              <w:t>Lead</w:t>
            </w:r>
          </w:p>
        </w:tc>
        <w:tc>
          <w:tcPr>
            <w:tcW w:w="2835" w:type="dxa"/>
          </w:tcPr>
          <w:p w14:paraId="61408DA3" w14:textId="05384A2E" w:rsidR="00AD742F" w:rsidRDefault="003557D5" w:rsidP="001F518A">
            <w:pPr>
              <w:jc w:val="center"/>
              <w:rPr>
                <w:rFonts w:ascii="Helvetica" w:hAnsi="Helvetica" w:cs="Helvetica"/>
              </w:rPr>
            </w:pPr>
            <w:r>
              <w:rPr>
                <w:rFonts w:ascii="Helvetica" w:hAnsi="Helvetica" w:cs="Helvetica"/>
              </w:rPr>
              <w:t>432</w:t>
            </w:r>
          </w:p>
        </w:tc>
        <w:tc>
          <w:tcPr>
            <w:tcW w:w="2694" w:type="dxa"/>
          </w:tcPr>
          <w:p w14:paraId="0486938A" w14:textId="411DD061" w:rsidR="00AD742F" w:rsidRDefault="00AD742F" w:rsidP="001F518A">
            <w:pPr>
              <w:jc w:val="center"/>
            </w:pPr>
            <w:r>
              <w:t>NA</w:t>
            </w:r>
          </w:p>
        </w:tc>
      </w:tr>
      <w:tr w:rsidR="00AD742F" w:rsidRPr="00FC5768" w14:paraId="05B37928" w14:textId="77777777" w:rsidTr="00141EFB">
        <w:tc>
          <w:tcPr>
            <w:tcW w:w="3539" w:type="dxa"/>
          </w:tcPr>
          <w:p w14:paraId="03602B2E" w14:textId="415C1CB8" w:rsidR="00AD742F" w:rsidRDefault="00AD742F" w:rsidP="001F518A">
            <w:pPr>
              <w:rPr>
                <w:rFonts w:ascii="Helvetica" w:hAnsi="Helvetica" w:cs="Helvetica"/>
              </w:rPr>
            </w:pPr>
            <w:r>
              <w:rPr>
                <w:rFonts w:ascii="Helvetica" w:hAnsi="Helvetica" w:cs="Helvetica"/>
              </w:rPr>
              <w:t>Mercury</w:t>
            </w:r>
          </w:p>
        </w:tc>
        <w:tc>
          <w:tcPr>
            <w:tcW w:w="2835" w:type="dxa"/>
          </w:tcPr>
          <w:p w14:paraId="1B652F3F" w14:textId="108CC8D7" w:rsidR="00AD742F" w:rsidRDefault="003557D5" w:rsidP="001F518A">
            <w:pPr>
              <w:jc w:val="center"/>
              <w:rPr>
                <w:rFonts w:ascii="Helvetica" w:hAnsi="Helvetica" w:cs="Helvetica"/>
              </w:rPr>
            </w:pPr>
            <w:r>
              <w:rPr>
                <w:rFonts w:ascii="Helvetica" w:hAnsi="Helvetica" w:cs="Helvetica"/>
              </w:rPr>
              <w:t>0.46</w:t>
            </w:r>
          </w:p>
        </w:tc>
        <w:tc>
          <w:tcPr>
            <w:tcW w:w="2694" w:type="dxa"/>
          </w:tcPr>
          <w:p w14:paraId="13D24BD2" w14:textId="29D4168B" w:rsidR="00AD742F" w:rsidRDefault="003557D5" w:rsidP="001F518A">
            <w:pPr>
              <w:jc w:val="center"/>
            </w:pPr>
            <w:r>
              <w:t>NA</w:t>
            </w:r>
          </w:p>
        </w:tc>
      </w:tr>
      <w:tr w:rsidR="00AD742F" w:rsidRPr="00FC5768" w14:paraId="625C24CB" w14:textId="77777777" w:rsidTr="00141EFB">
        <w:tc>
          <w:tcPr>
            <w:tcW w:w="3539" w:type="dxa"/>
          </w:tcPr>
          <w:p w14:paraId="57F586FD" w14:textId="7520A8F2" w:rsidR="00AD742F" w:rsidRDefault="00AD742F" w:rsidP="001F518A">
            <w:pPr>
              <w:rPr>
                <w:rFonts w:ascii="Helvetica" w:hAnsi="Helvetica" w:cs="Helvetica"/>
              </w:rPr>
            </w:pPr>
            <w:r>
              <w:rPr>
                <w:rFonts w:ascii="Helvetica" w:hAnsi="Helvetica" w:cs="Helvetica"/>
              </w:rPr>
              <w:t>Methylnaphthalene</w:t>
            </w:r>
            <w:r w:rsidR="003557D5">
              <w:rPr>
                <w:rFonts w:ascii="Helvetica" w:hAnsi="Helvetica" w:cs="Helvetica"/>
              </w:rPr>
              <w:t>,</w:t>
            </w:r>
            <w:r>
              <w:rPr>
                <w:rFonts w:ascii="Helvetica" w:hAnsi="Helvetica" w:cs="Helvetica"/>
              </w:rPr>
              <w:t xml:space="preserve"> </w:t>
            </w:r>
            <w:r w:rsidR="003557D5">
              <w:rPr>
                <w:rFonts w:ascii="Helvetica" w:hAnsi="Helvetica" w:cs="Helvetica"/>
              </w:rPr>
              <w:t>total</w:t>
            </w:r>
          </w:p>
        </w:tc>
        <w:tc>
          <w:tcPr>
            <w:tcW w:w="2835" w:type="dxa"/>
          </w:tcPr>
          <w:p w14:paraId="01486AC9" w14:textId="3200C125" w:rsidR="00AD742F" w:rsidRDefault="006D0AC4" w:rsidP="001F518A">
            <w:pPr>
              <w:jc w:val="center"/>
              <w:rPr>
                <w:rFonts w:ascii="Helvetica" w:hAnsi="Helvetica" w:cs="Helvetica"/>
              </w:rPr>
            </w:pPr>
            <w:r>
              <w:rPr>
                <w:rFonts w:ascii="Helvetica" w:hAnsi="Helvetica" w:cs="Helvetica"/>
              </w:rPr>
              <w:t>1.2</w:t>
            </w:r>
          </w:p>
        </w:tc>
        <w:tc>
          <w:tcPr>
            <w:tcW w:w="2694" w:type="dxa"/>
          </w:tcPr>
          <w:p w14:paraId="52355073" w14:textId="546CDB4A" w:rsidR="00AD742F" w:rsidRDefault="006D0AC4" w:rsidP="001F518A">
            <w:pPr>
              <w:jc w:val="center"/>
            </w:pPr>
            <w:r>
              <w:t>NA</w:t>
            </w:r>
          </w:p>
        </w:tc>
      </w:tr>
      <w:tr w:rsidR="00AD742F" w:rsidRPr="00FC5768" w14:paraId="3C9FE382" w14:textId="77777777" w:rsidTr="00141EFB">
        <w:tc>
          <w:tcPr>
            <w:tcW w:w="3539" w:type="dxa"/>
          </w:tcPr>
          <w:p w14:paraId="4A5A6A79" w14:textId="5DF094B4" w:rsidR="00AD742F" w:rsidRDefault="00593EEA" w:rsidP="001F518A">
            <w:pPr>
              <w:rPr>
                <w:rFonts w:ascii="Helvetica" w:hAnsi="Helvetica" w:cs="Helvetica"/>
              </w:rPr>
            </w:pPr>
            <w:r>
              <w:rPr>
                <w:rFonts w:ascii="Helvetica" w:hAnsi="Helvetica" w:cs="Helvetica"/>
              </w:rPr>
              <w:t>Naphthalene</w:t>
            </w:r>
          </w:p>
        </w:tc>
        <w:tc>
          <w:tcPr>
            <w:tcW w:w="2835" w:type="dxa"/>
          </w:tcPr>
          <w:p w14:paraId="09B3915B" w14:textId="68AFA77F" w:rsidR="00AD742F" w:rsidRDefault="006D0AC4" w:rsidP="001F518A">
            <w:pPr>
              <w:jc w:val="center"/>
              <w:rPr>
                <w:rFonts w:ascii="Helvetica" w:hAnsi="Helvetica" w:cs="Helvetica"/>
              </w:rPr>
            </w:pPr>
            <w:r>
              <w:rPr>
                <w:rFonts w:ascii="Helvetica" w:hAnsi="Helvetica" w:cs="Helvetica"/>
              </w:rPr>
              <w:t>0.96</w:t>
            </w:r>
          </w:p>
        </w:tc>
        <w:tc>
          <w:tcPr>
            <w:tcW w:w="2694" w:type="dxa"/>
          </w:tcPr>
          <w:p w14:paraId="48DC0B07" w14:textId="3B3385DF" w:rsidR="00AD742F" w:rsidRDefault="00593EEA" w:rsidP="001F518A">
            <w:pPr>
              <w:jc w:val="center"/>
            </w:pPr>
            <w:r>
              <w:t>NA</w:t>
            </w:r>
          </w:p>
        </w:tc>
      </w:tr>
      <w:tr w:rsidR="00593EEA" w:rsidRPr="00FC5768" w14:paraId="2A225695" w14:textId="77777777" w:rsidTr="00141EFB">
        <w:tc>
          <w:tcPr>
            <w:tcW w:w="3539" w:type="dxa"/>
          </w:tcPr>
          <w:p w14:paraId="2C5FE8AD" w14:textId="05B3630B" w:rsidR="00593EEA" w:rsidRDefault="00593EEA" w:rsidP="001F518A">
            <w:pPr>
              <w:rPr>
                <w:rFonts w:ascii="Helvetica" w:hAnsi="Helvetica" w:cs="Helvetica"/>
              </w:rPr>
            </w:pPr>
            <w:r>
              <w:rPr>
                <w:rFonts w:ascii="Helvetica" w:hAnsi="Helvetica" w:cs="Helvetica"/>
              </w:rPr>
              <w:t>PHC F1</w:t>
            </w:r>
          </w:p>
        </w:tc>
        <w:tc>
          <w:tcPr>
            <w:tcW w:w="2835" w:type="dxa"/>
          </w:tcPr>
          <w:p w14:paraId="766DFA74" w14:textId="7608F8FC" w:rsidR="00593EEA" w:rsidRDefault="006D0AC4" w:rsidP="001F518A">
            <w:pPr>
              <w:jc w:val="center"/>
              <w:rPr>
                <w:rFonts w:ascii="Helvetica" w:hAnsi="Helvetica" w:cs="Helvetica"/>
              </w:rPr>
            </w:pPr>
            <w:r>
              <w:rPr>
                <w:rFonts w:ascii="Helvetica" w:hAnsi="Helvetica" w:cs="Helvetica"/>
              </w:rPr>
              <w:t>78</w:t>
            </w:r>
          </w:p>
        </w:tc>
        <w:tc>
          <w:tcPr>
            <w:tcW w:w="2694" w:type="dxa"/>
          </w:tcPr>
          <w:p w14:paraId="742E2A86" w14:textId="0FD3B721" w:rsidR="00593EEA" w:rsidRDefault="006D0AC4" w:rsidP="001F518A">
            <w:pPr>
              <w:jc w:val="center"/>
            </w:pPr>
            <w:r>
              <w:t>NA</w:t>
            </w:r>
          </w:p>
        </w:tc>
      </w:tr>
      <w:tr w:rsidR="00840E0A" w:rsidRPr="00FC5768" w14:paraId="59DD05D4" w14:textId="77777777" w:rsidTr="00141EFB">
        <w:tc>
          <w:tcPr>
            <w:tcW w:w="3539" w:type="dxa"/>
          </w:tcPr>
          <w:p w14:paraId="05F060B7" w14:textId="5B9D4E67" w:rsidR="00840E0A" w:rsidRDefault="00840E0A" w:rsidP="001F518A">
            <w:pPr>
              <w:rPr>
                <w:rFonts w:ascii="Helvetica" w:hAnsi="Helvetica" w:cs="Helvetica"/>
              </w:rPr>
            </w:pPr>
            <w:r>
              <w:rPr>
                <w:rFonts w:ascii="Helvetica" w:hAnsi="Helvetica" w:cs="Helvetica"/>
              </w:rPr>
              <w:t xml:space="preserve">PHC </w:t>
            </w:r>
            <w:r w:rsidR="00593EEA">
              <w:rPr>
                <w:rFonts w:ascii="Helvetica" w:hAnsi="Helvetica" w:cs="Helvetica"/>
              </w:rPr>
              <w:t>F2</w:t>
            </w:r>
          </w:p>
        </w:tc>
        <w:tc>
          <w:tcPr>
            <w:tcW w:w="2835" w:type="dxa"/>
          </w:tcPr>
          <w:p w14:paraId="71BAFCCE" w14:textId="789052B0" w:rsidR="00840E0A" w:rsidRDefault="006D0AC4" w:rsidP="001F518A">
            <w:pPr>
              <w:jc w:val="center"/>
              <w:rPr>
                <w:rFonts w:ascii="Helvetica" w:hAnsi="Helvetica" w:cs="Helvetica"/>
              </w:rPr>
            </w:pPr>
            <w:r>
              <w:rPr>
                <w:rFonts w:ascii="Helvetica" w:hAnsi="Helvetica" w:cs="Helvetica"/>
              </w:rPr>
              <w:t>132</w:t>
            </w:r>
          </w:p>
        </w:tc>
        <w:tc>
          <w:tcPr>
            <w:tcW w:w="2694" w:type="dxa"/>
          </w:tcPr>
          <w:p w14:paraId="2D81711C" w14:textId="5A348712" w:rsidR="00840E0A" w:rsidRDefault="006D0AC4" w:rsidP="001F518A">
            <w:pPr>
              <w:jc w:val="center"/>
            </w:pPr>
            <w:r>
              <w:t>NA</w:t>
            </w:r>
          </w:p>
        </w:tc>
      </w:tr>
      <w:tr w:rsidR="00593EEA" w:rsidRPr="00FC5768" w14:paraId="1958A415" w14:textId="77777777" w:rsidTr="00141EFB">
        <w:tc>
          <w:tcPr>
            <w:tcW w:w="3539" w:type="dxa"/>
          </w:tcPr>
          <w:p w14:paraId="36A27AEB" w14:textId="0243D658" w:rsidR="00593EEA" w:rsidRDefault="00593EEA" w:rsidP="001F518A">
            <w:pPr>
              <w:rPr>
                <w:rFonts w:ascii="Helvetica" w:hAnsi="Helvetica" w:cs="Helvetica"/>
              </w:rPr>
            </w:pPr>
            <w:r>
              <w:rPr>
                <w:rFonts w:ascii="Helvetica" w:hAnsi="Helvetica" w:cs="Helvetica"/>
              </w:rPr>
              <w:t>PHC F3</w:t>
            </w:r>
          </w:p>
        </w:tc>
        <w:tc>
          <w:tcPr>
            <w:tcW w:w="2835" w:type="dxa"/>
          </w:tcPr>
          <w:p w14:paraId="12525B1F" w14:textId="33BE89C7" w:rsidR="00593EEA" w:rsidRDefault="006D0AC4" w:rsidP="001F518A">
            <w:pPr>
              <w:jc w:val="center"/>
              <w:rPr>
                <w:rFonts w:ascii="Helvetica" w:hAnsi="Helvetica" w:cs="Helvetica"/>
              </w:rPr>
            </w:pPr>
            <w:r>
              <w:rPr>
                <w:rFonts w:ascii="Helvetica" w:hAnsi="Helvetica" w:cs="Helvetica"/>
              </w:rPr>
              <w:t>7800</w:t>
            </w:r>
          </w:p>
        </w:tc>
        <w:tc>
          <w:tcPr>
            <w:tcW w:w="2694" w:type="dxa"/>
          </w:tcPr>
          <w:p w14:paraId="7C7E6E41" w14:textId="4B1C67B1" w:rsidR="00593EEA" w:rsidRDefault="00593EEA" w:rsidP="001F518A">
            <w:pPr>
              <w:jc w:val="center"/>
            </w:pPr>
            <w:r>
              <w:t>NA</w:t>
            </w:r>
          </w:p>
        </w:tc>
      </w:tr>
      <w:tr w:rsidR="006D0AC4" w:rsidRPr="00FC5768" w14:paraId="3EF000E6" w14:textId="77777777" w:rsidTr="00141EFB">
        <w:tc>
          <w:tcPr>
            <w:tcW w:w="3539" w:type="dxa"/>
          </w:tcPr>
          <w:p w14:paraId="70E598E6" w14:textId="2378875F" w:rsidR="006D0AC4" w:rsidRDefault="006D0AC4" w:rsidP="001F518A">
            <w:pPr>
              <w:rPr>
                <w:rFonts w:ascii="Helvetica" w:hAnsi="Helvetica" w:cs="Helvetica"/>
              </w:rPr>
            </w:pPr>
            <w:r>
              <w:rPr>
                <w:rFonts w:ascii="Helvetica" w:hAnsi="Helvetica" w:cs="Helvetica"/>
              </w:rPr>
              <w:t>PHC F4</w:t>
            </w:r>
          </w:p>
        </w:tc>
        <w:tc>
          <w:tcPr>
            <w:tcW w:w="2835" w:type="dxa"/>
          </w:tcPr>
          <w:p w14:paraId="33279AA1" w14:textId="70F4F30F" w:rsidR="006D0AC4" w:rsidRDefault="006D0AC4" w:rsidP="001F518A">
            <w:pPr>
              <w:jc w:val="center"/>
              <w:rPr>
                <w:rFonts w:ascii="Helvetica" w:hAnsi="Helvetica" w:cs="Helvetica"/>
              </w:rPr>
            </w:pPr>
            <w:r>
              <w:rPr>
                <w:rFonts w:ascii="Helvetica" w:hAnsi="Helvetica" w:cs="Helvetica"/>
              </w:rPr>
              <w:t>8400</w:t>
            </w:r>
          </w:p>
        </w:tc>
        <w:tc>
          <w:tcPr>
            <w:tcW w:w="2694" w:type="dxa"/>
          </w:tcPr>
          <w:p w14:paraId="1163DBB2" w14:textId="042E8F99" w:rsidR="006D0AC4" w:rsidRDefault="006D0AC4" w:rsidP="001F518A">
            <w:pPr>
              <w:jc w:val="center"/>
            </w:pPr>
            <w:r>
              <w:t>NA</w:t>
            </w:r>
          </w:p>
        </w:tc>
      </w:tr>
      <w:tr w:rsidR="00840E0A" w:rsidRPr="00FC5768" w14:paraId="3BEE90AF" w14:textId="77777777" w:rsidTr="00141EFB">
        <w:tc>
          <w:tcPr>
            <w:tcW w:w="3539" w:type="dxa"/>
          </w:tcPr>
          <w:p w14:paraId="0F357ADF" w14:textId="04C306DB" w:rsidR="00840E0A" w:rsidRDefault="00593EEA" w:rsidP="001F518A">
            <w:pPr>
              <w:rPr>
                <w:rFonts w:ascii="Helvetica" w:hAnsi="Helvetica" w:cs="Helvetica"/>
              </w:rPr>
            </w:pPr>
            <w:r>
              <w:rPr>
                <w:rFonts w:ascii="Helvetica" w:hAnsi="Helvetica" w:cs="Helvetica"/>
              </w:rPr>
              <w:t>Phenanthrene</w:t>
            </w:r>
          </w:p>
        </w:tc>
        <w:tc>
          <w:tcPr>
            <w:tcW w:w="2835" w:type="dxa"/>
          </w:tcPr>
          <w:p w14:paraId="11B78339" w14:textId="0FBDDE90" w:rsidR="00840E0A" w:rsidRDefault="006D0AC4" w:rsidP="001F518A">
            <w:pPr>
              <w:jc w:val="center"/>
              <w:rPr>
                <w:rFonts w:ascii="Helvetica" w:hAnsi="Helvetica" w:cs="Helvetica"/>
              </w:rPr>
            </w:pPr>
            <w:r>
              <w:rPr>
                <w:rFonts w:ascii="Helvetica" w:hAnsi="Helvetica" w:cs="Helvetica"/>
              </w:rPr>
              <w:t>20.4</w:t>
            </w:r>
          </w:p>
        </w:tc>
        <w:tc>
          <w:tcPr>
            <w:tcW w:w="2694" w:type="dxa"/>
          </w:tcPr>
          <w:p w14:paraId="4831DCC0" w14:textId="4590742C" w:rsidR="00840E0A" w:rsidRDefault="006D0AC4" w:rsidP="001F518A">
            <w:pPr>
              <w:jc w:val="center"/>
            </w:pPr>
            <w:r>
              <w:t>NA</w:t>
            </w:r>
          </w:p>
        </w:tc>
      </w:tr>
      <w:tr w:rsidR="006D0AC4" w:rsidRPr="00FC5768" w14:paraId="70E07860" w14:textId="77777777" w:rsidTr="00141EFB">
        <w:tc>
          <w:tcPr>
            <w:tcW w:w="3539" w:type="dxa"/>
          </w:tcPr>
          <w:p w14:paraId="559EBB9F" w14:textId="361F9DB8" w:rsidR="006D0AC4" w:rsidRDefault="006D0AC4" w:rsidP="001F518A">
            <w:pPr>
              <w:rPr>
                <w:rFonts w:ascii="Helvetica" w:hAnsi="Helvetica" w:cs="Helvetica"/>
              </w:rPr>
            </w:pPr>
            <w:r>
              <w:rPr>
                <w:rFonts w:ascii="Helvetica" w:hAnsi="Helvetica" w:cs="Helvetica"/>
              </w:rPr>
              <w:t>Sodium Adsorption Ratio (unitless)</w:t>
            </w:r>
          </w:p>
        </w:tc>
        <w:tc>
          <w:tcPr>
            <w:tcW w:w="2835" w:type="dxa"/>
          </w:tcPr>
          <w:p w14:paraId="4590B0C2" w14:textId="165685BC" w:rsidR="006D0AC4" w:rsidRDefault="006D0AC4" w:rsidP="001F518A">
            <w:pPr>
              <w:jc w:val="center"/>
              <w:rPr>
                <w:rFonts w:ascii="Helvetica" w:hAnsi="Helvetica" w:cs="Helvetica"/>
              </w:rPr>
            </w:pPr>
            <w:r>
              <w:rPr>
                <w:rFonts w:ascii="Helvetica" w:hAnsi="Helvetica" w:cs="Helvetica"/>
              </w:rPr>
              <w:t>40.8</w:t>
            </w:r>
          </w:p>
        </w:tc>
        <w:tc>
          <w:tcPr>
            <w:tcW w:w="2694" w:type="dxa"/>
          </w:tcPr>
          <w:p w14:paraId="5AD9CED4" w14:textId="3389DC12" w:rsidR="006D0AC4" w:rsidRDefault="006D0AC4" w:rsidP="001F518A">
            <w:pPr>
              <w:jc w:val="center"/>
            </w:pPr>
            <w:r>
              <w:t>NA</w:t>
            </w:r>
          </w:p>
        </w:tc>
      </w:tr>
      <w:tr w:rsidR="006D0AC4" w:rsidRPr="00FC5768" w14:paraId="512B43F4" w14:textId="77777777" w:rsidTr="00141EFB">
        <w:trPr>
          <w:trHeight w:val="440"/>
        </w:trPr>
        <w:tc>
          <w:tcPr>
            <w:tcW w:w="3539" w:type="dxa"/>
          </w:tcPr>
          <w:p w14:paraId="6BA8F492" w14:textId="4A46C8FC" w:rsidR="006D0AC4" w:rsidRDefault="006D0AC4" w:rsidP="00AC5D1C">
            <w:pPr>
              <w:rPr>
                <w:rFonts w:ascii="Helvetica" w:hAnsi="Helvetica" w:cs="Helvetica"/>
              </w:rPr>
            </w:pPr>
            <w:r>
              <w:rPr>
                <w:rFonts w:ascii="Helvetica" w:hAnsi="Helvetica" w:cs="Helvetica"/>
              </w:rPr>
              <w:t>Tetrachloroethylene</w:t>
            </w:r>
          </w:p>
        </w:tc>
        <w:tc>
          <w:tcPr>
            <w:tcW w:w="2835" w:type="dxa"/>
          </w:tcPr>
          <w:p w14:paraId="4BBB80F9" w14:textId="0068508C" w:rsidR="006D0AC4" w:rsidRDefault="006D0AC4" w:rsidP="00AC5D1C">
            <w:pPr>
              <w:jc w:val="center"/>
              <w:rPr>
                <w:rFonts w:ascii="Helvetica" w:hAnsi="Helvetica" w:cs="Helvetica"/>
              </w:rPr>
            </w:pPr>
            <w:r>
              <w:rPr>
                <w:rFonts w:ascii="Helvetica" w:hAnsi="Helvetica" w:cs="Helvetica"/>
              </w:rPr>
              <w:t>4.32</w:t>
            </w:r>
          </w:p>
        </w:tc>
        <w:tc>
          <w:tcPr>
            <w:tcW w:w="2694" w:type="dxa"/>
          </w:tcPr>
          <w:p w14:paraId="734FA2F3" w14:textId="1C84AE0E" w:rsidR="006D0AC4" w:rsidRDefault="00A21423" w:rsidP="00AC5D1C">
            <w:pPr>
              <w:jc w:val="center"/>
            </w:pPr>
            <w:r>
              <w:t>1.6</w:t>
            </w:r>
          </w:p>
        </w:tc>
      </w:tr>
      <w:tr w:rsidR="00AC5D1C" w:rsidRPr="00FC5768" w14:paraId="3256001B" w14:textId="77777777" w:rsidTr="00141EFB">
        <w:tc>
          <w:tcPr>
            <w:tcW w:w="3539" w:type="dxa"/>
          </w:tcPr>
          <w:p w14:paraId="58DFDFA0" w14:textId="7E36E0B9" w:rsidR="00AC5D1C" w:rsidRDefault="00AC5D1C" w:rsidP="00AC5D1C">
            <w:pPr>
              <w:rPr>
                <w:rFonts w:ascii="Helvetica" w:hAnsi="Helvetica" w:cs="Helvetica"/>
              </w:rPr>
            </w:pPr>
            <w:r>
              <w:rPr>
                <w:rFonts w:ascii="Helvetica" w:hAnsi="Helvetica" w:cs="Helvetica"/>
              </w:rPr>
              <w:t>Trichloroethylene</w:t>
            </w:r>
          </w:p>
        </w:tc>
        <w:tc>
          <w:tcPr>
            <w:tcW w:w="2835" w:type="dxa"/>
          </w:tcPr>
          <w:p w14:paraId="1F92D565" w14:textId="7C6FB8AD" w:rsidR="00AC5D1C" w:rsidRDefault="006D0AC4" w:rsidP="00AC5D1C">
            <w:pPr>
              <w:jc w:val="center"/>
              <w:rPr>
                <w:rFonts w:ascii="Helvetica" w:hAnsi="Helvetica" w:cs="Helvetica"/>
              </w:rPr>
            </w:pPr>
            <w:r>
              <w:rPr>
                <w:rFonts w:ascii="Helvetica" w:hAnsi="Helvetica" w:cs="Helvetica"/>
              </w:rPr>
              <w:t>25.2</w:t>
            </w:r>
          </w:p>
        </w:tc>
        <w:tc>
          <w:tcPr>
            <w:tcW w:w="2694" w:type="dxa"/>
          </w:tcPr>
          <w:p w14:paraId="5F11361E" w14:textId="51ABD4A3" w:rsidR="00AC5D1C" w:rsidRDefault="00A21423" w:rsidP="00AC5D1C">
            <w:pPr>
              <w:jc w:val="center"/>
            </w:pPr>
            <w:r>
              <w:t>31.2</w:t>
            </w:r>
          </w:p>
        </w:tc>
      </w:tr>
      <w:tr w:rsidR="00AC5D1C" w:rsidRPr="00FC5768" w14:paraId="45E279ED" w14:textId="77777777" w:rsidTr="00141EFB">
        <w:tc>
          <w:tcPr>
            <w:tcW w:w="3539" w:type="dxa"/>
          </w:tcPr>
          <w:p w14:paraId="5CF53D73" w14:textId="0376E275" w:rsidR="00AC5D1C" w:rsidRDefault="00AC5D1C" w:rsidP="00AC5D1C">
            <w:pPr>
              <w:rPr>
                <w:rFonts w:ascii="Helvetica" w:hAnsi="Helvetica" w:cs="Helvetica"/>
              </w:rPr>
            </w:pPr>
            <w:r>
              <w:rPr>
                <w:rFonts w:ascii="Helvetica" w:hAnsi="Helvetica" w:cs="Helvetica"/>
              </w:rPr>
              <w:t>Vinyl Chloride</w:t>
            </w:r>
          </w:p>
        </w:tc>
        <w:tc>
          <w:tcPr>
            <w:tcW w:w="2835" w:type="dxa"/>
          </w:tcPr>
          <w:p w14:paraId="47435AB7" w14:textId="0E26E417" w:rsidR="00AC5D1C" w:rsidRDefault="00AC5D1C" w:rsidP="00AC5D1C">
            <w:pPr>
              <w:jc w:val="center"/>
              <w:rPr>
                <w:rFonts w:ascii="Helvetica" w:hAnsi="Helvetica" w:cs="Helvetica"/>
              </w:rPr>
            </w:pPr>
            <w:r>
              <w:rPr>
                <w:rFonts w:ascii="Helvetica" w:hAnsi="Helvetica" w:cs="Helvetica"/>
              </w:rPr>
              <w:t>NA</w:t>
            </w:r>
          </w:p>
        </w:tc>
        <w:tc>
          <w:tcPr>
            <w:tcW w:w="2694" w:type="dxa"/>
          </w:tcPr>
          <w:p w14:paraId="7DFBF492" w14:textId="78DE266E" w:rsidR="00AC5D1C" w:rsidRDefault="00A21423" w:rsidP="00AC5D1C">
            <w:pPr>
              <w:jc w:val="center"/>
            </w:pPr>
            <w:r>
              <w:t>3.74</w:t>
            </w:r>
          </w:p>
        </w:tc>
      </w:tr>
      <w:tr w:rsidR="00593EEA" w:rsidRPr="00FC5768" w14:paraId="044F9BB4" w14:textId="77777777" w:rsidTr="00141EFB">
        <w:tc>
          <w:tcPr>
            <w:tcW w:w="3539" w:type="dxa"/>
          </w:tcPr>
          <w:p w14:paraId="4286F3BE" w14:textId="792DB265" w:rsidR="00593EEA" w:rsidRDefault="00593EEA" w:rsidP="00AC5D1C">
            <w:pPr>
              <w:rPr>
                <w:rFonts w:ascii="Helvetica" w:hAnsi="Helvetica" w:cs="Helvetica"/>
              </w:rPr>
            </w:pPr>
            <w:r>
              <w:rPr>
                <w:rFonts w:ascii="Helvetica" w:hAnsi="Helvetica" w:cs="Helvetica"/>
              </w:rPr>
              <w:t>Xylenes</w:t>
            </w:r>
          </w:p>
        </w:tc>
        <w:tc>
          <w:tcPr>
            <w:tcW w:w="2835" w:type="dxa"/>
          </w:tcPr>
          <w:p w14:paraId="4E418F5F" w14:textId="08B10F6C" w:rsidR="00593EEA" w:rsidRDefault="006D0AC4" w:rsidP="00AC5D1C">
            <w:pPr>
              <w:jc w:val="center"/>
              <w:rPr>
                <w:rFonts w:ascii="Helvetica" w:hAnsi="Helvetica" w:cs="Helvetica"/>
              </w:rPr>
            </w:pPr>
            <w:r>
              <w:rPr>
                <w:rFonts w:ascii="Helvetica" w:hAnsi="Helvetica" w:cs="Helvetica"/>
              </w:rPr>
              <w:t>6.24</w:t>
            </w:r>
          </w:p>
        </w:tc>
        <w:tc>
          <w:tcPr>
            <w:tcW w:w="2694" w:type="dxa"/>
          </w:tcPr>
          <w:p w14:paraId="44261710" w14:textId="3DF7B4D2" w:rsidR="00593EEA" w:rsidRDefault="00593EEA" w:rsidP="00AC5D1C">
            <w:pPr>
              <w:jc w:val="center"/>
            </w:pPr>
            <w:r>
              <w:t>NA</w:t>
            </w:r>
          </w:p>
        </w:tc>
      </w:tr>
      <w:tr w:rsidR="00593EEA" w:rsidRPr="00FC5768" w14:paraId="0138CD5F" w14:textId="77777777" w:rsidTr="00141EFB">
        <w:tc>
          <w:tcPr>
            <w:tcW w:w="3539" w:type="dxa"/>
          </w:tcPr>
          <w:p w14:paraId="26EDA4E2" w14:textId="6CB5228F" w:rsidR="00593EEA" w:rsidRDefault="00593EEA" w:rsidP="00AC5D1C">
            <w:pPr>
              <w:rPr>
                <w:rFonts w:ascii="Helvetica" w:hAnsi="Helvetica" w:cs="Helvetica"/>
              </w:rPr>
            </w:pPr>
            <w:r>
              <w:rPr>
                <w:rFonts w:ascii="Helvetica" w:hAnsi="Helvetica" w:cs="Helvetica"/>
              </w:rPr>
              <w:t>Zinc</w:t>
            </w:r>
          </w:p>
        </w:tc>
        <w:tc>
          <w:tcPr>
            <w:tcW w:w="2835" w:type="dxa"/>
          </w:tcPr>
          <w:p w14:paraId="05DB3684" w14:textId="5E5F762A" w:rsidR="00593EEA" w:rsidRDefault="006D0AC4" w:rsidP="00AC5D1C">
            <w:pPr>
              <w:jc w:val="center"/>
              <w:rPr>
                <w:rFonts w:ascii="Helvetica" w:hAnsi="Helvetica" w:cs="Helvetica"/>
              </w:rPr>
            </w:pPr>
            <w:r>
              <w:rPr>
                <w:rFonts w:ascii="Helvetica" w:hAnsi="Helvetica" w:cs="Helvetica"/>
              </w:rPr>
              <w:t>564</w:t>
            </w:r>
          </w:p>
        </w:tc>
        <w:tc>
          <w:tcPr>
            <w:tcW w:w="2694" w:type="dxa"/>
          </w:tcPr>
          <w:p w14:paraId="45C71336" w14:textId="5110FFDD" w:rsidR="00593EEA" w:rsidRDefault="00593EEA" w:rsidP="00AC5D1C">
            <w:pPr>
              <w:jc w:val="center"/>
            </w:pPr>
            <w:r>
              <w:t>NA</w:t>
            </w:r>
          </w:p>
        </w:tc>
      </w:tr>
    </w:tbl>
    <w:p w14:paraId="238BB928" w14:textId="4A4C4C27" w:rsidR="00840E0A" w:rsidRDefault="00840E0A" w:rsidP="00141EFB">
      <w:pPr>
        <w:keepLines/>
        <w:widowControl w:val="0"/>
        <w:tabs>
          <w:tab w:val="decimal" w:pos="19447"/>
        </w:tabs>
        <w:autoSpaceDE w:val="0"/>
        <w:autoSpaceDN w:val="0"/>
        <w:adjustRightInd w:val="0"/>
        <w:ind w:left="284"/>
        <w:rPr>
          <w:sz w:val="20"/>
          <w:szCs w:val="20"/>
        </w:rPr>
      </w:pPr>
      <w:r w:rsidRPr="004A6F7D">
        <w:rPr>
          <w:sz w:val="20"/>
          <w:szCs w:val="20"/>
        </w:rPr>
        <w:t>NA= not applicable</w:t>
      </w:r>
    </w:p>
    <w:p w14:paraId="6C125E3A" w14:textId="17B5C85D" w:rsidR="001F518A" w:rsidRDefault="001F518A" w:rsidP="00840E0A">
      <w:pPr>
        <w:keepLines/>
        <w:widowControl w:val="0"/>
        <w:tabs>
          <w:tab w:val="decimal" w:pos="19447"/>
        </w:tabs>
        <w:autoSpaceDE w:val="0"/>
        <w:autoSpaceDN w:val="0"/>
        <w:adjustRightInd w:val="0"/>
        <w:ind w:left="851"/>
        <w:rPr>
          <w:sz w:val="20"/>
          <w:szCs w:val="20"/>
        </w:rPr>
      </w:pPr>
    </w:p>
    <w:p w14:paraId="33D463D7" w14:textId="7606F097" w:rsidR="001F518A" w:rsidRDefault="001F518A">
      <w:pPr>
        <w:rPr>
          <w:sz w:val="20"/>
          <w:szCs w:val="20"/>
        </w:rPr>
      </w:pPr>
      <w:r>
        <w:rPr>
          <w:sz w:val="20"/>
          <w:szCs w:val="20"/>
        </w:rPr>
        <w:br w:type="page"/>
      </w:r>
    </w:p>
    <w:p w14:paraId="46AD7AAF" w14:textId="2375326C" w:rsidR="00F34A8F" w:rsidRPr="00A57E85" w:rsidRDefault="007904C6" w:rsidP="00F34A8F">
      <w:pPr>
        <w:jc w:val="center"/>
        <w:rPr>
          <w:b/>
        </w:rPr>
      </w:pPr>
      <w:r>
        <w:rPr>
          <w:b/>
        </w:rPr>
        <w:lastRenderedPageBreak/>
        <w:t>Schedule ‘</w:t>
      </w:r>
      <w:r w:rsidR="00C34D03">
        <w:rPr>
          <w:b/>
        </w:rPr>
        <w:t>B</w:t>
      </w:r>
      <w:r>
        <w:rPr>
          <w:b/>
        </w:rPr>
        <w:t>’</w:t>
      </w:r>
      <w:r>
        <w:rPr>
          <w:b/>
        </w:rPr>
        <w:br/>
      </w:r>
      <w:r w:rsidR="00185E05">
        <w:rPr>
          <w:b/>
        </w:rPr>
        <w:t>Groundwater Trigger</w:t>
      </w:r>
      <w:r w:rsidR="00F34A8F" w:rsidRPr="00A57E85">
        <w:rPr>
          <w:b/>
        </w:rPr>
        <w:t xml:space="preserve"> Levels</w:t>
      </w:r>
    </w:p>
    <w:tbl>
      <w:tblPr>
        <w:tblStyle w:val="GridTable1Light"/>
        <w:tblW w:w="4473" w:type="pct"/>
        <w:tblInd w:w="704" w:type="dxa"/>
        <w:tblLook w:val="0020" w:firstRow="1" w:lastRow="0" w:firstColumn="0" w:lastColumn="0" w:noHBand="0" w:noVBand="0"/>
        <w:tblCaption w:val="Schedule ‘B’ "/>
        <w:tblDescription w:val="Air trigger levels for Contaminants of Concern &#10;"/>
      </w:tblPr>
      <w:tblGrid>
        <w:gridCol w:w="3827"/>
        <w:gridCol w:w="4538"/>
      </w:tblGrid>
      <w:tr w:rsidR="00F34A8F" w:rsidRPr="00FC5768" w14:paraId="13EB4DF9" w14:textId="77777777" w:rsidTr="00141EFB">
        <w:trPr>
          <w:cnfStyle w:val="100000000000" w:firstRow="1" w:lastRow="0" w:firstColumn="0" w:lastColumn="0" w:oddVBand="0" w:evenVBand="0" w:oddHBand="0" w:evenHBand="0" w:firstRowFirstColumn="0" w:firstRowLastColumn="0" w:lastRowFirstColumn="0" w:lastRowLastColumn="0"/>
        </w:trPr>
        <w:tc>
          <w:tcPr>
            <w:tcW w:w="3827" w:type="dxa"/>
          </w:tcPr>
          <w:p w14:paraId="0848681D" w14:textId="77777777" w:rsidR="00F34A8F" w:rsidRPr="00A57E85" w:rsidRDefault="00F34A8F" w:rsidP="00A468A3">
            <w:pPr>
              <w:jc w:val="center"/>
              <w:rPr>
                <w:b w:val="0"/>
                <w:bCs w:val="0"/>
                <w:sz w:val="20"/>
                <w:szCs w:val="20"/>
              </w:rPr>
            </w:pPr>
            <w:r w:rsidRPr="00A57E85">
              <w:rPr>
                <w:sz w:val="20"/>
                <w:szCs w:val="20"/>
              </w:rPr>
              <w:t>Contaminants of Concern (COC)</w:t>
            </w:r>
          </w:p>
        </w:tc>
        <w:tc>
          <w:tcPr>
            <w:tcW w:w="4537" w:type="dxa"/>
          </w:tcPr>
          <w:p w14:paraId="5CCEE086" w14:textId="7D234777" w:rsidR="00F34A8F" w:rsidRDefault="00F34A8F" w:rsidP="00A468A3">
            <w:pPr>
              <w:jc w:val="center"/>
              <w:rPr>
                <w:b w:val="0"/>
                <w:bCs w:val="0"/>
                <w:sz w:val="20"/>
                <w:szCs w:val="20"/>
              </w:rPr>
            </w:pPr>
            <w:r>
              <w:rPr>
                <w:sz w:val="20"/>
                <w:szCs w:val="20"/>
              </w:rPr>
              <w:t xml:space="preserve">Trigger Levels </w:t>
            </w:r>
            <w:r w:rsidRPr="00A57E85">
              <w:rPr>
                <w:sz w:val="20"/>
                <w:szCs w:val="20"/>
              </w:rPr>
              <w:t>(</w:t>
            </w:r>
            <w:r w:rsidRPr="00A57E85">
              <w:rPr>
                <w:rFonts w:cs="Arial"/>
                <w:sz w:val="20"/>
                <w:szCs w:val="20"/>
              </w:rPr>
              <w:t>µ</w:t>
            </w:r>
            <w:r w:rsidRPr="00A57E85">
              <w:rPr>
                <w:sz w:val="20"/>
                <w:szCs w:val="20"/>
              </w:rPr>
              <w:t>g/</w:t>
            </w:r>
            <w:r w:rsidR="00185E05">
              <w:rPr>
                <w:sz w:val="20"/>
                <w:szCs w:val="20"/>
              </w:rPr>
              <w:t>L</w:t>
            </w:r>
            <w:r w:rsidRPr="00A57E85">
              <w:rPr>
                <w:sz w:val="20"/>
                <w:szCs w:val="20"/>
              </w:rPr>
              <w:t>)</w:t>
            </w:r>
          </w:p>
        </w:tc>
      </w:tr>
      <w:tr w:rsidR="006D3C7A" w:rsidRPr="00FC5768" w14:paraId="0BFE5306" w14:textId="77777777" w:rsidTr="00141EFB">
        <w:trPr>
          <w:trHeight w:val="403"/>
        </w:trPr>
        <w:tc>
          <w:tcPr>
            <w:tcW w:w="3827" w:type="dxa"/>
          </w:tcPr>
          <w:p w14:paraId="2B387751" w14:textId="207B2038" w:rsidR="006D3C7A" w:rsidRDefault="006D3C7A" w:rsidP="00A468A3">
            <w:pPr>
              <w:rPr>
                <w:rFonts w:ascii="Helvetica" w:hAnsi="Helvetica" w:cs="Helvetica"/>
                <w:sz w:val="20"/>
                <w:szCs w:val="20"/>
              </w:rPr>
            </w:pPr>
            <w:r w:rsidRPr="006D3C7A">
              <w:rPr>
                <w:rFonts w:ascii="Helvetica" w:hAnsi="Helvetica" w:cs="Helvetica"/>
                <w:sz w:val="20"/>
                <w:szCs w:val="20"/>
              </w:rPr>
              <w:t>Dichloroethylene</w:t>
            </w:r>
            <w:r>
              <w:rPr>
                <w:rFonts w:ascii="Helvetica" w:hAnsi="Helvetica" w:cs="Helvetica"/>
                <w:sz w:val="20"/>
                <w:szCs w:val="20"/>
              </w:rPr>
              <w:t>, 1,1-</w:t>
            </w:r>
          </w:p>
        </w:tc>
        <w:tc>
          <w:tcPr>
            <w:tcW w:w="4537" w:type="dxa"/>
          </w:tcPr>
          <w:p w14:paraId="30461773" w14:textId="6FCC4D12" w:rsidR="006D3C7A" w:rsidRDefault="006D3C7A" w:rsidP="00A468A3">
            <w:pPr>
              <w:jc w:val="center"/>
              <w:rPr>
                <w:sz w:val="20"/>
                <w:szCs w:val="20"/>
                <w:lang w:eastAsia="en-CA"/>
              </w:rPr>
            </w:pPr>
            <w:r>
              <w:rPr>
                <w:sz w:val="20"/>
                <w:szCs w:val="20"/>
                <w:lang w:eastAsia="en-CA"/>
              </w:rPr>
              <w:t>1.6</w:t>
            </w:r>
          </w:p>
        </w:tc>
      </w:tr>
      <w:tr w:rsidR="00F34A8F" w:rsidRPr="00FC5768" w14:paraId="67C7F7F3" w14:textId="77777777" w:rsidTr="00141EFB">
        <w:trPr>
          <w:trHeight w:val="403"/>
        </w:trPr>
        <w:tc>
          <w:tcPr>
            <w:tcW w:w="3827" w:type="dxa"/>
          </w:tcPr>
          <w:p w14:paraId="72282E4E" w14:textId="2E8FBBDE" w:rsidR="00F34A8F" w:rsidRDefault="00F34A8F" w:rsidP="00A468A3">
            <w:pPr>
              <w:rPr>
                <w:rFonts w:ascii="Helvetica" w:hAnsi="Helvetica" w:cs="Helvetica"/>
                <w:sz w:val="20"/>
                <w:szCs w:val="20"/>
              </w:rPr>
            </w:pPr>
            <w:r>
              <w:rPr>
                <w:rFonts w:ascii="Helvetica" w:hAnsi="Helvetica" w:cs="Helvetica"/>
                <w:sz w:val="20"/>
                <w:szCs w:val="20"/>
              </w:rPr>
              <w:t>Dichloroethylene, cis-1,2</w:t>
            </w:r>
            <w:r w:rsidR="006D3C7A">
              <w:rPr>
                <w:rFonts w:ascii="Helvetica" w:hAnsi="Helvetica" w:cs="Helvetica"/>
                <w:sz w:val="20"/>
                <w:szCs w:val="20"/>
              </w:rPr>
              <w:t>-</w:t>
            </w:r>
          </w:p>
        </w:tc>
        <w:tc>
          <w:tcPr>
            <w:tcW w:w="4537" w:type="dxa"/>
          </w:tcPr>
          <w:p w14:paraId="0A8565DE" w14:textId="0530C0E0" w:rsidR="00F34A8F" w:rsidRDefault="006D3C7A" w:rsidP="00A468A3">
            <w:pPr>
              <w:jc w:val="center"/>
              <w:rPr>
                <w:sz w:val="20"/>
                <w:szCs w:val="20"/>
                <w:lang w:eastAsia="en-CA"/>
              </w:rPr>
            </w:pPr>
            <w:r>
              <w:rPr>
                <w:sz w:val="20"/>
                <w:szCs w:val="20"/>
                <w:lang w:eastAsia="en-CA"/>
              </w:rPr>
              <w:t>1.6</w:t>
            </w:r>
          </w:p>
        </w:tc>
      </w:tr>
      <w:tr w:rsidR="00F34A8F" w:rsidRPr="00FC5768" w14:paraId="10EDF026" w14:textId="77777777" w:rsidTr="00141EFB">
        <w:trPr>
          <w:trHeight w:val="403"/>
        </w:trPr>
        <w:tc>
          <w:tcPr>
            <w:tcW w:w="3827" w:type="dxa"/>
          </w:tcPr>
          <w:p w14:paraId="7D800E40" w14:textId="5B26FDFA" w:rsidR="00F34A8F" w:rsidRDefault="00F34A8F" w:rsidP="00A468A3">
            <w:pPr>
              <w:rPr>
                <w:rFonts w:ascii="Helvetica" w:hAnsi="Helvetica" w:cs="Helvetica"/>
                <w:sz w:val="20"/>
                <w:szCs w:val="20"/>
              </w:rPr>
            </w:pPr>
            <w:r>
              <w:rPr>
                <w:rFonts w:ascii="Helvetica" w:hAnsi="Helvetica" w:cs="Helvetica"/>
                <w:sz w:val="20"/>
                <w:szCs w:val="20"/>
              </w:rPr>
              <w:t>Dichloroethylene, trans-1,2</w:t>
            </w:r>
            <w:r w:rsidR="006D3C7A">
              <w:rPr>
                <w:rFonts w:ascii="Helvetica" w:hAnsi="Helvetica" w:cs="Helvetica"/>
                <w:sz w:val="20"/>
                <w:szCs w:val="20"/>
              </w:rPr>
              <w:t>-</w:t>
            </w:r>
          </w:p>
        </w:tc>
        <w:tc>
          <w:tcPr>
            <w:tcW w:w="4537" w:type="dxa"/>
          </w:tcPr>
          <w:p w14:paraId="34AF9973" w14:textId="26A1D073" w:rsidR="00F34A8F" w:rsidRDefault="006D3C7A" w:rsidP="00A468A3">
            <w:pPr>
              <w:jc w:val="center"/>
              <w:rPr>
                <w:sz w:val="20"/>
                <w:szCs w:val="20"/>
                <w:lang w:eastAsia="en-CA"/>
              </w:rPr>
            </w:pPr>
            <w:r>
              <w:rPr>
                <w:sz w:val="20"/>
                <w:szCs w:val="20"/>
                <w:lang w:eastAsia="en-CA"/>
              </w:rPr>
              <w:t>1.6</w:t>
            </w:r>
          </w:p>
        </w:tc>
      </w:tr>
      <w:tr w:rsidR="00F34A8F" w:rsidRPr="00FC5768" w14:paraId="6D6BEFEE" w14:textId="77777777" w:rsidTr="00141EFB">
        <w:trPr>
          <w:trHeight w:val="403"/>
        </w:trPr>
        <w:tc>
          <w:tcPr>
            <w:tcW w:w="3827" w:type="dxa"/>
          </w:tcPr>
          <w:p w14:paraId="2DD4C7CC" w14:textId="77777777" w:rsidR="00F34A8F" w:rsidRDefault="00F34A8F" w:rsidP="00A468A3">
            <w:pPr>
              <w:rPr>
                <w:rFonts w:ascii="Helvetica" w:hAnsi="Helvetica" w:cs="Helvetica"/>
                <w:sz w:val="20"/>
                <w:szCs w:val="20"/>
              </w:rPr>
            </w:pPr>
            <w:r>
              <w:rPr>
                <w:rFonts w:ascii="Helvetica" w:hAnsi="Helvetica" w:cs="Helvetica"/>
                <w:sz w:val="20"/>
                <w:szCs w:val="20"/>
              </w:rPr>
              <w:t>Trichloroethylene</w:t>
            </w:r>
          </w:p>
        </w:tc>
        <w:tc>
          <w:tcPr>
            <w:tcW w:w="4537" w:type="dxa"/>
          </w:tcPr>
          <w:p w14:paraId="5701B8D2" w14:textId="338DFF9F" w:rsidR="00F34A8F" w:rsidRDefault="00185E05" w:rsidP="00A468A3">
            <w:pPr>
              <w:jc w:val="center"/>
              <w:rPr>
                <w:sz w:val="20"/>
                <w:szCs w:val="20"/>
                <w:lang w:eastAsia="en-CA"/>
              </w:rPr>
            </w:pPr>
            <w:r>
              <w:rPr>
                <w:sz w:val="20"/>
                <w:szCs w:val="20"/>
                <w:lang w:eastAsia="en-CA"/>
              </w:rPr>
              <w:t>1.6</w:t>
            </w:r>
          </w:p>
        </w:tc>
      </w:tr>
      <w:tr w:rsidR="00F34A8F" w:rsidRPr="00FC5768" w14:paraId="39C82422" w14:textId="77777777" w:rsidTr="00141EFB">
        <w:trPr>
          <w:trHeight w:val="403"/>
        </w:trPr>
        <w:tc>
          <w:tcPr>
            <w:tcW w:w="3827" w:type="dxa"/>
          </w:tcPr>
          <w:p w14:paraId="60E07B90" w14:textId="77777777" w:rsidR="00F34A8F" w:rsidRDefault="00F34A8F" w:rsidP="00A468A3">
            <w:pPr>
              <w:rPr>
                <w:rFonts w:ascii="Helvetica" w:hAnsi="Helvetica" w:cs="Helvetica"/>
                <w:sz w:val="20"/>
                <w:szCs w:val="20"/>
              </w:rPr>
            </w:pPr>
            <w:r>
              <w:rPr>
                <w:rFonts w:ascii="Helvetica" w:hAnsi="Helvetica" w:cs="Helvetica"/>
                <w:sz w:val="20"/>
                <w:szCs w:val="20"/>
              </w:rPr>
              <w:t>Vinyl Chloride</w:t>
            </w:r>
          </w:p>
        </w:tc>
        <w:tc>
          <w:tcPr>
            <w:tcW w:w="4537" w:type="dxa"/>
          </w:tcPr>
          <w:p w14:paraId="1EF13821" w14:textId="63549DD0" w:rsidR="00F34A8F" w:rsidRDefault="00185E05" w:rsidP="00A468A3">
            <w:pPr>
              <w:jc w:val="center"/>
              <w:rPr>
                <w:sz w:val="20"/>
                <w:szCs w:val="20"/>
                <w:lang w:eastAsia="en-CA"/>
              </w:rPr>
            </w:pPr>
            <w:r>
              <w:rPr>
                <w:sz w:val="20"/>
                <w:szCs w:val="20"/>
                <w:lang w:eastAsia="en-CA"/>
              </w:rPr>
              <w:t>0.5</w:t>
            </w:r>
          </w:p>
        </w:tc>
      </w:tr>
    </w:tbl>
    <w:p w14:paraId="75D9FC35" w14:textId="2C41C6EC" w:rsidR="00F34A8F" w:rsidRDefault="00F34A8F" w:rsidP="007904C6">
      <w:pPr>
        <w:jc w:val="center"/>
        <w:rPr>
          <w:b/>
        </w:rPr>
      </w:pPr>
    </w:p>
    <w:p w14:paraId="7279292B" w14:textId="77777777" w:rsidR="00F34A8F" w:rsidRDefault="00F34A8F" w:rsidP="007904C6">
      <w:pPr>
        <w:jc w:val="center"/>
        <w:rPr>
          <w:b/>
        </w:rPr>
      </w:pPr>
    </w:p>
    <w:p w14:paraId="6ECC6A88" w14:textId="331FCE08" w:rsidR="007904C6" w:rsidRDefault="007904C6" w:rsidP="007904C6">
      <w:pPr>
        <w:jc w:val="center"/>
        <w:rPr>
          <w:b/>
        </w:rPr>
      </w:pPr>
    </w:p>
    <w:p w14:paraId="662FCEAA" w14:textId="77777777" w:rsidR="007904C6" w:rsidRDefault="007904C6" w:rsidP="007904C6">
      <w:pPr>
        <w:jc w:val="center"/>
        <w:rPr>
          <w:b/>
        </w:rPr>
      </w:pPr>
    </w:p>
    <w:p w14:paraId="55A40D18" w14:textId="710F5FCC" w:rsidR="00B2345E" w:rsidRDefault="00B2345E" w:rsidP="00B2345E">
      <w:pPr>
        <w:keepLines/>
        <w:widowControl w:val="0"/>
        <w:tabs>
          <w:tab w:val="decimal" w:pos="19447"/>
        </w:tabs>
        <w:autoSpaceDE w:val="0"/>
        <w:autoSpaceDN w:val="0"/>
        <w:adjustRightInd w:val="0"/>
        <w:jc w:val="center"/>
        <w:rPr>
          <w:rFonts w:cs="Arial"/>
          <w:sz w:val="2"/>
          <w:szCs w:val="2"/>
          <w:lang w:eastAsia="en-CA"/>
        </w:rPr>
      </w:pPr>
    </w:p>
    <w:p w14:paraId="7FF0BAE6" w14:textId="77777777" w:rsidR="007E5A4B" w:rsidRDefault="007E5A4B">
      <w:pPr>
        <w:rPr>
          <w:b/>
        </w:rPr>
      </w:pPr>
      <w:r>
        <w:rPr>
          <w:b/>
        </w:rPr>
        <w:br w:type="page"/>
      </w:r>
    </w:p>
    <w:p w14:paraId="284B46C1" w14:textId="75CD3811" w:rsidR="003A4122" w:rsidRDefault="003A4122" w:rsidP="003A4122">
      <w:pPr>
        <w:jc w:val="center"/>
        <w:rPr>
          <w:b/>
        </w:rPr>
      </w:pPr>
      <w:r>
        <w:rPr>
          <w:b/>
        </w:rPr>
        <w:lastRenderedPageBreak/>
        <w:t xml:space="preserve">Schedule </w:t>
      </w:r>
      <w:r w:rsidR="00686199">
        <w:rPr>
          <w:b/>
        </w:rPr>
        <w:t>‘</w:t>
      </w:r>
      <w:r w:rsidR="00C34D03">
        <w:rPr>
          <w:b/>
        </w:rPr>
        <w:t>C</w:t>
      </w:r>
      <w:r>
        <w:rPr>
          <w:b/>
        </w:rPr>
        <w:t>’</w:t>
      </w:r>
    </w:p>
    <w:p w14:paraId="4D08B7F7" w14:textId="77777777" w:rsidR="0010252D" w:rsidRPr="008A4E9C" w:rsidRDefault="0010252D" w:rsidP="0010252D">
      <w:pPr>
        <w:pStyle w:val="CM41"/>
        <w:ind w:right="360"/>
        <w:jc w:val="center"/>
        <w:rPr>
          <w:rFonts w:ascii="Arial" w:hAnsi="Arial" w:cs="Arial"/>
          <w:color w:val="000000"/>
          <w:sz w:val="22"/>
          <w:szCs w:val="22"/>
        </w:rPr>
      </w:pPr>
      <w:r w:rsidRPr="008A4E9C">
        <w:rPr>
          <w:rFonts w:ascii="Arial" w:hAnsi="Arial" w:cs="Arial"/>
          <w:b/>
          <w:color w:val="000000"/>
          <w:sz w:val="22"/>
          <w:szCs w:val="22"/>
          <w:u w:val="single"/>
        </w:rPr>
        <w:t xml:space="preserve">CERTIFICATE OF REQUIREMENT </w:t>
      </w:r>
    </w:p>
    <w:p w14:paraId="628665AE" w14:textId="77777777" w:rsidR="0010252D" w:rsidRPr="008A4E9C" w:rsidRDefault="0010252D" w:rsidP="0010252D">
      <w:pPr>
        <w:pStyle w:val="CM1"/>
        <w:ind w:right="360"/>
        <w:jc w:val="center"/>
        <w:rPr>
          <w:rFonts w:ascii="Arial" w:hAnsi="Arial" w:cs="Arial"/>
          <w:color w:val="000000"/>
          <w:sz w:val="22"/>
          <w:szCs w:val="22"/>
        </w:rPr>
      </w:pPr>
      <w:r w:rsidRPr="008A4E9C">
        <w:rPr>
          <w:rFonts w:ascii="Arial" w:hAnsi="Arial" w:cs="Arial"/>
          <w:b/>
          <w:color w:val="000000"/>
          <w:sz w:val="22"/>
          <w:szCs w:val="22"/>
        </w:rPr>
        <w:t xml:space="preserve">s.197(2) </w:t>
      </w:r>
    </w:p>
    <w:p w14:paraId="58F7B414" w14:textId="77777777" w:rsidR="0010252D" w:rsidRPr="008A4E9C" w:rsidRDefault="0010252D" w:rsidP="0010252D">
      <w:pPr>
        <w:pStyle w:val="CM1"/>
        <w:spacing w:after="778"/>
        <w:ind w:right="360"/>
        <w:jc w:val="center"/>
        <w:rPr>
          <w:rFonts w:ascii="Arial" w:hAnsi="Arial" w:cs="Arial"/>
          <w:color w:val="000000"/>
          <w:sz w:val="22"/>
          <w:szCs w:val="22"/>
        </w:rPr>
      </w:pPr>
      <w:r w:rsidRPr="008A4E9C">
        <w:rPr>
          <w:rFonts w:ascii="Arial" w:hAnsi="Arial" w:cs="Arial"/>
          <w:b/>
          <w:i/>
          <w:color w:val="000000"/>
          <w:sz w:val="22"/>
          <w:szCs w:val="22"/>
        </w:rPr>
        <w:t xml:space="preserve">Environmental Protection Act </w:t>
      </w:r>
    </w:p>
    <w:p w14:paraId="2557E2FA" w14:textId="4BC8FC14" w:rsidR="005A63B1" w:rsidRPr="00F45FB1" w:rsidRDefault="005A63B1" w:rsidP="00DC68AB">
      <w:pPr>
        <w:jc w:val="both"/>
        <w:rPr>
          <w:rFonts w:cs="Arial"/>
          <w:u w:val="single"/>
          <w:lang w:val="en-GB"/>
        </w:rPr>
      </w:pPr>
      <w:r w:rsidRPr="008A4E9C">
        <w:rPr>
          <w:rFonts w:cs="Arial"/>
          <w:color w:val="000000"/>
        </w:rPr>
        <w:t xml:space="preserve">This is to certify that pursuant to </w:t>
      </w:r>
      <w:r>
        <w:rPr>
          <w:rFonts w:cs="Arial"/>
          <w:color w:val="000000"/>
        </w:rPr>
        <w:t>Item</w:t>
      </w:r>
      <w:r w:rsidRPr="008A4E9C">
        <w:rPr>
          <w:rFonts w:cs="Arial"/>
          <w:color w:val="000000"/>
        </w:rPr>
        <w:t xml:space="preserve"> </w:t>
      </w:r>
      <w:r>
        <w:rPr>
          <w:rFonts w:cs="Arial"/>
          <w:color w:val="000000"/>
        </w:rPr>
        <w:t>4.9</w:t>
      </w:r>
      <w:r w:rsidRPr="008A4E9C">
        <w:rPr>
          <w:rFonts w:cs="Arial"/>
          <w:color w:val="000000"/>
        </w:rPr>
        <w:t xml:space="preserve"> of Certificate of Property Use number </w:t>
      </w:r>
      <w:r w:rsidR="006D3C7A" w:rsidRPr="006D3C7A">
        <w:rPr>
          <w:rFonts w:cs="Arial"/>
          <w:color w:val="000000"/>
          <w:lang w:val="en-US"/>
        </w:rPr>
        <w:t>3687-C4GFSG</w:t>
      </w:r>
      <w:r w:rsidR="004E1090">
        <w:rPr>
          <w:rFonts w:cs="Arial"/>
          <w:b/>
          <w:bCs/>
          <w:color w:val="000000"/>
          <w:lang w:val="en-US"/>
        </w:rPr>
        <w:t xml:space="preserve"> </w:t>
      </w:r>
      <w:r w:rsidRPr="008A4E9C">
        <w:rPr>
          <w:rFonts w:cs="Arial"/>
          <w:color w:val="000000"/>
        </w:rPr>
        <w:t xml:space="preserve">issued by </w:t>
      </w:r>
      <w:r>
        <w:rPr>
          <w:rFonts w:cs="Arial"/>
          <w:color w:val="000000"/>
        </w:rPr>
        <w:t>Jimena Caicedo</w:t>
      </w:r>
      <w:r w:rsidRPr="008A4E9C">
        <w:rPr>
          <w:rFonts w:cs="Arial"/>
          <w:color w:val="000000"/>
        </w:rPr>
        <w:t>, Director of the Ministry of the Environment</w:t>
      </w:r>
      <w:r>
        <w:rPr>
          <w:rFonts w:cs="Arial"/>
          <w:color w:val="000000"/>
        </w:rPr>
        <w:t>, Conservation and Parks</w:t>
      </w:r>
      <w:r w:rsidRPr="008A4E9C">
        <w:rPr>
          <w:rFonts w:cs="Arial"/>
          <w:color w:val="000000"/>
        </w:rPr>
        <w:t xml:space="preserve">, under sections 168.6 and 197 of the </w:t>
      </w:r>
      <w:r w:rsidRPr="00B26B4F">
        <w:rPr>
          <w:rFonts w:cs="Arial"/>
          <w:i/>
          <w:iCs/>
          <w:color w:val="000000"/>
        </w:rPr>
        <w:t>Environmental Protection Act</w:t>
      </w:r>
      <w:r w:rsidRPr="008A4E9C">
        <w:rPr>
          <w:rFonts w:cs="Arial"/>
          <w:color w:val="000000"/>
        </w:rPr>
        <w:t xml:space="preserve">, </w:t>
      </w:r>
      <w:r w:rsidRPr="0061523B">
        <w:rPr>
          <w:rFonts w:cs="Arial"/>
          <w:color w:val="000000"/>
        </w:rPr>
        <w:t xml:space="preserve">on </w:t>
      </w:r>
      <w:r w:rsidR="00C916EB">
        <w:rPr>
          <w:rFonts w:cs="Arial"/>
          <w:color w:val="000000"/>
        </w:rPr>
        <w:t>XX</w:t>
      </w:r>
      <w:r w:rsidR="00B26B4F">
        <w:rPr>
          <w:rFonts w:cs="Arial"/>
          <w:color w:val="000000"/>
        </w:rPr>
        <w:t xml:space="preserve">, </w:t>
      </w:r>
      <w:r w:rsidRPr="0061523B">
        <w:rPr>
          <w:rFonts w:cs="Arial"/>
          <w:color w:val="000000"/>
        </w:rPr>
        <w:t>20</w:t>
      </w:r>
      <w:r>
        <w:rPr>
          <w:rFonts w:cs="Arial"/>
          <w:color w:val="000000"/>
        </w:rPr>
        <w:t>2</w:t>
      </w:r>
      <w:r w:rsidR="0090267E">
        <w:rPr>
          <w:rFonts w:cs="Arial"/>
          <w:color w:val="000000"/>
        </w:rPr>
        <w:t>1</w:t>
      </w:r>
      <w:r w:rsidRPr="008A4E9C">
        <w:rPr>
          <w:rFonts w:cs="Arial"/>
          <w:color w:val="000000"/>
        </w:rPr>
        <w:t xml:space="preserve"> being a Certificate of Property Use and order under subsection 197(1) of the </w:t>
      </w:r>
      <w:r w:rsidRPr="00B26B4F">
        <w:rPr>
          <w:rFonts w:cs="Arial"/>
          <w:i/>
          <w:iCs/>
          <w:color w:val="000000"/>
        </w:rPr>
        <w:t>Environmental Protection Act</w:t>
      </w:r>
      <w:r w:rsidRPr="008A4E9C">
        <w:rPr>
          <w:rFonts w:cs="Arial"/>
          <w:color w:val="000000"/>
        </w:rPr>
        <w:t xml:space="preserve"> relating to the </w:t>
      </w:r>
      <w:r w:rsidR="00B26B4F">
        <w:rPr>
          <w:rFonts w:cs="Arial"/>
          <w:color w:val="000000"/>
        </w:rPr>
        <w:t>p</w:t>
      </w:r>
      <w:r w:rsidRPr="008A4E9C">
        <w:rPr>
          <w:rFonts w:cs="Arial"/>
          <w:color w:val="000000"/>
        </w:rPr>
        <w:t xml:space="preserve">roperty municipally known as </w:t>
      </w:r>
      <w:r w:rsidR="006D3C7A" w:rsidRPr="00722806">
        <w:rPr>
          <w:bCs/>
          <w:szCs w:val="20"/>
          <w:lang w:val="en-US"/>
        </w:rPr>
        <w:t>2706, 2708, 2710, 2720 and 2730 Dundas</w:t>
      </w:r>
      <w:r w:rsidR="006D3C7A">
        <w:rPr>
          <w:bCs/>
          <w:szCs w:val="20"/>
          <w:lang w:val="en-US"/>
        </w:rPr>
        <w:t xml:space="preserve"> Street West, Toronto</w:t>
      </w:r>
      <w:r w:rsidR="006D3C7A" w:rsidRPr="008A4E9C">
        <w:rPr>
          <w:rFonts w:cs="Arial"/>
          <w:color w:val="000000"/>
        </w:rPr>
        <w:t xml:space="preserve"> </w:t>
      </w:r>
      <w:r w:rsidRPr="008A4E9C">
        <w:rPr>
          <w:rFonts w:cs="Arial"/>
          <w:color w:val="000000"/>
        </w:rPr>
        <w:t>being</w:t>
      </w:r>
      <w:r>
        <w:rPr>
          <w:rFonts w:cs="Arial"/>
          <w:color w:val="000000"/>
        </w:rPr>
        <w:t xml:space="preserve"> </w:t>
      </w:r>
      <w:r w:rsidR="00DC68AB">
        <w:rPr>
          <w:rFonts w:cs="Arial"/>
          <w:color w:val="000000"/>
        </w:rPr>
        <w:t>all</w:t>
      </w:r>
      <w:r>
        <w:rPr>
          <w:rFonts w:cs="Arial"/>
          <w:color w:val="000000"/>
        </w:rPr>
        <w:t xml:space="preserve"> of </w:t>
      </w:r>
      <w:r w:rsidRPr="008A4E9C">
        <w:rPr>
          <w:rFonts w:cs="Arial"/>
          <w:color w:val="000000"/>
        </w:rPr>
        <w:t xml:space="preserve">Property Identifier </w:t>
      </w:r>
      <w:r w:rsidR="00B3355B">
        <w:rPr>
          <w:rFonts w:cs="Arial"/>
          <w:color w:val="000000"/>
        </w:rPr>
        <w:t xml:space="preserve">Number </w:t>
      </w:r>
      <w:r w:rsidR="006D3C7A" w:rsidRPr="006D3C7A">
        <w:rPr>
          <w:bCs/>
        </w:rPr>
        <w:t xml:space="preserve">21356-0216 (LT) </w:t>
      </w:r>
      <w:r w:rsidR="00991CAD">
        <w:rPr>
          <w:bCs/>
        </w:rPr>
        <w:t>(</w:t>
      </w:r>
      <w:r w:rsidRPr="008A4E9C">
        <w:rPr>
          <w:rFonts w:cs="Arial"/>
          <w:color w:val="000000"/>
        </w:rPr>
        <w:t>the “</w:t>
      </w:r>
      <w:r>
        <w:rPr>
          <w:rFonts w:cs="Arial"/>
          <w:color w:val="000000"/>
        </w:rPr>
        <w:t>Pr</w:t>
      </w:r>
      <w:r w:rsidRPr="008A4E9C">
        <w:rPr>
          <w:rFonts w:cs="Arial"/>
          <w:color w:val="000000"/>
        </w:rPr>
        <w:t xml:space="preserve">operty”) with respect to a Risk Assessment and certain Risk Management Measures and other preventive measure requirements on the </w:t>
      </w:r>
      <w:r>
        <w:rPr>
          <w:rFonts w:cs="Arial"/>
          <w:color w:val="000000"/>
        </w:rPr>
        <w:t>Property</w:t>
      </w:r>
    </w:p>
    <w:p w14:paraId="50CA850C" w14:textId="531E0F97" w:rsidR="00991CAD" w:rsidRPr="00991CAD" w:rsidRDefault="00991CAD" w:rsidP="00991CAD">
      <w:pPr>
        <w:pStyle w:val="CM37"/>
        <w:spacing w:line="231" w:lineRule="atLeast"/>
        <w:ind w:right="360"/>
        <w:jc w:val="center"/>
        <w:rPr>
          <w:rFonts w:ascii="Arial" w:hAnsi="Arial" w:cs="Arial"/>
          <w:b/>
          <w:bCs/>
          <w:color w:val="000000"/>
          <w:sz w:val="22"/>
          <w:szCs w:val="22"/>
        </w:rPr>
      </w:pPr>
      <w:r w:rsidRPr="00991CAD">
        <w:rPr>
          <w:b/>
          <w:bCs/>
          <w:szCs w:val="20"/>
          <w:lang w:val="en-US"/>
        </w:rPr>
        <w:t xml:space="preserve">2720 DUNDAS JUNCTION GP INC. </w:t>
      </w:r>
      <w:r w:rsidR="00F45FD5">
        <w:rPr>
          <w:b/>
          <w:bCs/>
          <w:szCs w:val="20"/>
          <w:lang w:val="en-US"/>
        </w:rPr>
        <w:t>AND</w:t>
      </w:r>
      <w:r w:rsidRPr="00991CAD">
        <w:rPr>
          <w:b/>
          <w:bCs/>
          <w:szCs w:val="20"/>
          <w:lang w:val="en-US"/>
        </w:rPr>
        <w:br/>
        <w:t>2720 DUNDAS JUNCTION L.P.</w:t>
      </w:r>
    </w:p>
    <w:p w14:paraId="4413DEFE" w14:textId="715E7C11" w:rsidR="005A63B1" w:rsidRPr="008A4E9C" w:rsidRDefault="00991CAD" w:rsidP="005A63B1">
      <w:pPr>
        <w:pStyle w:val="CM37"/>
        <w:spacing w:line="231" w:lineRule="atLeast"/>
        <w:ind w:right="360"/>
        <w:rPr>
          <w:rFonts w:ascii="Arial" w:hAnsi="Arial" w:cs="Arial"/>
          <w:color w:val="000000"/>
          <w:sz w:val="22"/>
          <w:szCs w:val="22"/>
        </w:rPr>
      </w:pPr>
      <w:r w:rsidRPr="00991CAD">
        <w:rPr>
          <w:rFonts w:ascii="Arial" w:hAnsi="Arial" w:cs="Arial"/>
          <w:color w:val="000000"/>
          <w:sz w:val="22"/>
          <w:szCs w:val="22"/>
        </w:rPr>
        <w:br/>
      </w:r>
      <w:r w:rsidR="005A63B1" w:rsidRPr="008A4E9C">
        <w:rPr>
          <w:rFonts w:ascii="Arial" w:hAnsi="Arial" w:cs="Arial"/>
          <w:color w:val="000000"/>
          <w:sz w:val="22"/>
          <w:szCs w:val="22"/>
        </w:rPr>
        <w:t xml:space="preserve">and any other persons having an interest in the </w:t>
      </w:r>
      <w:r w:rsidR="005A63B1">
        <w:rPr>
          <w:rFonts w:ascii="Arial" w:hAnsi="Arial" w:cs="Arial"/>
          <w:color w:val="000000"/>
          <w:sz w:val="22"/>
          <w:szCs w:val="22"/>
        </w:rPr>
        <w:t>P</w:t>
      </w:r>
      <w:r w:rsidR="005A63B1" w:rsidRPr="008A4E9C">
        <w:rPr>
          <w:rFonts w:ascii="Arial" w:hAnsi="Arial" w:cs="Arial"/>
          <w:color w:val="000000"/>
          <w:sz w:val="22"/>
          <w:szCs w:val="22"/>
        </w:rPr>
        <w:t>roperty</w:t>
      </w:r>
      <w:r w:rsidR="005A63B1" w:rsidRPr="008A4E9C">
        <w:rPr>
          <w:rFonts w:ascii="Arial" w:hAnsi="Arial" w:cs="Arial"/>
          <w:sz w:val="22"/>
          <w:szCs w:val="22"/>
        </w:rPr>
        <w:t xml:space="preserve">, </w:t>
      </w:r>
      <w:r w:rsidR="005A63B1" w:rsidRPr="008A4E9C">
        <w:rPr>
          <w:rFonts w:ascii="Arial" w:hAnsi="Arial" w:cs="Arial"/>
          <w:color w:val="000000"/>
          <w:sz w:val="22"/>
          <w:szCs w:val="22"/>
        </w:rPr>
        <w:t xml:space="preserve">are required before dealing with the </w:t>
      </w:r>
      <w:r w:rsidR="005A63B1">
        <w:rPr>
          <w:rFonts w:ascii="Arial" w:hAnsi="Arial" w:cs="Arial"/>
          <w:color w:val="000000"/>
          <w:sz w:val="22"/>
          <w:szCs w:val="22"/>
        </w:rPr>
        <w:t>P</w:t>
      </w:r>
      <w:r w:rsidR="005A63B1" w:rsidRPr="008A4E9C">
        <w:rPr>
          <w:rFonts w:ascii="Arial" w:hAnsi="Arial" w:cs="Arial"/>
          <w:color w:val="000000"/>
          <w:sz w:val="22"/>
          <w:szCs w:val="22"/>
        </w:rPr>
        <w:t xml:space="preserve">roperty in any way, to give a copy of the Certificate of Property Use, including any amendments thereto, to every person who will acquire an interest in the </w:t>
      </w:r>
      <w:r w:rsidR="005A63B1">
        <w:rPr>
          <w:rFonts w:ascii="Arial" w:hAnsi="Arial" w:cs="Arial"/>
          <w:color w:val="000000"/>
          <w:sz w:val="22"/>
          <w:szCs w:val="22"/>
        </w:rPr>
        <w:t>P</w:t>
      </w:r>
      <w:r w:rsidR="005A63B1" w:rsidRPr="008A4E9C">
        <w:rPr>
          <w:rFonts w:ascii="Arial" w:hAnsi="Arial" w:cs="Arial"/>
          <w:color w:val="000000"/>
          <w:sz w:val="22"/>
          <w:szCs w:val="22"/>
        </w:rPr>
        <w:t>roperty</w:t>
      </w:r>
      <w:r w:rsidR="005A63B1">
        <w:rPr>
          <w:rFonts w:ascii="Arial" w:hAnsi="Arial" w:cs="Arial"/>
          <w:color w:val="000000"/>
          <w:sz w:val="22"/>
          <w:szCs w:val="22"/>
        </w:rPr>
        <w:t>.</w:t>
      </w:r>
    </w:p>
    <w:p w14:paraId="495E8ACB" w14:textId="77777777" w:rsidR="005A63B1" w:rsidRDefault="005A63B1" w:rsidP="005A63B1">
      <w:pPr>
        <w:pStyle w:val="CM2"/>
        <w:ind w:right="360"/>
        <w:jc w:val="both"/>
        <w:rPr>
          <w:rFonts w:ascii="Arial" w:hAnsi="Arial" w:cs="Arial"/>
          <w:color w:val="000000"/>
          <w:sz w:val="22"/>
          <w:szCs w:val="22"/>
        </w:rPr>
      </w:pPr>
      <w:r w:rsidRPr="008A4E9C">
        <w:rPr>
          <w:rFonts w:ascii="Arial" w:hAnsi="Arial" w:cs="Arial"/>
          <w:color w:val="000000"/>
          <w:sz w:val="22"/>
          <w:szCs w:val="22"/>
        </w:rPr>
        <w:t>Under subsection</w:t>
      </w:r>
      <w:r>
        <w:rPr>
          <w:rFonts w:ascii="Arial" w:hAnsi="Arial" w:cs="Arial"/>
          <w:color w:val="000000"/>
          <w:sz w:val="22"/>
          <w:szCs w:val="22"/>
        </w:rPr>
        <w:t xml:space="preserve"> </w:t>
      </w:r>
      <w:r w:rsidRPr="008A4E9C">
        <w:rPr>
          <w:rFonts w:ascii="Arial" w:hAnsi="Arial" w:cs="Arial"/>
          <w:color w:val="000000"/>
          <w:sz w:val="22"/>
          <w:szCs w:val="22"/>
        </w:rPr>
        <w:t xml:space="preserve">197(3) of the </w:t>
      </w:r>
      <w:r w:rsidRPr="00B26B4F">
        <w:rPr>
          <w:rFonts w:ascii="Arial" w:hAnsi="Arial" w:cs="Arial"/>
          <w:i/>
          <w:iCs/>
          <w:color w:val="000000"/>
          <w:sz w:val="22"/>
          <w:szCs w:val="22"/>
        </w:rPr>
        <w:t>Environmental Protection Act</w:t>
      </w:r>
      <w:r w:rsidRPr="008A4E9C">
        <w:rPr>
          <w:rFonts w:ascii="Arial" w:hAnsi="Arial" w:cs="Arial"/>
          <w:color w:val="000000"/>
          <w:sz w:val="22"/>
          <w:szCs w:val="22"/>
        </w:rPr>
        <w:t>, the requirement applies to each person who, subsequent to the registration of this certificate, acquires an</w:t>
      </w:r>
      <w:r>
        <w:rPr>
          <w:rFonts w:ascii="Arial" w:hAnsi="Arial" w:cs="Arial"/>
          <w:color w:val="000000"/>
          <w:sz w:val="22"/>
          <w:szCs w:val="22"/>
        </w:rPr>
        <w:t xml:space="preserve"> interest in the Property.</w:t>
      </w:r>
    </w:p>
    <w:p w14:paraId="4AFF6364" w14:textId="77777777" w:rsidR="005A63B1" w:rsidRPr="00AA6753" w:rsidRDefault="005A63B1" w:rsidP="005A63B1">
      <w:pPr>
        <w:rPr>
          <w:b/>
          <w:lang w:val="en-US"/>
        </w:rPr>
      </w:pPr>
      <w:r>
        <w:rPr>
          <w:b/>
        </w:rPr>
        <w:br w:type="page"/>
      </w:r>
    </w:p>
    <w:p w14:paraId="0C486C50" w14:textId="2AD97E15" w:rsidR="00CC5C06" w:rsidRDefault="00B2345E" w:rsidP="00332036">
      <w:pPr>
        <w:rPr>
          <w:b/>
          <w:noProof/>
          <w:lang w:eastAsia="en-CA"/>
        </w:rPr>
      </w:pPr>
      <w:r w:rsidRPr="00DF34FD">
        <w:rPr>
          <w:b/>
        </w:rPr>
        <w:lastRenderedPageBreak/>
        <w:t>Plan</w:t>
      </w:r>
      <w:r w:rsidR="00404E08">
        <w:rPr>
          <w:b/>
        </w:rPr>
        <w:t xml:space="preserve"> of Survey</w:t>
      </w:r>
      <w:r w:rsidRPr="00DF34FD">
        <w:rPr>
          <w:b/>
        </w:rPr>
        <w:t xml:space="preserve"> </w:t>
      </w:r>
      <w:r w:rsidR="000C4020">
        <w:rPr>
          <w:b/>
        </w:rPr>
        <w:t xml:space="preserve"> </w:t>
      </w:r>
    </w:p>
    <w:p w14:paraId="2D4BDEEC" w14:textId="5C27F461" w:rsidR="0010252D" w:rsidRDefault="00991CAD">
      <w:pPr>
        <w:rPr>
          <w:b/>
        </w:rPr>
      </w:pPr>
      <w:r w:rsidRPr="00991CAD">
        <w:rPr>
          <w:b/>
          <w:noProof/>
        </w:rPr>
        <w:drawing>
          <wp:inline distT="0" distB="0" distL="0" distR="0" wp14:anchorId="1AE140A1" wp14:editId="7B8801D5">
            <wp:extent cx="5943600" cy="3937000"/>
            <wp:effectExtent l="0" t="0" r="0" b="6350"/>
            <wp:docPr id="3" name="Picture 3" descr="Legal Plan of Survey of the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937000"/>
                    </a:xfrm>
                    <a:prstGeom prst="rect">
                      <a:avLst/>
                    </a:prstGeom>
                    <a:noFill/>
                    <a:ln>
                      <a:noFill/>
                    </a:ln>
                  </pic:spPr>
                </pic:pic>
              </a:graphicData>
            </a:graphic>
          </wp:inline>
        </w:drawing>
      </w:r>
      <w:r w:rsidR="0010252D">
        <w:rPr>
          <w:b/>
        </w:rPr>
        <w:br w:type="page"/>
      </w:r>
    </w:p>
    <w:p w14:paraId="52B713C3" w14:textId="6D146919" w:rsidR="003D4DC0" w:rsidRDefault="003D4DC0">
      <w:pPr>
        <w:rPr>
          <w:b/>
        </w:rPr>
      </w:pPr>
      <w:r>
        <w:rPr>
          <w:b/>
        </w:rPr>
        <w:lastRenderedPageBreak/>
        <w:t xml:space="preserve">Figure </w:t>
      </w:r>
      <w:r w:rsidR="007D20E8">
        <w:rPr>
          <w:b/>
        </w:rPr>
        <w:t>XIII-1</w:t>
      </w:r>
      <w:r w:rsidR="004372F6" w:rsidRPr="004372F6">
        <w:rPr>
          <w:b/>
          <w:noProof/>
        </w:rPr>
        <w:drawing>
          <wp:inline distT="0" distB="0" distL="0" distR="0" wp14:anchorId="19601E74" wp14:editId="438963B8">
            <wp:extent cx="6096000" cy="4168140"/>
            <wp:effectExtent l="0" t="0" r="0" b="3810"/>
            <wp:docPr id="9" name="Picture 9" descr="Engineering Design of the hard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4168140"/>
                    </a:xfrm>
                    <a:prstGeom prst="rect">
                      <a:avLst/>
                    </a:prstGeom>
                    <a:noFill/>
                    <a:ln>
                      <a:noFill/>
                    </a:ln>
                  </pic:spPr>
                </pic:pic>
              </a:graphicData>
            </a:graphic>
          </wp:inline>
        </w:drawing>
      </w:r>
      <w:r w:rsidR="004372F6" w:rsidRPr="004372F6">
        <w:rPr>
          <w:b/>
          <w:noProof/>
        </w:rPr>
        <w:t xml:space="preserve"> </w:t>
      </w:r>
      <w:r>
        <w:rPr>
          <w:b/>
        </w:rPr>
        <w:br w:type="page"/>
      </w:r>
    </w:p>
    <w:p w14:paraId="2C8E4A1B" w14:textId="373B0907" w:rsidR="003D4DC0" w:rsidRDefault="003D4DC0">
      <w:pPr>
        <w:rPr>
          <w:b/>
        </w:rPr>
      </w:pPr>
      <w:r>
        <w:rPr>
          <w:b/>
        </w:rPr>
        <w:lastRenderedPageBreak/>
        <w:t xml:space="preserve">Figure </w:t>
      </w:r>
      <w:r w:rsidR="007D20E8">
        <w:rPr>
          <w:b/>
        </w:rPr>
        <w:t>XIII-2</w:t>
      </w:r>
    </w:p>
    <w:p w14:paraId="6ED62C0E" w14:textId="4390F6AB" w:rsidR="007D20E8" w:rsidRDefault="007D20E8">
      <w:pPr>
        <w:rPr>
          <w:b/>
        </w:rPr>
      </w:pPr>
      <w:r w:rsidRPr="007D20E8">
        <w:rPr>
          <w:b/>
          <w:noProof/>
        </w:rPr>
        <w:drawing>
          <wp:inline distT="0" distB="0" distL="0" distR="0" wp14:anchorId="3FD023EB" wp14:editId="7D29B3BB">
            <wp:extent cx="6080760" cy="4084320"/>
            <wp:effectExtent l="0" t="0" r="0" b="0"/>
            <wp:docPr id="10" name="Picture 10" descr="Engineering design of fill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0760" cy="4084320"/>
                    </a:xfrm>
                    <a:prstGeom prst="rect">
                      <a:avLst/>
                    </a:prstGeom>
                    <a:noFill/>
                    <a:ln>
                      <a:noFill/>
                    </a:ln>
                  </pic:spPr>
                </pic:pic>
              </a:graphicData>
            </a:graphic>
          </wp:inline>
        </w:drawing>
      </w:r>
    </w:p>
    <w:p w14:paraId="0E9126D1" w14:textId="1B78D0D6" w:rsidR="003D4DC0" w:rsidRDefault="003D4DC0">
      <w:pPr>
        <w:rPr>
          <w:b/>
        </w:rPr>
      </w:pPr>
      <w:r>
        <w:rPr>
          <w:b/>
        </w:rPr>
        <w:br w:type="page"/>
      </w:r>
      <w:r w:rsidR="00AA7D1E">
        <w:rPr>
          <w:b/>
        </w:rPr>
        <w:lastRenderedPageBreak/>
        <w:t xml:space="preserve">Figure </w:t>
      </w:r>
      <w:r w:rsidR="007D20E8">
        <w:rPr>
          <w:b/>
        </w:rPr>
        <w:t>XIII-3</w:t>
      </w:r>
    </w:p>
    <w:p w14:paraId="12A47144" w14:textId="59B640FD" w:rsidR="00AA7D1E" w:rsidRDefault="007D20E8">
      <w:pPr>
        <w:rPr>
          <w:b/>
        </w:rPr>
      </w:pPr>
      <w:r w:rsidRPr="007D20E8">
        <w:rPr>
          <w:b/>
          <w:noProof/>
        </w:rPr>
        <w:drawing>
          <wp:inline distT="0" distB="0" distL="0" distR="0" wp14:anchorId="129B60FF" wp14:editId="2DD7C162">
            <wp:extent cx="6164580" cy="4152900"/>
            <wp:effectExtent l="0" t="0" r="7620" b="0"/>
            <wp:docPr id="11" name="Picture 11" descr="Groundwater Monitoring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4580" cy="4152900"/>
                    </a:xfrm>
                    <a:prstGeom prst="rect">
                      <a:avLst/>
                    </a:prstGeom>
                    <a:noFill/>
                    <a:ln>
                      <a:noFill/>
                    </a:ln>
                  </pic:spPr>
                </pic:pic>
              </a:graphicData>
            </a:graphic>
          </wp:inline>
        </w:drawing>
      </w:r>
    </w:p>
    <w:sectPr w:rsidR="00AA7D1E" w:rsidSect="00D077FE">
      <w:type w:val="continuous"/>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40D79" w14:textId="77777777" w:rsidR="00F45FD5" w:rsidRDefault="00F45FD5" w:rsidP="00CC533A">
      <w:pPr>
        <w:spacing w:after="0" w:line="240" w:lineRule="auto"/>
      </w:pPr>
      <w:r>
        <w:separator/>
      </w:r>
    </w:p>
  </w:endnote>
  <w:endnote w:type="continuationSeparator" w:id="0">
    <w:p w14:paraId="55A40D7A" w14:textId="77777777" w:rsidR="00F45FD5" w:rsidRDefault="00F45FD5" w:rsidP="00CC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4FB1E" w14:textId="77777777" w:rsidR="00F45FD5" w:rsidRDefault="00F45FD5" w:rsidP="00D077FE">
    <w:pPr>
      <w:pStyle w:val="Footer"/>
      <w:rPr>
        <w:b/>
        <w:sz w:val="18"/>
        <w:szCs w:val="18"/>
      </w:rPr>
    </w:pPr>
  </w:p>
  <w:p w14:paraId="55A40D7B" w14:textId="506B63FC" w:rsidR="00F45FD5" w:rsidRPr="0003094F" w:rsidRDefault="00F45FD5" w:rsidP="00D077FE">
    <w:pPr>
      <w:pStyle w:val="Footer"/>
      <w:rPr>
        <w:rStyle w:val="PageNumber"/>
        <w:b/>
        <w:sz w:val="20"/>
        <w:szCs w:val="20"/>
        <w:lang w:val="fr-CA"/>
      </w:rPr>
    </w:pPr>
    <w:r w:rsidRPr="0003094F">
      <w:rPr>
        <w:b/>
        <w:sz w:val="18"/>
        <w:szCs w:val="18"/>
        <w:lang w:val="fr-CA"/>
      </w:rPr>
      <w:t xml:space="preserve">CPU </w:t>
    </w:r>
    <w:r w:rsidRPr="00A41553">
      <w:rPr>
        <w:b/>
        <w:bCs/>
        <w:sz w:val="18"/>
        <w:szCs w:val="18"/>
        <w:lang w:val="en-US"/>
      </w:rPr>
      <w:t>3687-C4GFSG</w:t>
    </w:r>
    <w:r w:rsidRPr="0003094F">
      <w:rPr>
        <w:b/>
        <w:sz w:val="18"/>
        <w:szCs w:val="18"/>
        <w:lang w:val="fr-CA"/>
      </w:rPr>
      <w:tab/>
    </w:r>
    <w:r>
      <w:rPr>
        <w:b/>
        <w:sz w:val="18"/>
        <w:szCs w:val="18"/>
        <w:lang w:val="fr-CA"/>
      </w:rPr>
      <w:t>DRAFT</w:t>
    </w:r>
    <w:r w:rsidRPr="0003094F">
      <w:rPr>
        <w:b/>
        <w:sz w:val="18"/>
        <w:szCs w:val="18"/>
        <w:lang w:val="fr-CA"/>
      </w:rPr>
      <w:t xml:space="preserve"> 20</w:t>
    </w:r>
    <w:r>
      <w:rPr>
        <w:b/>
        <w:sz w:val="18"/>
        <w:szCs w:val="18"/>
        <w:lang w:val="fr-CA"/>
      </w:rPr>
      <w:t>21</w:t>
    </w:r>
    <w:r w:rsidRPr="0003094F">
      <w:rPr>
        <w:b/>
        <w:sz w:val="18"/>
        <w:szCs w:val="18"/>
        <w:lang w:val="fr-CA"/>
      </w:rPr>
      <w:t>/</w:t>
    </w:r>
    <w:r>
      <w:rPr>
        <w:b/>
        <w:sz w:val="18"/>
        <w:szCs w:val="18"/>
        <w:lang w:val="fr-CA"/>
      </w:rPr>
      <w:t>07</w:t>
    </w:r>
    <w:r w:rsidRPr="0003094F">
      <w:rPr>
        <w:b/>
        <w:sz w:val="18"/>
        <w:szCs w:val="18"/>
        <w:lang w:val="fr-CA"/>
      </w:rPr>
      <w:t>/</w:t>
    </w:r>
    <w:r w:rsidR="00F51361">
      <w:rPr>
        <w:b/>
        <w:sz w:val="18"/>
        <w:szCs w:val="18"/>
        <w:lang w:val="fr-CA"/>
      </w:rPr>
      <w:t>16</w:t>
    </w:r>
    <w:r w:rsidRPr="0003094F">
      <w:rPr>
        <w:b/>
        <w:sz w:val="18"/>
        <w:szCs w:val="18"/>
        <w:lang w:val="fr-CA"/>
      </w:rPr>
      <w:tab/>
      <w:t xml:space="preserve"> Page</w:t>
    </w:r>
    <w:r w:rsidRPr="0003094F">
      <w:rPr>
        <w:b/>
        <w:sz w:val="20"/>
        <w:szCs w:val="20"/>
        <w:lang w:val="fr-CA"/>
      </w:rPr>
      <w:t xml:space="preserve"> </w:t>
    </w:r>
    <w:r w:rsidRPr="00695878">
      <w:rPr>
        <w:rStyle w:val="PageNumber"/>
        <w:b/>
        <w:sz w:val="20"/>
        <w:szCs w:val="20"/>
      </w:rPr>
      <w:fldChar w:fldCharType="begin"/>
    </w:r>
    <w:r w:rsidRPr="0003094F">
      <w:rPr>
        <w:rStyle w:val="PageNumber"/>
        <w:b/>
        <w:sz w:val="20"/>
        <w:szCs w:val="20"/>
        <w:lang w:val="fr-CA"/>
      </w:rPr>
      <w:instrText xml:space="preserve"> PAGE </w:instrText>
    </w:r>
    <w:r w:rsidRPr="00695878">
      <w:rPr>
        <w:rStyle w:val="PageNumber"/>
        <w:b/>
        <w:sz w:val="20"/>
        <w:szCs w:val="20"/>
      </w:rPr>
      <w:fldChar w:fldCharType="separate"/>
    </w:r>
    <w:r>
      <w:rPr>
        <w:rStyle w:val="PageNumber"/>
        <w:b/>
        <w:noProof/>
        <w:sz w:val="20"/>
        <w:szCs w:val="20"/>
        <w:lang w:val="fr-CA"/>
      </w:rPr>
      <w:t>9</w:t>
    </w:r>
    <w:r w:rsidRPr="00695878">
      <w:rPr>
        <w:rStyle w:val="PageNumber"/>
        <w:b/>
        <w:sz w:val="20"/>
        <w:szCs w:val="20"/>
      </w:rPr>
      <w:fldChar w:fldCharType="end"/>
    </w:r>
    <w:r w:rsidRPr="0003094F">
      <w:rPr>
        <w:rStyle w:val="PageNumber"/>
        <w:b/>
        <w:sz w:val="20"/>
        <w:szCs w:val="20"/>
        <w:lang w:val="fr-CA"/>
      </w:rPr>
      <w:t xml:space="preserve"> of </w:t>
    </w:r>
    <w:r w:rsidRPr="00695878">
      <w:rPr>
        <w:rStyle w:val="PageNumber"/>
        <w:b/>
        <w:sz w:val="20"/>
        <w:szCs w:val="20"/>
      </w:rPr>
      <w:fldChar w:fldCharType="begin"/>
    </w:r>
    <w:r w:rsidRPr="0003094F">
      <w:rPr>
        <w:rStyle w:val="PageNumber"/>
        <w:b/>
        <w:sz w:val="20"/>
        <w:szCs w:val="20"/>
        <w:lang w:val="fr-CA"/>
      </w:rPr>
      <w:instrText xml:space="preserve"> NUMPAGES </w:instrText>
    </w:r>
    <w:r w:rsidRPr="00695878">
      <w:rPr>
        <w:rStyle w:val="PageNumber"/>
        <w:b/>
        <w:sz w:val="20"/>
        <w:szCs w:val="20"/>
      </w:rPr>
      <w:fldChar w:fldCharType="separate"/>
    </w:r>
    <w:r>
      <w:rPr>
        <w:rStyle w:val="PageNumber"/>
        <w:b/>
        <w:noProof/>
        <w:sz w:val="20"/>
        <w:szCs w:val="20"/>
        <w:lang w:val="fr-CA"/>
      </w:rPr>
      <w:t>18</w:t>
    </w:r>
    <w:r w:rsidRPr="00695878">
      <w:rPr>
        <w:rStyle w:val="PageNumber"/>
        <w:b/>
        <w:sz w:val="20"/>
        <w:szCs w:val="20"/>
      </w:rPr>
      <w:fldChar w:fldCharType="end"/>
    </w:r>
  </w:p>
  <w:p w14:paraId="55A40D7C" w14:textId="2B9986E3" w:rsidR="00F45FD5" w:rsidRPr="0003094F" w:rsidRDefault="00F45FD5">
    <w:pPr>
      <w:pStyle w:val="Footer"/>
      <w:rPr>
        <w:lang w:val="fr-CA"/>
      </w:rPr>
    </w:pPr>
    <w:r w:rsidRPr="0003094F">
      <w:rPr>
        <w:rStyle w:val="PageNumber"/>
        <w:b/>
        <w:sz w:val="20"/>
        <w:szCs w:val="20"/>
        <w:lang w:val="fr-CA"/>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40D77" w14:textId="77777777" w:rsidR="00F45FD5" w:rsidRDefault="00F45FD5" w:rsidP="00CC533A">
      <w:pPr>
        <w:spacing w:after="0" w:line="240" w:lineRule="auto"/>
      </w:pPr>
      <w:r>
        <w:separator/>
      </w:r>
    </w:p>
  </w:footnote>
  <w:footnote w:type="continuationSeparator" w:id="0">
    <w:p w14:paraId="55A40D78" w14:textId="77777777" w:rsidR="00F45FD5" w:rsidRDefault="00F45FD5" w:rsidP="00CC5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60B20EA2"/>
    <w:lvl w:ilvl="0">
      <w:start w:val="1"/>
      <w:numFmt w:val="lowerLetter"/>
      <w:pStyle w:val="ListNumber2"/>
      <w:lvlText w:val="%1."/>
      <w:lvlJc w:val="left"/>
      <w:pPr>
        <w:ind w:left="720" w:hanging="360"/>
      </w:pPr>
    </w:lvl>
  </w:abstractNum>
  <w:abstractNum w:abstractNumId="1" w15:restartNumberingAfterBreak="0">
    <w:nsid w:val="FFFFFF88"/>
    <w:multiLevelType w:val="singleLevel"/>
    <w:tmpl w:val="1DD01E5C"/>
    <w:lvl w:ilvl="0">
      <w:start w:val="1"/>
      <w:numFmt w:val="decimal"/>
      <w:pStyle w:val="ListNumber"/>
      <w:lvlText w:val="%1."/>
      <w:lvlJc w:val="left"/>
      <w:pPr>
        <w:tabs>
          <w:tab w:val="num" w:pos="360"/>
        </w:tabs>
        <w:ind w:left="360" w:hanging="360"/>
      </w:pPr>
    </w:lvl>
  </w:abstractNum>
  <w:abstractNum w:abstractNumId="2" w15:restartNumberingAfterBreak="0">
    <w:nsid w:val="01F96DA2"/>
    <w:multiLevelType w:val="hybridMultilevel"/>
    <w:tmpl w:val="8C7046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3161E"/>
    <w:multiLevelType w:val="hybridMultilevel"/>
    <w:tmpl w:val="48A2CE32"/>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076D1FB3"/>
    <w:multiLevelType w:val="hybridMultilevel"/>
    <w:tmpl w:val="7E00246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B6B3F36"/>
    <w:multiLevelType w:val="hybridMultilevel"/>
    <w:tmpl w:val="7CB6D4DE"/>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48B53AA"/>
    <w:multiLevelType w:val="hybridMultilevel"/>
    <w:tmpl w:val="D06A1A48"/>
    <w:lvl w:ilvl="0" w:tplc="1009001B">
      <w:start w:val="1"/>
      <w:numFmt w:val="lowerRoman"/>
      <w:lvlText w:val="%1."/>
      <w:lvlJc w:val="righ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21FA1"/>
    <w:multiLevelType w:val="multilevel"/>
    <w:tmpl w:val="35208DBE"/>
    <w:lvl w:ilvl="0">
      <w:start w:val="4"/>
      <w:numFmt w:val="decimal"/>
      <w:lvlText w:val="%1"/>
      <w:lvlJc w:val="left"/>
      <w:pPr>
        <w:ind w:left="420" w:hanging="420"/>
      </w:pPr>
      <w:rPr>
        <w:rFonts w:hint="default"/>
      </w:rPr>
    </w:lvl>
    <w:lvl w:ilvl="1">
      <w:start w:val="1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76F373B"/>
    <w:multiLevelType w:val="hybridMultilevel"/>
    <w:tmpl w:val="48903FE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99C3DC8"/>
    <w:multiLevelType w:val="hybridMultilevel"/>
    <w:tmpl w:val="9EDCC6F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DDF3694"/>
    <w:multiLevelType w:val="hybridMultilevel"/>
    <w:tmpl w:val="A60A76DC"/>
    <w:lvl w:ilvl="0" w:tplc="10090003">
      <w:start w:val="1"/>
      <w:numFmt w:val="bullet"/>
      <w:lvlText w:val="o"/>
      <w:lvlJc w:val="left"/>
      <w:pPr>
        <w:ind w:left="1069" w:hanging="360"/>
      </w:pPr>
      <w:rPr>
        <w:rFonts w:ascii="Courier New" w:hAnsi="Courier New" w:cs="Courier New"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11" w15:restartNumberingAfterBreak="0">
    <w:nsid w:val="1F6051EE"/>
    <w:multiLevelType w:val="hybridMultilevel"/>
    <w:tmpl w:val="8EFCD328"/>
    <w:lvl w:ilvl="0" w:tplc="20304CA4">
      <w:start w:val="2"/>
      <w:numFmt w:val="lowerRoman"/>
      <w:lvlText w:val="%1."/>
      <w:lvlJc w:val="left"/>
      <w:pPr>
        <w:ind w:left="108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0255E68"/>
    <w:multiLevelType w:val="hybridMultilevel"/>
    <w:tmpl w:val="55B45E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495"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0AC31AF"/>
    <w:multiLevelType w:val="hybridMultilevel"/>
    <w:tmpl w:val="73146014"/>
    <w:lvl w:ilvl="0" w:tplc="24DED2B2">
      <w:start w:val="2"/>
      <w:numFmt w:val="lowerRoman"/>
      <w:lvlText w:val="%1."/>
      <w:lvlJc w:val="left"/>
      <w:pPr>
        <w:ind w:left="2421" w:hanging="720"/>
      </w:pPr>
      <w:rPr>
        <w:rFonts w:hint="default"/>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 w15:restartNumberingAfterBreak="0">
    <w:nsid w:val="26584A0E"/>
    <w:multiLevelType w:val="hybridMultilevel"/>
    <w:tmpl w:val="4E4E5AEA"/>
    <w:lvl w:ilvl="0" w:tplc="2C700C16">
      <w:start w:val="1"/>
      <w:numFmt w:val="low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211"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97B124B"/>
    <w:multiLevelType w:val="hybridMultilevel"/>
    <w:tmpl w:val="EBC44A5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B6456CC"/>
    <w:multiLevelType w:val="multilevel"/>
    <w:tmpl w:val="4036A650"/>
    <w:lvl w:ilvl="0">
      <w:start w:val="5"/>
      <w:numFmt w:val="decimal"/>
      <w:lvlText w:val="%1"/>
      <w:lvlJc w:val="left"/>
      <w:pPr>
        <w:tabs>
          <w:tab w:val="num" w:pos="540"/>
        </w:tabs>
        <w:ind w:left="540" w:hanging="540"/>
      </w:pPr>
    </w:lvl>
    <w:lvl w:ilvl="1">
      <w:start w:val="3"/>
      <w:numFmt w:val="decimal"/>
      <w:lvlText w:val="%1.%2"/>
      <w:lvlJc w:val="left"/>
      <w:pPr>
        <w:tabs>
          <w:tab w:val="num" w:pos="720"/>
        </w:tabs>
        <w:ind w:left="720" w:hanging="540"/>
      </w:pPr>
    </w:lvl>
    <w:lvl w:ilvl="2">
      <w:start w:val="1"/>
      <w:numFmt w:val="decimalZero"/>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440"/>
        </w:tabs>
        <w:ind w:left="1440" w:hanging="72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160"/>
        </w:tabs>
        <w:ind w:left="2160" w:hanging="108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80"/>
        </w:tabs>
        <w:ind w:left="2880" w:hanging="1440"/>
      </w:pPr>
    </w:lvl>
  </w:abstractNum>
  <w:abstractNum w:abstractNumId="17" w15:restartNumberingAfterBreak="0">
    <w:nsid w:val="348D49C6"/>
    <w:multiLevelType w:val="hybridMultilevel"/>
    <w:tmpl w:val="FFF28B86"/>
    <w:lvl w:ilvl="0" w:tplc="10090001">
      <w:start w:val="1"/>
      <w:numFmt w:val="bullet"/>
      <w:lvlText w:val=""/>
      <w:lvlJc w:val="left"/>
      <w:pPr>
        <w:ind w:left="1503" w:hanging="360"/>
      </w:pPr>
      <w:rPr>
        <w:rFonts w:ascii="Symbol" w:hAnsi="Symbol" w:hint="default"/>
      </w:rPr>
    </w:lvl>
    <w:lvl w:ilvl="1" w:tplc="10090003" w:tentative="1">
      <w:start w:val="1"/>
      <w:numFmt w:val="bullet"/>
      <w:lvlText w:val="o"/>
      <w:lvlJc w:val="left"/>
      <w:pPr>
        <w:ind w:left="2223" w:hanging="360"/>
      </w:pPr>
      <w:rPr>
        <w:rFonts w:ascii="Courier New" w:hAnsi="Courier New" w:cs="Courier New" w:hint="default"/>
      </w:rPr>
    </w:lvl>
    <w:lvl w:ilvl="2" w:tplc="10090005" w:tentative="1">
      <w:start w:val="1"/>
      <w:numFmt w:val="bullet"/>
      <w:lvlText w:val=""/>
      <w:lvlJc w:val="left"/>
      <w:pPr>
        <w:ind w:left="2943" w:hanging="360"/>
      </w:pPr>
      <w:rPr>
        <w:rFonts w:ascii="Wingdings" w:hAnsi="Wingdings" w:hint="default"/>
      </w:rPr>
    </w:lvl>
    <w:lvl w:ilvl="3" w:tplc="10090001" w:tentative="1">
      <w:start w:val="1"/>
      <w:numFmt w:val="bullet"/>
      <w:lvlText w:val=""/>
      <w:lvlJc w:val="left"/>
      <w:pPr>
        <w:ind w:left="3663" w:hanging="360"/>
      </w:pPr>
      <w:rPr>
        <w:rFonts w:ascii="Symbol" w:hAnsi="Symbol" w:hint="default"/>
      </w:rPr>
    </w:lvl>
    <w:lvl w:ilvl="4" w:tplc="10090003" w:tentative="1">
      <w:start w:val="1"/>
      <w:numFmt w:val="bullet"/>
      <w:lvlText w:val="o"/>
      <w:lvlJc w:val="left"/>
      <w:pPr>
        <w:ind w:left="4383" w:hanging="360"/>
      </w:pPr>
      <w:rPr>
        <w:rFonts w:ascii="Courier New" w:hAnsi="Courier New" w:cs="Courier New" w:hint="default"/>
      </w:rPr>
    </w:lvl>
    <w:lvl w:ilvl="5" w:tplc="10090005" w:tentative="1">
      <w:start w:val="1"/>
      <w:numFmt w:val="bullet"/>
      <w:lvlText w:val=""/>
      <w:lvlJc w:val="left"/>
      <w:pPr>
        <w:ind w:left="5103" w:hanging="360"/>
      </w:pPr>
      <w:rPr>
        <w:rFonts w:ascii="Wingdings" w:hAnsi="Wingdings" w:hint="default"/>
      </w:rPr>
    </w:lvl>
    <w:lvl w:ilvl="6" w:tplc="10090001" w:tentative="1">
      <w:start w:val="1"/>
      <w:numFmt w:val="bullet"/>
      <w:lvlText w:val=""/>
      <w:lvlJc w:val="left"/>
      <w:pPr>
        <w:ind w:left="5823" w:hanging="360"/>
      </w:pPr>
      <w:rPr>
        <w:rFonts w:ascii="Symbol" w:hAnsi="Symbol" w:hint="default"/>
      </w:rPr>
    </w:lvl>
    <w:lvl w:ilvl="7" w:tplc="10090003" w:tentative="1">
      <w:start w:val="1"/>
      <w:numFmt w:val="bullet"/>
      <w:lvlText w:val="o"/>
      <w:lvlJc w:val="left"/>
      <w:pPr>
        <w:ind w:left="6543" w:hanging="360"/>
      </w:pPr>
      <w:rPr>
        <w:rFonts w:ascii="Courier New" w:hAnsi="Courier New" w:cs="Courier New" w:hint="default"/>
      </w:rPr>
    </w:lvl>
    <w:lvl w:ilvl="8" w:tplc="10090005" w:tentative="1">
      <w:start w:val="1"/>
      <w:numFmt w:val="bullet"/>
      <w:lvlText w:val=""/>
      <w:lvlJc w:val="left"/>
      <w:pPr>
        <w:ind w:left="7263" w:hanging="360"/>
      </w:pPr>
      <w:rPr>
        <w:rFonts w:ascii="Wingdings" w:hAnsi="Wingdings" w:hint="default"/>
      </w:rPr>
    </w:lvl>
  </w:abstractNum>
  <w:abstractNum w:abstractNumId="18" w15:restartNumberingAfterBreak="0">
    <w:nsid w:val="3659426C"/>
    <w:multiLevelType w:val="hybridMultilevel"/>
    <w:tmpl w:val="00B2F430"/>
    <w:lvl w:ilvl="0" w:tplc="8A10FD86">
      <w:start w:val="7"/>
      <w:numFmt w:val="lowerLetter"/>
      <w:lvlText w:val="(%1)"/>
      <w:lvlJc w:val="left"/>
      <w:pPr>
        <w:tabs>
          <w:tab w:val="num" w:pos="1080"/>
        </w:tabs>
        <w:ind w:left="1080" w:hanging="360"/>
      </w:pPr>
      <w:rPr>
        <w:rFonts w:hint="default"/>
      </w:rPr>
    </w:lvl>
    <w:lvl w:ilvl="1" w:tplc="184C8844">
      <w:start w:val="1"/>
      <w:numFmt w:val="lowerRoman"/>
      <w:lvlText w:val="%2."/>
      <w:lvlJc w:val="left"/>
      <w:pPr>
        <w:tabs>
          <w:tab w:val="num" w:pos="1800"/>
        </w:tabs>
        <w:ind w:left="1800" w:hanging="360"/>
      </w:pPr>
      <w:rPr>
        <w:rFonts w:ascii="Times New Roman" w:eastAsia="Times New Roman" w:hAnsi="Times New Roman" w:cs="Times New Roman"/>
      </w:r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9" w15:restartNumberingAfterBreak="0">
    <w:nsid w:val="36C02ECB"/>
    <w:multiLevelType w:val="hybridMultilevel"/>
    <w:tmpl w:val="8B440FF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CA8AADF2">
      <w:start w:val="4"/>
      <w:numFmt w:val="lowerRoman"/>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BB13E39"/>
    <w:multiLevelType w:val="multilevel"/>
    <w:tmpl w:val="F4924FB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E004454"/>
    <w:multiLevelType w:val="hybridMultilevel"/>
    <w:tmpl w:val="DB4C954C"/>
    <w:lvl w:ilvl="0" w:tplc="BC9C60D8">
      <w:start w:val="3"/>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1032B2"/>
    <w:multiLevelType w:val="multilevel"/>
    <w:tmpl w:val="03E6108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0801E6E"/>
    <w:multiLevelType w:val="hybridMultilevel"/>
    <w:tmpl w:val="5840FF04"/>
    <w:lvl w:ilvl="0" w:tplc="10090019">
      <w:start w:val="1"/>
      <w:numFmt w:val="lowerLetter"/>
      <w:lvlText w:val="%1."/>
      <w:lvlJc w:val="left"/>
      <w:pPr>
        <w:ind w:left="1211" w:hanging="360"/>
      </w:pPr>
    </w:lvl>
    <w:lvl w:ilvl="1" w:tplc="1009001B">
      <w:start w:val="1"/>
      <w:numFmt w:val="lowerRoman"/>
      <w:lvlText w:val="%2."/>
      <w:lvlJc w:val="right"/>
      <w:pPr>
        <w:ind w:left="1800" w:hanging="360"/>
      </w:pPr>
    </w:lvl>
    <w:lvl w:ilvl="2" w:tplc="032AAE7A">
      <w:start w:val="1"/>
      <w:numFmt w:val="lowerRoman"/>
      <w:lvlText w:val="%3."/>
      <w:lvlJc w:val="right"/>
      <w:pPr>
        <w:ind w:left="2520" w:hanging="180"/>
      </w:pPr>
      <w:rPr>
        <w:rFonts w:ascii="Arial" w:eastAsiaTheme="minorHAnsi" w:hAnsi="Arial" w:cstheme="minorBidi"/>
      </w:rPr>
    </w:lvl>
    <w:lvl w:ilvl="3" w:tplc="1009000F">
      <w:start w:val="1"/>
      <w:numFmt w:val="decimal"/>
      <w:lvlText w:val="%4."/>
      <w:lvlJc w:val="left"/>
      <w:pPr>
        <w:ind w:left="3240" w:hanging="360"/>
      </w:pPr>
    </w:lvl>
    <w:lvl w:ilvl="4" w:tplc="F87E7A70">
      <w:start w:val="2"/>
      <w:numFmt w:val="upperRoman"/>
      <w:lvlText w:val="%5."/>
      <w:lvlJc w:val="left"/>
      <w:pPr>
        <w:ind w:left="4320" w:hanging="720"/>
      </w:pPr>
      <w:rPr>
        <w:rFonts w:hint="default"/>
      </w:r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42F1620C"/>
    <w:multiLevelType w:val="hybridMultilevel"/>
    <w:tmpl w:val="3DB80CB4"/>
    <w:lvl w:ilvl="0" w:tplc="1009001B">
      <w:start w:val="1"/>
      <w:numFmt w:val="lowerRoman"/>
      <w:lvlText w:val="%1."/>
      <w:lvlJc w:val="righ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078DE"/>
    <w:multiLevelType w:val="hybridMultilevel"/>
    <w:tmpl w:val="6E8A1D7A"/>
    <w:lvl w:ilvl="0" w:tplc="2EB8A1F4">
      <w:start w:val="1"/>
      <w:numFmt w:val="lowerRoman"/>
      <w:pStyle w:val="ListContinue2"/>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4714148A"/>
    <w:multiLevelType w:val="hybridMultilevel"/>
    <w:tmpl w:val="5BC294E4"/>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1DB1276"/>
    <w:multiLevelType w:val="hybridMultilevel"/>
    <w:tmpl w:val="D8CCACBE"/>
    <w:lvl w:ilvl="0" w:tplc="10366D3A">
      <w:start w:val="3"/>
      <w:numFmt w:val="lowerRoman"/>
      <w:lvlText w:val="%1."/>
      <w:lvlJc w:val="left"/>
      <w:pPr>
        <w:ind w:left="1996" w:hanging="720"/>
      </w:pPr>
      <w:rPr>
        <w:rFonts w:hint="default"/>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28" w15:restartNumberingAfterBreak="0">
    <w:nsid w:val="537205F9"/>
    <w:multiLevelType w:val="hybridMultilevel"/>
    <w:tmpl w:val="3DB80CB4"/>
    <w:lvl w:ilvl="0" w:tplc="1009001B">
      <w:start w:val="1"/>
      <w:numFmt w:val="lowerRoman"/>
      <w:lvlText w:val="%1."/>
      <w:lvlJc w:val="righ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4546C3"/>
    <w:multiLevelType w:val="multilevel"/>
    <w:tmpl w:val="F1B89F7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847015"/>
    <w:multiLevelType w:val="hybridMultilevel"/>
    <w:tmpl w:val="85EAE55E"/>
    <w:lvl w:ilvl="0" w:tplc="23C49548">
      <w:start w:val="1"/>
      <w:numFmt w:val="lowerRoman"/>
      <w:lvlText w:val="%1."/>
      <w:lvlJc w:val="left"/>
      <w:pPr>
        <w:ind w:left="1931" w:hanging="720"/>
      </w:pPr>
      <w:rPr>
        <w:rFonts w:hint="default"/>
      </w:rPr>
    </w:lvl>
    <w:lvl w:ilvl="1" w:tplc="10090019">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31" w15:restartNumberingAfterBreak="0">
    <w:nsid w:val="62E35A33"/>
    <w:multiLevelType w:val="hybridMultilevel"/>
    <w:tmpl w:val="5EEC00DC"/>
    <w:lvl w:ilvl="0" w:tplc="27BE0B7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63243132"/>
    <w:multiLevelType w:val="hybridMultilevel"/>
    <w:tmpl w:val="A95CBAC4"/>
    <w:lvl w:ilvl="0" w:tplc="92BA817A">
      <w:start w:val="1"/>
      <w:numFmt w:val="lowerLetter"/>
      <w:lvlText w:val="(%1)"/>
      <w:lvlJc w:val="left"/>
      <w:pPr>
        <w:ind w:left="720" w:hanging="72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33" w15:restartNumberingAfterBreak="0">
    <w:nsid w:val="665A4C17"/>
    <w:multiLevelType w:val="hybridMultilevel"/>
    <w:tmpl w:val="88B4CE76"/>
    <w:lvl w:ilvl="0" w:tplc="10090019">
      <w:start w:val="1"/>
      <w:numFmt w:val="lowerLetter"/>
      <w:lvlText w:val="%1."/>
      <w:lvlJc w:val="left"/>
      <w:pPr>
        <w:ind w:left="720" w:hanging="360"/>
      </w:pPr>
    </w:lvl>
    <w:lvl w:ilvl="1" w:tplc="1940268A">
      <w:start w:val="1"/>
      <w:numFmt w:val="lowerLetter"/>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80A1F78"/>
    <w:multiLevelType w:val="hybridMultilevel"/>
    <w:tmpl w:val="0846E750"/>
    <w:lvl w:ilvl="0" w:tplc="B1D4BF34">
      <w:start w:val="1"/>
      <w:numFmt w:val="decimal"/>
      <w:pStyle w:val="AppendixHeading"/>
      <w:lvlText w:val="Appendi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D7A3113"/>
    <w:multiLevelType w:val="hybridMultilevel"/>
    <w:tmpl w:val="C026FA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D940B69"/>
    <w:multiLevelType w:val="hybridMultilevel"/>
    <w:tmpl w:val="A1D87ECC"/>
    <w:lvl w:ilvl="0" w:tplc="781E86EC">
      <w:start w:val="3"/>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275562E"/>
    <w:multiLevelType w:val="hybridMultilevel"/>
    <w:tmpl w:val="D7F8E11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3ED1876"/>
    <w:multiLevelType w:val="multilevel"/>
    <w:tmpl w:val="3EE07AC8"/>
    <w:lvl w:ilvl="0">
      <w:start w:val="4"/>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252D4E"/>
    <w:multiLevelType w:val="hybridMultilevel"/>
    <w:tmpl w:val="F57655A8"/>
    <w:lvl w:ilvl="0" w:tplc="313A0D4A">
      <w:start w:val="11"/>
      <w:numFmt w:val="lowerLetter"/>
      <w:lvlText w:val="%1."/>
      <w:lvlJc w:val="left"/>
      <w:pPr>
        <w:ind w:left="1494" w:hanging="360"/>
      </w:pPr>
      <w:rPr>
        <w:rFonts w:hint="default"/>
      </w:rPr>
    </w:lvl>
    <w:lvl w:ilvl="1" w:tplc="A4DAB472">
      <w:start w:val="1"/>
      <w:numFmt w:val="lowerRoman"/>
      <w:lvlText w:val="%2."/>
      <w:lvlJc w:val="left"/>
      <w:pPr>
        <w:ind w:left="2214" w:hanging="360"/>
      </w:pPr>
      <w:rPr>
        <w:rFonts w:ascii="Arial" w:eastAsiaTheme="minorHAnsi" w:hAnsi="Arial" w:cstheme="minorBidi"/>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15:restartNumberingAfterBreak="0">
    <w:nsid w:val="7D0C05EB"/>
    <w:multiLevelType w:val="hybridMultilevel"/>
    <w:tmpl w:val="780AB332"/>
    <w:lvl w:ilvl="0" w:tplc="1009001B">
      <w:start w:val="1"/>
      <w:numFmt w:val="lowerRoman"/>
      <w:lvlText w:val="%1."/>
      <w:lvlJc w:val="right"/>
      <w:pPr>
        <w:ind w:left="18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5"/>
  </w:num>
  <w:num w:numId="4">
    <w:abstractNumId w:val="34"/>
  </w:num>
  <w:num w:numId="5">
    <w:abstractNumId w:val="31"/>
  </w:num>
  <w:num w:numId="6">
    <w:abstractNumId w:val="1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2"/>
  </w:num>
  <w:num w:numId="9">
    <w:abstractNumId w:val="32"/>
  </w:num>
  <w:num w:numId="10">
    <w:abstractNumId w:val="33"/>
  </w:num>
  <w:num w:numId="11">
    <w:abstractNumId w:val="8"/>
  </w:num>
  <w:num w:numId="12">
    <w:abstractNumId w:val="4"/>
  </w:num>
  <w:num w:numId="13">
    <w:abstractNumId w:val="19"/>
  </w:num>
  <w:num w:numId="14">
    <w:abstractNumId w:val="15"/>
  </w:num>
  <w:num w:numId="15">
    <w:abstractNumId w:val="9"/>
  </w:num>
  <w:num w:numId="16">
    <w:abstractNumId w:val="23"/>
  </w:num>
  <w:num w:numId="17">
    <w:abstractNumId w:val="5"/>
  </w:num>
  <w:num w:numId="18">
    <w:abstractNumId w:val="37"/>
  </w:num>
  <w:num w:numId="19">
    <w:abstractNumId w:val="26"/>
  </w:num>
  <w:num w:numId="20">
    <w:abstractNumId w:val="10"/>
  </w:num>
  <w:num w:numId="21">
    <w:abstractNumId w:val="2"/>
  </w:num>
  <w:num w:numId="22">
    <w:abstractNumId w:val="11"/>
  </w:num>
  <w:num w:numId="23">
    <w:abstractNumId w:val="14"/>
  </w:num>
  <w:num w:numId="24">
    <w:abstractNumId w:val="36"/>
  </w:num>
  <w:num w:numId="25">
    <w:abstractNumId w:val="27"/>
  </w:num>
  <w:num w:numId="26">
    <w:abstractNumId w:val="40"/>
  </w:num>
  <w:num w:numId="27">
    <w:abstractNumId w:val="30"/>
  </w:num>
  <w:num w:numId="28">
    <w:abstractNumId w:val="29"/>
  </w:num>
  <w:num w:numId="29">
    <w:abstractNumId w:val="38"/>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5"/>
  </w:num>
  <w:num w:numId="32">
    <w:abstractNumId w:val="21"/>
  </w:num>
  <w:num w:numId="33">
    <w:abstractNumId w:val="17"/>
  </w:num>
  <w:num w:numId="34">
    <w:abstractNumId w:val="12"/>
  </w:num>
  <w:num w:numId="35">
    <w:abstractNumId w:val="18"/>
  </w:num>
  <w:num w:numId="36">
    <w:abstractNumId w:val="24"/>
  </w:num>
  <w:num w:numId="37">
    <w:abstractNumId w:val="28"/>
  </w:num>
  <w:num w:numId="38">
    <w:abstractNumId w:val="6"/>
  </w:num>
  <w:num w:numId="39">
    <w:abstractNumId w:val="13"/>
  </w:num>
  <w:num w:numId="40">
    <w:abstractNumId w:val="39"/>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DA"/>
    <w:rsid w:val="00002456"/>
    <w:rsid w:val="00004A9B"/>
    <w:rsid w:val="0000635E"/>
    <w:rsid w:val="00007225"/>
    <w:rsid w:val="00011492"/>
    <w:rsid w:val="000127DD"/>
    <w:rsid w:val="00012AB2"/>
    <w:rsid w:val="00014299"/>
    <w:rsid w:val="000154D7"/>
    <w:rsid w:val="00016CF8"/>
    <w:rsid w:val="0003066E"/>
    <w:rsid w:val="0003094F"/>
    <w:rsid w:val="00032A7C"/>
    <w:rsid w:val="00036878"/>
    <w:rsid w:val="00047912"/>
    <w:rsid w:val="00060796"/>
    <w:rsid w:val="000620C2"/>
    <w:rsid w:val="000663F2"/>
    <w:rsid w:val="00067C08"/>
    <w:rsid w:val="00071673"/>
    <w:rsid w:val="000801F8"/>
    <w:rsid w:val="00082621"/>
    <w:rsid w:val="00085FD6"/>
    <w:rsid w:val="0009563E"/>
    <w:rsid w:val="000A00B5"/>
    <w:rsid w:val="000A14D9"/>
    <w:rsid w:val="000A169D"/>
    <w:rsid w:val="000A57AC"/>
    <w:rsid w:val="000A64FB"/>
    <w:rsid w:val="000B0C6A"/>
    <w:rsid w:val="000B38AB"/>
    <w:rsid w:val="000B68E2"/>
    <w:rsid w:val="000B6BEE"/>
    <w:rsid w:val="000C08F8"/>
    <w:rsid w:val="000C153C"/>
    <w:rsid w:val="000C2813"/>
    <w:rsid w:val="000C4020"/>
    <w:rsid w:val="000C5ADA"/>
    <w:rsid w:val="000C6828"/>
    <w:rsid w:val="000D1002"/>
    <w:rsid w:val="000D3988"/>
    <w:rsid w:val="000F0DBE"/>
    <w:rsid w:val="000F18EC"/>
    <w:rsid w:val="000F20B3"/>
    <w:rsid w:val="000F65EA"/>
    <w:rsid w:val="00101434"/>
    <w:rsid w:val="0010252D"/>
    <w:rsid w:val="00104095"/>
    <w:rsid w:val="00113772"/>
    <w:rsid w:val="00114C27"/>
    <w:rsid w:val="00116832"/>
    <w:rsid w:val="00121AE7"/>
    <w:rsid w:val="00122EA9"/>
    <w:rsid w:val="00123877"/>
    <w:rsid w:val="0012725E"/>
    <w:rsid w:val="00131C9E"/>
    <w:rsid w:val="00133114"/>
    <w:rsid w:val="0013491F"/>
    <w:rsid w:val="00141EFB"/>
    <w:rsid w:val="0015189F"/>
    <w:rsid w:val="001540C6"/>
    <w:rsid w:val="00160347"/>
    <w:rsid w:val="00160E63"/>
    <w:rsid w:val="00161A61"/>
    <w:rsid w:val="001742A4"/>
    <w:rsid w:val="001772E4"/>
    <w:rsid w:val="00182AF8"/>
    <w:rsid w:val="00183286"/>
    <w:rsid w:val="001836D4"/>
    <w:rsid w:val="0018374E"/>
    <w:rsid w:val="001843DB"/>
    <w:rsid w:val="00185E05"/>
    <w:rsid w:val="001B2B4D"/>
    <w:rsid w:val="001B4531"/>
    <w:rsid w:val="001B498C"/>
    <w:rsid w:val="001B7579"/>
    <w:rsid w:val="001D2B0B"/>
    <w:rsid w:val="001D3A2F"/>
    <w:rsid w:val="001D5D1B"/>
    <w:rsid w:val="001D7728"/>
    <w:rsid w:val="001E2BC2"/>
    <w:rsid w:val="001E310A"/>
    <w:rsid w:val="001E5FED"/>
    <w:rsid w:val="001F1FDE"/>
    <w:rsid w:val="001F3B01"/>
    <w:rsid w:val="001F518A"/>
    <w:rsid w:val="001F695C"/>
    <w:rsid w:val="002054D9"/>
    <w:rsid w:val="00211289"/>
    <w:rsid w:val="002160E0"/>
    <w:rsid w:val="00223E2C"/>
    <w:rsid w:val="002410D6"/>
    <w:rsid w:val="0024685D"/>
    <w:rsid w:val="00247359"/>
    <w:rsid w:val="0025231D"/>
    <w:rsid w:val="002600D0"/>
    <w:rsid w:val="00260997"/>
    <w:rsid w:val="00261C27"/>
    <w:rsid w:val="00262A07"/>
    <w:rsid w:val="002739CC"/>
    <w:rsid w:val="00277D36"/>
    <w:rsid w:val="0029463C"/>
    <w:rsid w:val="00297F3F"/>
    <w:rsid w:val="002A3EA6"/>
    <w:rsid w:val="002A58E9"/>
    <w:rsid w:val="002B058C"/>
    <w:rsid w:val="002B33DC"/>
    <w:rsid w:val="002C1C3E"/>
    <w:rsid w:val="002D4022"/>
    <w:rsid w:val="002D608B"/>
    <w:rsid w:val="002E3660"/>
    <w:rsid w:val="002F4216"/>
    <w:rsid w:val="003006F4"/>
    <w:rsid w:val="003007D9"/>
    <w:rsid w:val="00304851"/>
    <w:rsid w:val="003051EC"/>
    <w:rsid w:val="00306F39"/>
    <w:rsid w:val="00310D56"/>
    <w:rsid w:val="00313B0E"/>
    <w:rsid w:val="003158CE"/>
    <w:rsid w:val="00316390"/>
    <w:rsid w:val="00321806"/>
    <w:rsid w:val="0032376A"/>
    <w:rsid w:val="00330CAC"/>
    <w:rsid w:val="00332036"/>
    <w:rsid w:val="0034160C"/>
    <w:rsid w:val="00344575"/>
    <w:rsid w:val="00344BCC"/>
    <w:rsid w:val="00344F0A"/>
    <w:rsid w:val="00353CBA"/>
    <w:rsid w:val="00353F91"/>
    <w:rsid w:val="00354D02"/>
    <w:rsid w:val="003557D5"/>
    <w:rsid w:val="00357EA8"/>
    <w:rsid w:val="00363CF1"/>
    <w:rsid w:val="00365178"/>
    <w:rsid w:val="0038056E"/>
    <w:rsid w:val="00396DFC"/>
    <w:rsid w:val="003A0A8C"/>
    <w:rsid w:val="003A1E80"/>
    <w:rsid w:val="003A273D"/>
    <w:rsid w:val="003A2ADC"/>
    <w:rsid w:val="003A4122"/>
    <w:rsid w:val="003A5DF3"/>
    <w:rsid w:val="003A658E"/>
    <w:rsid w:val="003A6594"/>
    <w:rsid w:val="003B13FF"/>
    <w:rsid w:val="003B329A"/>
    <w:rsid w:val="003C2EF5"/>
    <w:rsid w:val="003C2F60"/>
    <w:rsid w:val="003C7EC9"/>
    <w:rsid w:val="003D18C3"/>
    <w:rsid w:val="003D4DC0"/>
    <w:rsid w:val="003D5029"/>
    <w:rsid w:val="003D5CB3"/>
    <w:rsid w:val="003E2056"/>
    <w:rsid w:val="003E3092"/>
    <w:rsid w:val="003E6B3D"/>
    <w:rsid w:val="003F08EB"/>
    <w:rsid w:val="003F2FE6"/>
    <w:rsid w:val="003F580E"/>
    <w:rsid w:val="003F6185"/>
    <w:rsid w:val="004024DD"/>
    <w:rsid w:val="00404E08"/>
    <w:rsid w:val="004212B5"/>
    <w:rsid w:val="004219E4"/>
    <w:rsid w:val="00423095"/>
    <w:rsid w:val="004246BD"/>
    <w:rsid w:val="00426507"/>
    <w:rsid w:val="00427FF8"/>
    <w:rsid w:val="0043319D"/>
    <w:rsid w:val="004362B6"/>
    <w:rsid w:val="004372F6"/>
    <w:rsid w:val="00456824"/>
    <w:rsid w:val="00460403"/>
    <w:rsid w:val="00461B47"/>
    <w:rsid w:val="00462F26"/>
    <w:rsid w:val="00467154"/>
    <w:rsid w:val="004712FF"/>
    <w:rsid w:val="00480B97"/>
    <w:rsid w:val="00481E2F"/>
    <w:rsid w:val="004829DF"/>
    <w:rsid w:val="00486E3C"/>
    <w:rsid w:val="004877ED"/>
    <w:rsid w:val="00495E01"/>
    <w:rsid w:val="004A0C0F"/>
    <w:rsid w:val="004A3DE0"/>
    <w:rsid w:val="004A5DED"/>
    <w:rsid w:val="004A6C38"/>
    <w:rsid w:val="004A6F7D"/>
    <w:rsid w:val="004A72C8"/>
    <w:rsid w:val="004B14C2"/>
    <w:rsid w:val="004B161F"/>
    <w:rsid w:val="004B1D8D"/>
    <w:rsid w:val="004B264E"/>
    <w:rsid w:val="004C4855"/>
    <w:rsid w:val="004D5B9F"/>
    <w:rsid w:val="004D62E2"/>
    <w:rsid w:val="004E1090"/>
    <w:rsid w:val="004E7338"/>
    <w:rsid w:val="004F00DD"/>
    <w:rsid w:val="004F106E"/>
    <w:rsid w:val="00502A58"/>
    <w:rsid w:val="0050410F"/>
    <w:rsid w:val="00504ABB"/>
    <w:rsid w:val="005052AF"/>
    <w:rsid w:val="005112CE"/>
    <w:rsid w:val="00513D3C"/>
    <w:rsid w:val="00517A87"/>
    <w:rsid w:val="005228F8"/>
    <w:rsid w:val="00540DDC"/>
    <w:rsid w:val="00552F05"/>
    <w:rsid w:val="00553145"/>
    <w:rsid w:val="0055716F"/>
    <w:rsid w:val="00560418"/>
    <w:rsid w:val="0056116D"/>
    <w:rsid w:val="005634DD"/>
    <w:rsid w:val="00564DC4"/>
    <w:rsid w:val="00567392"/>
    <w:rsid w:val="00567537"/>
    <w:rsid w:val="00575A61"/>
    <w:rsid w:val="00575D01"/>
    <w:rsid w:val="0057660A"/>
    <w:rsid w:val="00577288"/>
    <w:rsid w:val="005829D5"/>
    <w:rsid w:val="00583BE9"/>
    <w:rsid w:val="00593EEA"/>
    <w:rsid w:val="00596353"/>
    <w:rsid w:val="005972BB"/>
    <w:rsid w:val="00597A00"/>
    <w:rsid w:val="005A63B1"/>
    <w:rsid w:val="005A679B"/>
    <w:rsid w:val="005A67CD"/>
    <w:rsid w:val="005D1EF8"/>
    <w:rsid w:val="005D5991"/>
    <w:rsid w:val="005D5F54"/>
    <w:rsid w:val="005D77FA"/>
    <w:rsid w:val="005E1892"/>
    <w:rsid w:val="005F1D98"/>
    <w:rsid w:val="005F26DC"/>
    <w:rsid w:val="005F30A7"/>
    <w:rsid w:val="005F78EB"/>
    <w:rsid w:val="00600EEC"/>
    <w:rsid w:val="0060313F"/>
    <w:rsid w:val="00603DD8"/>
    <w:rsid w:val="00606D3E"/>
    <w:rsid w:val="00616C3F"/>
    <w:rsid w:val="0062465D"/>
    <w:rsid w:val="0063150A"/>
    <w:rsid w:val="00635B6B"/>
    <w:rsid w:val="00640FAC"/>
    <w:rsid w:val="006424C7"/>
    <w:rsid w:val="006469CA"/>
    <w:rsid w:val="00647500"/>
    <w:rsid w:val="00650577"/>
    <w:rsid w:val="00651205"/>
    <w:rsid w:val="0065137D"/>
    <w:rsid w:val="00653891"/>
    <w:rsid w:val="00653F77"/>
    <w:rsid w:val="006547C5"/>
    <w:rsid w:val="00662EC3"/>
    <w:rsid w:val="00663140"/>
    <w:rsid w:val="00673346"/>
    <w:rsid w:val="0068232F"/>
    <w:rsid w:val="00686199"/>
    <w:rsid w:val="006869DD"/>
    <w:rsid w:val="006918FE"/>
    <w:rsid w:val="0069526D"/>
    <w:rsid w:val="00696EB4"/>
    <w:rsid w:val="00697464"/>
    <w:rsid w:val="006A12A8"/>
    <w:rsid w:val="006A41BA"/>
    <w:rsid w:val="006B34E6"/>
    <w:rsid w:val="006C252B"/>
    <w:rsid w:val="006C30F6"/>
    <w:rsid w:val="006C51EE"/>
    <w:rsid w:val="006C6ED2"/>
    <w:rsid w:val="006D0AC4"/>
    <w:rsid w:val="006D37AC"/>
    <w:rsid w:val="006D3C36"/>
    <w:rsid w:val="006D3C7A"/>
    <w:rsid w:val="006E1DF0"/>
    <w:rsid w:val="006E2F24"/>
    <w:rsid w:val="006E4ED8"/>
    <w:rsid w:val="006E51F8"/>
    <w:rsid w:val="006F0F66"/>
    <w:rsid w:val="006F75BB"/>
    <w:rsid w:val="006F7E5E"/>
    <w:rsid w:val="00706045"/>
    <w:rsid w:val="007112F6"/>
    <w:rsid w:val="007138D4"/>
    <w:rsid w:val="00716B21"/>
    <w:rsid w:val="00717234"/>
    <w:rsid w:val="00722806"/>
    <w:rsid w:val="00730095"/>
    <w:rsid w:val="00730FD0"/>
    <w:rsid w:val="00734BF8"/>
    <w:rsid w:val="00736EB7"/>
    <w:rsid w:val="0073710A"/>
    <w:rsid w:val="00740A65"/>
    <w:rsid w:val="00743319"/>
    <w:rsid w:val="00745533"/>
    <w:rsid w:val="007552B3"/>
    <w:rsid w:val="00760A58"/>
    <w:rsid w:val="0076565F"/>
    <w:rsid w:val="0077411A"/>
    <w:rsid w:val="0077755C"/>
    <w:rsid w:val="0078437C"/>
    <w:rsid w:val="0078486C"/>
    <w:rsid w:val="007904C6"/>
    <w:rsid w:val="00792F08"/>
    <w:rsid w:val="00793193"/>
    <w:rsid w:val="00794D1F"/>
    <w:rsid w:val="007A48F7"/>
    <w:rsid w:val="007A6849"/>
    <w:rsid w:val="007A6F58"/>
    <w:rsid w:val="007B1A56"/>
    <w:rsid w:val="007B53AD"/>
    <w:rsid w:val="007C37E3"/>
    <w:rsid w:val="007C4D92"/>
    <w:rsid w:val="007C601A"/>
    <w:rsid w:val="007D03E3"/>
    <w:rsid w:val="007D20E8"/>
    <w:rsid w:val="007D305D"/>
    <w:rsid w:val="007D3F31"/>
    <w:rsid w:val="007D4C36"/>
    <w:rsid w:val="007E13B3"/>
    <w:rsid w:val="007E5A4B"/>
    <w:rsid w:val="007F3AED"/>
    <w:rsid w:val="007F61E0"/>
    <w:rsid w:val="00803E15"/>
    <w:rsid w:val="00811F10"/>
    <w:rsid w:val="008150BB"/>
    <w:rsid w:val="00823DE7"/>
    <w:rsid w:val="00840E0A"/>
    <w:rsid w:val="00847D89"/>
    <w:rsid w:val="00855472"/>
    <w:rsid w:val="00857BB0"/>
    <w:rsid w:val="00864DA0"/>
    <w:rsid w:val="00870AA9"/>
    <w:rsid w:val="008776FB"/>
    <w:rsid w:val="00881AE3"/>
    <w:rsid w:val="008842D9"/>
    <w:rsid w:val="00884FB9"/>
    <w:rsid w:val="008879E1"/>
    <w:rsid w:val="00887EB8"/>
    <w:rsid w:val="00891200"/>
    <w:rsid w:val="00892B03"/>
    <w:rsid w:val="008A2F32"/>
    <w:rsid w:val="008A39CA"/>
    <w:rsid w:val="008A6FEF"/>
    <w:rsid w:val="008C4C1E"/>
    <w:rsid w:val="008C4D57"/>
    <w:rsid w:val="008C6BBD"/>
    <w:rsid w:val="008D1B3A"/>
    <w:rsid w:val="008D6300"/>
    <w:rsid w:val="008D7DEF"/>
    <w:rsid w:val="008E1A18"/>
    <w:rsid w:val="008E6777"/>
    <w:rsid w:val="008F140C"/>
    <w:rsid w:val="0090267E"/>
    <w:rsid w:val="009076E8"/>
    <w:rsid w:val="009147BF"/>
    <w:rsid w:val="00915103"/>
    <w:rsid w:val="00921F1A"/>
    <w:rsid w:val="009241E8"/>
    <w:rsid w:val="00926806"/>
    <w:rsid w:val="00933ADD"/>
    <w:rsid w:val="00940646"/>
    <w:rsid w:val="009407D9"/>
    <w:rsid w:val="009438F1"/>
    <w:rsid w:val="00947902"/>
    <w:rsid w:val="00951B17"/>
    <w:rsid w:val="00953131"/>
    <w:rsid w:val="0095497A"/>
    <w:rsid w:val="009576C6"/>
    <w:rsid w:val="009627A2"/>
    <w:rsid w:val="009634A4"/>
    <w:rsid w:val="0096441F"/>
    <w:rsid w:val="00964D00"/>
    <w:rsid w:val="00966B53"/>
    <w:rsid w:val="00967C82"/>
    <w:rsid w:val="00975AE7"/>
    <w:rsid w:val="00975B32"/>
    <w:rsid w:val="00977CC5"/>
    <w:rsid w:val="00977D9D"/>
    <w:rsid w:val="00981EC2"/>
    <w:rsid w:val="00984350"/>
    <w:rsid w:val="009868C5"/>
    <w:rsid w:val="00987B7E"/>
    <w:rsid w:val="00991CAD"/>
    <w:rsid w:val="00996B88"/>
    <w:rsid w:val="00997F75"/>
    <w:rsid w:val="009A128B"/>
    <w:rsid w:val="009B75DB"/>
    <w:rsid w:val="009C3811"/>
    <w:rsid w:val="009C5B97"/>
    <w:rsid w:val="009D648A"/>
    <w:rsid w:val="009E0880"/>
    <w:rsid w:val="009E2B00"/>
    <w:rsid w:val="009E40C8"/>
    <w:rsid w:val="009E4F2B"/>
    <w:rsid w:val="009E7857"/>
    <w:rsid w:val="009F11EF"/>
    <w:rsid w:val="009F594B"/>
    <w:rsid w:val="00A04A82"/>
    <w:rsid w:val="00A05E66"/>
    <w:rsid w:val="00A0648A"/>
    <w:rsid w:val="00A10402"/>
    <w:rsid w:val="00A12FF1"/>
    <w:rsid w:val="00A13146"/>
    <w:rsid w:val="00A21423"/>
    <w:rsid w:val="00A21CDB"/>
    <w:rsid w:val="00A21E00"/>
    <w:rsid w:val="00A230E0"/>
    <w:rsid w:val="00A41553"/>
    <w:rsid w:val="00A468A3"/>
    <w:rsid w:val="00A519EC"/>
    <w:rsid w:val="00A538B9"/>
    <w:rsid w:val="00A55B00"/>
    <w:rsid w:val="00A565AD"/>
    <w:rsid w:val="00A617A2"/>
    <w:rsid w:val="00A70EDD"/>
    <w:rsid w:val="00A7233A"/>
    <w:rsid w:val="00A73A26"/>
    <w:rsid w:val="00A747C2"/>
    <w:rsid w:val="00A75EE2"/>
    <w:rsid w:val="00A80F99"/>
    <w:rsid w:val="00A8233F"/>
    <w:rsid w:val="00A8566B"/>
    <w:rsid w:val="00A94CA4"/>
    <w:rsid w:val="00A95247"/>
    <w:rsid w:val="00A96E5C"/>
    <w:rsid w:val="00AA2540"/>
    <w:rsid w:val="00AA2A47"/>
    <w:rsid w:val="00AA6753"/>
    <w:rsid w:val="00AA7D1E"/>
    <w:rsid w:val="00AA7F9E"/>
    <w:rsid w:val="00AB2493"/>
    <w:rsid w:val="00AB3BC1"/>
    <w:rsid w:val="00AB4141"/>
    <w:rsid w:val="00AB6A6B"/>
    <w:rsid w:val="00AC3A99"/>
    <w:rsid w:val="00AC5D1C"/>
    <w:rsid w:val="00AD209F"/>
    <w:rsid w:val="00AD56D5"/>
    <w:rsid w:val="00AD742F"/>
    <w:rsid w:val="00AE106E"/>
    <w:rsid w:val="00AE1A96"/>
    <w:rsid w:val="00AE348F"/>
    <w:rsid w:val="00AE5BAA"/>
    <w:rsid w:val="00AE7E95"/>
    <w:rsid w:val="00AF35F7"/>
    <w:rsid w:val="00AF5828"/>
    <w:rsid w:val="00AF7379"/>
    <w:rsid w:val="00AF73FE"/>
    <w:rsid w:val="00B014BB"/>
    <w:rsid w:val="00B015AC"/>
    <w:rsid w:val="00B01E0C"/>
    <w:rsid w:val="00B07EF4"/>
    <w:rsid w:val="00B13559"/>
    <w:rsid w:val="00B20483"/>
    <w:rsid w:val="00B21C77"/>
    <w:rsid w:val="00B2345E"/>
    <w:rsid w:val="00B2353E"/>
    <w:rsid w:val="00B24541"/>
    <w:rsid w:val="00B25AB0"/>
    <w:rsid w:val="00B26B4F"/>
    <w:rsid w:val="00B30737"/>
    <w:rsid w:val="00B30B0E"/>
    <w:rsid w:val="00B3355B"/>
    <w:rsid w:val="00B33D4B"/>
    <w:rsid w:val="00B418E7"/>
    <w:rsid w:val="00B42BDD"/>
    <w:rsid w:val="00B47FD5"/>
    <w:rsid w:val="00B55ED1"/>
    <w:rsid w:val="00B577ED"/>
    <w:rsid w:val="00B616CD"/>
    <w:rsid w:val="00B646B1"/>
    <w:rsid w:val="00B77BA7"/>
    <w:rsid w:val="00B8408D"/>
    <w:rsid w:val="00B86A1F"/>
    <w:rsid w:val="00B87390"/>
    <w:rsid w:val="00B90FF7"/>
    <w:rsid w:val="00B935AD"/>
    <w:rsid w:val="00B9513A"/>
    <w:rsid w:val="00B95669"/>
    <w:rsid w:val="00B966CD"/>
    <w:rsid w:val="00BA0BE2"/>
    <w:rsid w:val="00BA2993"/>
    <w:rsid w:val="00BA2CE8"/>
    <w:rsid w:val="00BA2F6A"/>
    <w:rsid w:val="00BA3D09"/>
    <w:rsid w:val="00BA6FFE"/>
    <w:rsid w:val="00BB129B"/>
    <w:rsid w:val="00BB45B8"/>
    <w:rsid w:val="00BC55D9"/>
    <w:rsid w:val="00BC6345"/>
    <w:rsid w:val="00BD1FF5"/>
    <w:rsid w:val="00BD2024"/>
    <w:rsid w:val="00BD3CC9"/>
    <w:rsid w:val="00BD5AAA"/>
    <w:rsid w:val="00BD7649"/>
    <w:rsid w:val="00BE4338"/>
    <w:rsid w:val="00BE4660"/>
    <w:rsid w:val="00BE67EE"/>
    <w:rsid w:val="00BF2CB7"/>
    <w:rsid w:val="00BF3A45"/>
    <w:rsid w:val="00C031CD"/>
    <w:rsid w:val="00C06633"/>
    <w:rsid w:val="00C114C6"/>
    <w:rsid w:val="00C11AA8"/>
    <w:rsid w:val="00C21103"/>
    <w:rsid w:val="00C21606"/>
    <w:rsid w:val="00C247F5"/>
    <w:rsid w:val="00C24FBC"/>
    <w:rsid w:val="00C26BF2"/>
    <w:rsid w:val="00C27A21"/>
    <w:rsid w:val="00C31602"/>
    <w:rsid w:val="00C34D03"/>
    <w:rsid w:val="00C419CB"/>
    <w:rsid w:val="00C42EB6"/>
    <w:rsid w:val="00C43BE7"/>
    <w:rsid w:val="00C53714"/>
    <w:rsid w:val="00C54618"/>
    <w:rsid w:val="00C56346"/>
    <w:rsid w:val="00C57A16"/>
    <w:rsid w:val="00C60A2A"/>
    <w:rsid w:val="00C63901"/>
    <w:rsid w:val="00C80653"/>
    <w:rsid w:val="00C848DB"/>
    <w:rsid w:val="00C86EBC"/>
    <w:rsid w:val="00C916EB"/>
    <w:rsid w:val="00C91A86"/>
    <w:rsid w:val="00CA1A6E"/>
    <w:rsid w:val="00CA288F"/>
    <w:rsid w:val="00CA3BEA"/>
    <w:rsid w:val="00CB7192"/>
    <w:rsid w:val="00CC3E66"/>
    <w:rsid w:val="00CC533A"/>
    <w:rsid w:val="00CC5829"/>
    <w:rsid w:val="00CC5C06"/>
    <w:rsid w:val="00CD3945"/>
    <w:rsid w:val="00CD4DCE"/>
    <w:rsid w:val="00CD507A"/>
    <w:rsid w:val="00CE02E9"/>
    <w:rsid w:val="00CE23D2"/>
    <w:rsid w:val="00CE329B"/>
    <w:rsid w:val="00CF0D5E"/>
    <w:rsid w:val="00CF2CBA"/>
    <w:rsid w:val="00CF7E0D"/>
    <w:rsid w:val="00D00B1D"/>
    <w:rsid w:val="00D077FE"/>
    <w:rsid w:val="00D10C51"/>
    <w:rsid w:val="00D11FEC"/>
    <w:rsid w:val="00D12607"/>
    <w:rsid w:val="00D13F14"/>
    <w:rsid w:val="00D14560"/>
    <w:rsid w:val="00D24EA9"/>
    <w:rsid w:val="00D265F3"/>
    <w:rsid w:val="00D30E1A"/>
    <w:rsid w:val="00D30E7A"/>
    <w:rsid w:val="00D312D9"/>
    <w:rsid w:val="00D401C3"/>
    <w:rsid w:val="00D40AEB"/>
    <w:rsid w:val="00D42CFB"/>
    <w:rsid w:val="00D44B9C"/>
    <w:rsid w:val="00D47555"/>
    <w:rsid w:val="00D551CA"/>
    <w:rsid w:val="00D55F22"/>
    <w:rsid w:val="00D71F05"/>
    <w:rsid w:val="00D73E21"/>
    <w:rsid w:val="00D76E9C"/>
    <w:rsid w:val="00D8053C"/>
    <w:rsid w:val="00D867B5"/>
    <w:rsid w:val="00D90730"/>
    <w:rsid w:val="00D91A1D"/>
    <w:rsid w:val="00D91D76"/>
    <w:rsid w:val="00D931DF"/>
    <w:rsid w:val="00D94517"/>
    <w:rsid w:val="00D94DA0"/>
    <w:rsid w:val="00D96143"/>
    <w:rsid w:val="00DA77F8"/>
    <w:rsid w:val="00DB3BA2"/>
    <w:rsid w:val="00DB5143"/>
    <w:rsid w:val="00DB7852"/>
    <w:rsid w:val="00DC0E8F"/>
    <w:rsid w:val="00DC68AB"/>
    <w:rsid w:val="00DD0709"/>
    <w:rsid w:val="00DD27C2"/>
    <w:rsid w:val="00DF25E6"/>
    <w:rsid w:val="00DF33D6"/>
    <w:rsid w:val="00DF6BD0"/>
    <w:rsid w:val="00E0362D"/>
    <w:rsid w:val="00E106DE"/>
    <w:rsid w:val="00E210BD"/>
    <w:rsid w:val="00E22A2B"/>
    <w:rsid w:val="00E32658"/>
    <w:rsid w:val="00E3532E"/>
    <w:rsid w:val="00E35E0E"/>
    <w:rsid w:val="00E428E8"/>
    <w:rsid w:val="00E50E89"/>
    <w:rsid w:val="00E521A5"/>
    <w:rsid w:val="00E60DAB"/>
    <w:rsid w:val="00E65F46"/>
    <w:rsid w:val="00E674BD"/>
    <w:rsid w:val="00E674DC"/>
    <w:rsid w:val="00E67946"/>
    <w:rsid w:val="00E707AA"/>
    <w:rsid w:val="00E74C81"/>
    <w:rsid w:val="00E80388"/>
    <w:rsid w:val="00E82131"/>
    <w:rsid w:val="00E869F8"/>
    <w:rsid w:val="00EA5BE2"/>
    <w:rsid w:val="00EB18B3"/>
    <w:rsid w:val="00EB2B50"/>
    <w:rsid w:val="00EB2B81"/>
    <w:rsid w:val="00EB6134"/>
    <w:rsid w:val="00EC0AC6"/>
    <w:rsid w:val="00EC58C6"/>
    <w:rsid w:val="00ED1616"/>
    <w:rsid w:val="00ED20D5"/>
    <w:rsid w:val="00ED4FA5"/>
    <w:rsid w:val="00EE0165"/>
    <w:rsid w:val="00EE03A6"/>
    <w:rsid w:val="00EE5F30"/>
    <w:rsid w:val="00EF1741"/>
    <w:rsid w:val="00EF32D7"/>
    <w:rsid w:val="00EF6E73"/>
    <w:rsid w:val="00EF7BCB"/>
    <w:rsid w:val="00F042CB"/>
    <w:rsid w:val="00F066B4"/>
    <w:rsid w:val="00F3002B"/>
    <w:rsid w:val="00F34A8F"/>
    <w:rsid w:val="00F36E9C"/>
    <w:rsid w:val="00F40310"/>
    <w:rsid w:val="00F42287"/>
    <w:rsid w:val="00F45FD5"/>
    <w:rsid w:val="00F51361"/>
    <w:rsid w:val="00F53AB7"/>
    <w:rsid w:val="00F547B2"/>
    <w:rsid w:val="00F55D77"/>
    <w:rsid w:val="00F63412"/>
    <w:rsid w:val="00F64021"/>
    <w:rsid w:val="00F66BAA"/>
    <w:rsid w:val="00F66FD9"/>
    <w:rsid w:val="00F726B5"/>
    <w:rsid w:val="00F80BAD"/>
    <w:rsid w:val="00F813A9"/>
    <w:rsid w:val="00F823AE"/>
    <w:rsid w:val="00F82836"/>
    <w:rsid w:val="00F9017D"/>
    <w:rsid w:val="00F9682F"/>
    <w:rsid w:val="00FA1C81"/>
    <w:rsid w:val="00FA20D7"/>
    <w:rsid w:val="00FA2C59"/>
    <w:rsid w:val="00FA3872"/>
    <w:rsid w:val="00FA57E7"/>
    <w:rsid w:val="00FA6353"/>
    <w:rsid w:val="00FB082F"/>
    <w:rsid w:val="00FB57C0"/>
    <w:rsid w:val="00FC52E2"/>
    <w:rsid w:val="00FC643D"/>
    <w:rsid w:val="00FC655B"/>
    <w:rsid w:val="00FD1489"/>
    <w:rsid w:val="00FE017E"/>
    <w:rsid w:val="00FE2E08"/>
    <w:rsid w:val="00FF59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55A40B72"/>
  <w15:docId w15:val="{3E30AC8B-8F16-47B1-B043-D48A4982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50"/>
    <w:rPr>
      <w:rFonts w:ascii="Arial" w:hAnsi="Arial"/>
    </w:rPr>
  </w:style>
  <w:style w:type="paragraph" w:styleId="Heading1">
    <w:name w:val="heading 1"/>
    <w:basedOn w:val="Normal"/>
    <w:link w:val="Heading1Char"/>
    <w:uiPriority w:val="9"/>
    <w:qFormat/>
    <w:rsid w:val="00653F77"/>
    <w:pPr>
      <w:keepNext/>
      <w:keepLines/>
      <w:spacing w:before="480" w:after="480" w:line="240" w:lineRule="auto"/>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9"/>
    <w:unhideWhenUsed/>
    <w:qFormat/>
    <w:rsid w:val="000620C2"/>
    <w:pPr>
      <w:keepNext/>
      <w:keepLines/>
      <w:spacing w:before="240" w:after="240" w:line="240" w:lineRule="auto"/>
      <w:outlineLvl w:val="1"/>
    </w:pPr>
    <w:rPr>
      <w:rFonts w:eastAsiaTheme="majorEastAsia" w:cstheme="majorBidi"/>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F77"/>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0620C2"/>
    <w:rPr>
      <w:rFonts w:ascii="Arial" w:eastAsiaTheme="majorEastAsia" w:hAnsi="Arial" w:cstheme="majorBidi"/>
      <w:bCs/>
      <w:sz w:val="26"/>
      <w:szCs w:val="26"/>
      <w:u w:val="single"/>
    </w:rPr>
  </w:style>
  <w:style w:type="character" w:styleId="PlaceholderText">
    <w:name w:val="Placeholder Text"/>
    <w:basedOn w:val="DefaultParagraphFont"/>
    <w:uiPriority w:val="99"/>
    <w:semiHidden/>
    <w:rsid w:val="00653F77"/>
    <w:rPr>
      <w:color w:val="808080"/>
    </w:rPr>
  </w:style>
  <w:style w:type="paragraph" w:styleId="BalloonText">
    <w:name w:val="Balloon Text"/>
    <w:basedOn w:val="Normal"/>
    <w:link w:val="BalloonTextChar"/>
    <w:uiPriority w:val="99"/>
    <w:semiHidden/>
    <w:unhideWhenUsed/>
    <w:rsid w:val="0065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77"/>
    <w:rPr>
      <w:rFonts w:ascii="Tahoma" w:hAnsi="Tahoma" w:cs="Tahoma"/>
      <w:sz w:val="16"/>
      <w:szCs w:val="16"/>
    </w:rPr>
  </w:style>
  <w:style w:type="table" w:styleId="TableGrid">
    <w:name w:val="Table Grid"/>
    <w:basedOn w:val="TableNormal"/>
    <w:rsid w:val="00653F7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53F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653F77"/>
    <w:pPr>
      <w:spacing w:line="240" w:lineRule="auto"/>
    </w:pPr>
    <w:rPr>
      <w:b/>
      <w:bCs/>
      <w:szCs w:val="18"/>
    </w:rPr>
  </w:style>
  <w:style w:type="paragraph" w:styleId="ListNumber">
    <w:name w:val="List Number"/>
    <w:basedOn w:val="Normal"/>
    <w:uiPriority w:val="99"/>
    <w:unhideWhenUsed/>
    <w:rsid w:val="00653F77"/>
    <w:pPr>
      <w:numPr>
        <w:numId w:val="1"/>
      </w:numPr>
      <w:contextualSpacing/>
    </w:pPr>
  </w:style>
  <w:style w:type="paragraph" w:styleId="ListNumber2">
    <w:name w:val="List Number 2"/>
    <w:basedOn w:val="Normal"/>
    <w:uiPriority w:val="99"/>
    <w:unhideWhenUsed/>
    <w:rsid w:val="00EB2B50"/>
    <w:pPr>
      <w:numPr>
        <w:numId w:val="2"/>
      </w:numPr>
      <w:ind w:left="1080"/>
      <w:contextualSpacing/>
    </w:pPr>
  </w:style>
  <w:style w:type="paragraph" w:styleId="ListContinue2">
    <w:name w:val="List Continue 2"/>
    <w:basedOn w:val="Normal"/>
    <w:uiPriority w:val="99"/>
    <w:unhideWhenUsed/>
    <w:rsid w:val="00EB2B50"/>
    <w:pPr>
      <w:numPr>
        <w:numId w:val="3"/>
      </w:numPr>
      <w:spacing w:after="120"/>
      <w:ind w:left="1080"/>
      <w:contextualSpacing/>
    </w:pPr>
  </w:style>
  <w:style w:type="paragraph" w:styleId="Signature">
    <w:name w:val="Signature"/>
    <w:basedOn w:val="Normal"/>
    <w:link w:val="SignatureChar"/>
    <w:uiPriority w:val="99"/>
    <w:unhideWhenUsed/>
    <w:rsid w:val="000A64FB"/>
    <w:pPr>
      <w:spacing w:after="0" w:line="240" w:lineRule="auto"/>
      <w:ind w:left="4320"/>
    </w:pPr>
  </w:style>
  <w:style w:type="character" w:customStyle="1" w:styleId="SignatureChar">
    <w:name w:val="Signature Char"/>
    <w:basedOn w:val="DefaultParagraphFont"/>
    <w:link w:val="Signature"/>
    <w:uiPriority w:val="99"/>
    <w:rsid w:val="000A64FB"/>
    <w:rPr>
      <w:rFonts w:ascii="Arial" w:hAnsi="Arial"/>
    </w:rPr>
  </w:style>
  <w:style w:type="paragraph" w:customStyle="1" w:styleId="AppendixHeading">
    <w:name w:val="Appendix Heading"/>
    <w:basedOn w:val="Heading1"/>
    <w:link w:val="AppendixHeadingChar"/>
    <w:qFormat/>
    <w:rsid w:val="00CC533A"/>
    <w:pPr>
      <w:pageBreakBefore/>
      <w:numPr>
        <w:numId w:val="4"/>
      </w:numPr>
      <w:ind w:left="360"/>
    </w:pPr>
  </w:style>
  <w:style w:type="paragraph" w:styleId="Title">
    <w:name w:val="Title"/>
    <w:basedOn w:val="Normal"/>
    <w:next w:val="Normal"/>
    <w:link w:val="TitleChar"/>
    <w:uiPriority w:val="10"/>
    <w:qFormat/>
    <w:rsid w:val="00B015AC"/>
    <w:pPr>
      <w:spacing w:after="240" w:line="240" w:lineRule="auto"/>
      <w:ind w:left="2160" w:right="2160"/>
      <w:contextualSpacing/>
      <w:jc w:val="center"/>
    </w:pPr>
    <w:rPr>
      <w:rFonts w:eastAsiaTheme="majorEastAsia" w:cstheme="majorBidi"/>
      <w:b/>
      <w:spacing w:val="5"/>
      <w:kern w:val="28"/>
      <w:szCs w:val="52"/>
    </w:rPr>
  </w:style>
  <w:style w:type="character" w:customStyle="1" w:styleId="AppendixHeadingChar">
    <w:name w:val="Appendix Heading Char"/>
    <w:basedOn w:val="Heading1Char"/>
    <w:link w:val="AppendixHeading"/>
    <w:rsid w:val="00CC533A"/>
    <w:rPr>
      <w:rFonts w:ascii="Arial" w:eastAsiaTheme="majorEastAsia" w:hAnsi="Arial" w:cstheme="majorBidi"/>
      <w:b/>
      <w:bCs/>
      <w:color w:val="000000" w:themeColor="text1"/>
      <w:sz w:val="28"/>
      <w:szCs w:val="28"/>
    </w:rPr>
  </w:style>
  <w:style w:type="character" w:customStyle="1" w:styleId="TitleChar">
    <w:name w:val="Title Char"/>
    <w:basedOn w:val="DefaultParagraphFont"/>
    <w:link w:val="Title"/>
    <w:uiPriority w:val="10"/>
    <w:rsid w:val="00B015AC"/>
    <w:rPr>
      <w:rFonts w:ascii="Arial" w:eastAsiaTheme="majorEastAsia" w:hAnsi="Arial" w:cstheme="majorBidi"/>
      <w:b/>
      <w:spacing w:val="5"/>
      <w:kern w:val="28"/>
      <w:szCs w:val="52"/>
    </w:rPr>
  </w:style>
  <w:style w:type="paragraph" w:styleId="Subtitle">
    <w:name w:val="Subtitle"/>
    <w:basedOn w:val="Normal"/>
    <w:next w:val="Normal"/>
    <w:link w:val="SubtitleChar"/>
    <w:uiPriority w:val="11"/>
    <w:qFormat/>
    <w:rsid w:val="002B33DC"/>
    <w:pPr>
      <w:numPr>
        <w:ilvl w:val="1"/>
      </w:numPr>
      <w:spacing w:after="0" w:line="240" w:lineRule="auto"/>
      <w:jc w:val="center"/>
    </w:pPr>
    <w:rPr>
      <w:rFonts w:eastAsiaTheme="majorEastAsia" w:cstheme="majorBidi"/>
      <w:iCs/>
      <w:spacing w:val="15"/>
      <w:szCs w:val="24"/>
    </w:rPr>
  </w:style>
  <w:style w:type="character" w:customStyle="1" w:styleId="SubtitleChar">
    <w:name w:val="Subtitle Char"/>
    <w:basedOn w:val="DefaultParagraphFont"/>
    <w:link w:val="Subtitle"/>
    <w:uiPriority w:val="11"/>
    <w:rsid w:val="002B33DC"/>
    <w:rPr>
      <w:rFonts w:ascii="Arial" w:eastAsiaTheme="majorEastAsia" w:hAnsi="Arial" w:cstheme="majorBidi"/>
      <w:iCs/>
      <w:spacing w:val="15"/>
      <w:szCs w:val="24"/>
    </w:rPr>
  </w:style>
  <w:style w:type="paragraph" w:styleId="Header">
    <w:name w:val="header"/>
    <w:basedOn w:val="Normal"/>
    <w:link w:val="HeaderChar"/>
    <w:uiPriority w:val="99"/>
    <w:unhideWhenUsed/>
    <w:rsid w:val="00CC5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33A"/>
    <w:rPr>
      <w:rFonts w:ascii="Arial" w:hAnsi="Arial"/>
    </w:rPr>
  </w:style>
  <w:style w:type="paragraph" w:styleId="Footer">
    <w:name w:val="footer"/>
    <w:basedOn w:val="Normal"/>
    <w:link w:val="FooterChar"/>
    <w:unhideWhenUsed/>
    <w:rsid w:val="00CC533A"/>
    <w:pPr>
      <w:tabs>
        <w:tab w:val="center" w:pos="4680"/>
        <w:tab w:val="right" w:pos="9360"/>
      </w:tabs>
      <w:spacing w:after="0" w:line="240" w:lineRule="auto"/>
    </w:pPr>
  </w:style>
  <w:style w:type="character" w:customStyle="1" w:styleId="FooterChar">
    <w:name w:val="Footer Char"/>
    <w:basedOn w:val="DefaultParagraphFont"/>
    <w:link w:val="Footer"/>
    <w:rsid w:val="00CC533A"/>
    <w:rPr>
      <w:rFonts w:ascii="Arial" w:hAnsi="Arial"/>
    </w:rPr>
  </w:style>
  <w:style w:type="paragraph" w:styleId="ListParagraph">
    <w:name w:val="List Paragraph"/>
    <w:basedOn w:val="Normal"/>
    <w:uiPriority w:val="34"/>
    <w:qFormat/>
    <w:rsid w:val="00EB2B50"/>
    <w:pPr>
      <w:spacing w:line="240" w:lineRule="auto"/>
      <w:ind w:left="720"/>
      <w:contextualSpacing/>
    </w:pPr>
  </w:style>
  <w:style w:type="character" w:styleId="Hyperlink">
    <w:name w:val="Hyperlink"/>
    <w:rsid w:val="00AF5828"/>
    <w:rPr>
      <w:color w:val="0000FF"/>
      <w:u w:val="single"/>
    </w:rPr>
  </w:style>
  <w:style w:type="character" w:styleId="CommentReference">
    <w:name w:val="annotation reference"/>
    <w:basedOn w:val="DefaultParagraphFont"/>
    <w:uiPriority w:val="99"/>
    <w:semiHidden/>
    <w:unhideWhenUsed/>
    <w:rsid w:val="00AF5828"/>
    <w:rPr>
      <w:sz w:val="16"/>
      <w:szCs w:val="16"/>
    </w:rPr>
  </w:style>
  <w:style w:type="paragraph" w:styleId="CommentText">
    <w:name w:val="annotation text"/>
    <w:basedOn w:val="Normal"/>
    <w:link w:val="CommentTextChar"/>
    <w:uiPriority w:val="99"/>
    <w:semiHidden/>
    <w:unhideWhenUsed/>
    <w:rsid w:val="00AF5828"/>
    <w:pPr>
      <w:spacing w:line="240" w:lineRule="auto"/>
    </w:pPr>
    <w:rPr>
      <w:sz w:val="20"/>
      <w:szCs w:val="20"/>
    </w:rPr>
  </w:style>
  <w:style w:type="character" w:customStyle="1" w:styleId="CommentTextChar">
    <w:name w:val="Comment Text Char"/>
    <w:basedOn w:val="DefaultParagraphFont"/>
    <w:link w:val="CommentText"/>
    <w:uiPriority w:val="99"/>
    <w:semiHidden/>
    <w:rsid w:val="00AF582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F5828"/>
    <w:rPr>
      <w:b/>
      <w:bCs/>
    </w:rPr>
  </w:style>
  <w:style w:type="character" w:customStyle="1" w:styleId="CommentSubjectChar">
    <w:name w:val="Comment Subject Char"/>
    <w:basedOn w:val="CommentTextChar"/>
    <w:link w:val="CommentSubject"/>
    <w:uiPriority w:val="99"/>
    <w:semiHidden/>
    <w:rsid w:val="00AF5828"/>
    <w:rPr>
      <w:rFonts w:ascii="Arial" w:hAnsi="Arial"/>
      <w:b/>
      <w:bCs/>
      <w:sz w:val="20"/>
      <w:szCs w:val="20"/>
    </w:rPr>
  </w:style>
  <w:style w:type="character" w:styleId="PageNumber">
    <w:name w:val="page number"/>
    <w:basedOn w:val="DefaultParagraphFont"/>
    <w:rsid w:val="00D077FE"/>
  </w:style>
  <w:style w:type="paragraph" w:customStyle="1" w:styleId="CM37">
    <w:name w:val="CM37"/>
    <w:basedOn w:val="Normal"/>
    <w:next w:val="Normal"/>
    <w:rsid w:val="0010252D"/>
    <w:pPr>
      <w:widowControl w:val="0"/>
      <w:autoSpaceDE w:val="0"/>
      <w:autoSpaceDN w:val="0"/>
      <w:adjustRightInd w:val="0"/>
      <w:spacing w:after="235" w:line="240" w:lineRule="auto"/>
    </w:pPr>
    <w:rPr>
      <w:rFonts w:ascii="Times New Roman" w:eastAsia="Times New Roman" w:hAnsi="Times New Roman" w:cs="Times New Roman"/>
      <w:sz w:val="24"/>
      <w:szCs w:val="24"/>
      <w:lang w:eastAsia="en-CA"/>
    </w:rPr>
  </w:style>
  <w:style w:type="paragraph" w:customStyle="1" w:styleId="CM1">
    <w:name w:val="CM1"/>
    <w:basedOn w:val="Normal"/>
    <w:next w:val="Normal"/>
    <w:rsid w:val="0010252D"/>
    <w:pPr>
      <w:widowControl w:val="0"/>
      <w:autoSpaceDE w:val="0"/>
      <w:autoSpaceDN w:val="0"/>
      <w:adjustRightInd w:val="0"/>
      <w:spacing w:after="0" w:line="240" w:lineRule="auto"/>
    </w:pPr>
    <w:rPr>
      <w:rFonts w:ascii="Times New Roman" w:eastAsia="Times New Roman" w:hAnsi="Times New Roman" w:cs="Times New Roman"/>
      <w:sz w:val="24"/>
      <w:szCs w:val="24"/>
      <w:lang w:eastAsia="en-CA"/>
    </w:rPr>
  </w:style>
  <w:style w:type="paragraph" w:customStyle="1" w:styleId="CM2">
    <w:name w:val="CM2"/>
    <w:basedOn w:val="Normal"/>
    <w:next w:val="Normal"/>
    <w:rsid w:val="0010252D"/>
    <w:pPr>
      <w:widowControl w:val="0"/>
      <w:autoSpaceDE w:val="0"/>
      <w:autoSpaceDN w:val="0"/>
      <w:adjustRightInd w:val="0"/>
      <w:spacing w:after="0" w:line="233" w:lineRule="atLeast"/>
    </w:pPr>
    <w:rPr>
      <w:rFonts w:ascii="Times New Roman" w:eastAsia="Times New Roman" w:hAnsi="Times New Roman" w:cs="Times New Roman"/>
      <w:sz w:val="24"/>
      <w:szCs w:val="24"/>
      <w:lang w:eastAsia="en-CA"/>
    </w:rPr>
  </w:style>
  <w:style w:type="paragraph" w:customStyle="1" w:styleId="CM41">
    <w:name w:val="CM41"/>
    <w:basedOn w:val="Normal"/>
    <w:next w:val="Normal"/>
    <w:rsid w:val="0010252D"/>
    <w:pPr>
      <w:widowControl w:val="0"/>
      <w:autoSpaceDE w:val="0"/>
      <w:autoSpaceDN w:val="0"/>
      <w:adjustRightInd w:val="0"/>
      <w:spacing w:after="310" w:line="240" w:lineRule="auto"/>
    </w:pPr>
    <w:rPr>
      <w:rFonts w:ascii="Times New Roman" w:eastAsia="Times New Roman" w:hAnsi="Times New Roman" w:cs="Times New Roman"/>
      <w:sz w:val="24"/>
      <w:szCs w:val="24"/>
      <w:lang w:eastAsia="en-CA"/>
    </w:rPr>
  </w:style>
  <w:style w:type="paragraph" w:styleId="BodyText">
    <w:name w:val="Body Text"/>
    <w:basedOn w:val="Normal"/>
    <w:link w:val="BodyTextChar"/>
    <w:uiPriority w:val="99"/>
    <w:unhideWhenUsed/>
    <w:rsid w:val="00016CF8"/>
    <w:pPr>
      <w:spacing w:after="120"/>
    </w:pPr>
  </w:style>
  <w:style w:type="character" w:customStyle="1" w:styleId="BodyTextChar">
    <w:name w:val="Body Text Char"/>
    <w:basedOn w:val="DefaultParagraphFont"/>
    <w:link w:val="BodyText"/>
    <w:uiPriority w:val="99"/>
    <w:rsid w:val="00016CF8"/>
    <w:rPr>
      <w:rFonts w:ascii="Arial" w:hAnsi="Arial"/>
    </w:rPr>
  </w:style>
  <w:style w:type="character" w:styleId="UnresolvedMention">
    <w:name w:val="Unresolved Mention"/>
    <w:basedOn w:val="DefaultParagraphFont"/>
    <w:uiPriority w:val="99"/>
    <w:semiHidden/>
    <w:unhideWhenUsed/>
    <w:rsid w:val="00A13146"/>
    <w:rPr>
      <w:color w:val="605E5C"/>
      <w:shd w:val="clear" w:color="auto" w:fill="E1DFDD"/>
    </w:rPr>
  </w:style>
  <w:style w:type="table" w:styleId="GridTable1Light">
    <w:name w:val="Grid Table 1 Light"/>
    <w:basedOn w:val="TableNormal"/>
    <w:uiPriority w:val="46"/>
    <w:rsid w:val="00141EF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273606">
      <w:bodyDiv w:val="1"/>
      <w:marLeft w:val="0"/>
      <w:marRight w:val="0"/>
      <w:marTop w:val="0"/>
      <w:marBottom w:val="0"/>
      <w:divBdr>
        <w:top w:val="none" w:sz="0" w:space="0" w:color="auto"/>
        <w:left w:val="none" w:sz="0" w:space="0" w:color="auto"/>
        <w:bottom w:val="none" w:sz="0" w:space="0" w:color="auto"/>
        <w:right w:val="none" w:sz="0" w:space="0" w:color="auto"/>
      </w:divBdr>
    </w:div>
    <w:div w:id="1501000207">
      <w:bodyDiv w:val="1"/>
      <w:marLeft w:val="0"/>
      <w:marRight w:val="0"/>
      <w:marTop w:val="0"/>
      <w:marBottom w:val="0"/>
      <w:divBdr>
        <w:top w:val="none" w:sz="0" w:space="0" w:color="auto"/>
        <w:left w:val="none" w:sz="0" w:space="0" w:color="auto"/>
        <w:bottom w:val="none" w:sz="0" w:space="0" w:color="auto"/>
        <w:right w:val="none" w:sz="0" w:space="0" w:color="auto"/>
      </w:divBdr>
    </w:div>
    <w:div w:id="1560821461">
      <w:bodyDiv w:val="1"/>
      <w:marLeft w:val="0"/>
      <w:marRight w:val="0"/>
      <w:marTop w:val="0"/>
      <w:marBottom w:val="0"/>
      <w:divBdr>
        <w:top w:val="none" w:sz="0" w:space="0" w:color="auto"/>
        <w:left w:val="none" w:sz="0" w:space="0" w:color="auto"/>
        <w:bottom w:val="none" w:sz="0" w:space="0" w:color="auto"/>
        <w:right w:val="none" w:sz="0" w:space="0" w:color="auto"/>
      </w:divBdr>
    </w:div>
    <w:div w:id="20371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TTribunalSecretary@ontario.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wsc\Documents\Site%20Specific%20Stand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32a2b1-a5af-4619-aeb6-04511059f326"/>
    <WorkPackage0 xmlns="5658619b-72d3-47fe-9f33-2eef227823e8">
      <Terms xmlns="http://schemas.microsoft.com/office/infopath/2007/PartnerControls"/>
    </WorkPackage0>
    <WFCT0 xmlns="5658619b-72d3-47fe-9f33-2eef227823e8">
      <Terms xmlns="http://schemas.microsoft.com/office/infopath/2007/PartnerControls"/>
    </WFCT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4671E8016B74CB90607944342E7D7" ma:contentTypeVersion="7" ma:contentTypeDescription="Create a new document." ma:contentTypeScope="" ma:versionID="8be88ec75229f8ce90fa1726d61cdb78">
  <xsd:schema xmlns:xsd="http://www.w3.org/2001/XMLSchema" xmlns:xs="http://www.w3.org/2001/XMLSchema" xmlns:p="http://schemas.microsoft.com/office/2006/metadata/properties" xmlns:ns2="5658619b-72d3-47fe-9f33-2eef227823e8" xmlns:ns3="b132a2b1-a5af-4619-aeb6-04511059f326" targetNamespace="http://schemas.microsoft.com/office/2006/metadata/properties" ma:root="true" ma:fieldsID="3388113a2c142eb6092a0d2cbbb0fcef" ns2:_="" ns3:_="">
    <xsd:import namespace="5658619b-72d3-47fe-9f33-2eef227823e8"/>
    <xsd:import namespace="b132a2b1-a5af-4619-aeb6-04511059f326"/>
    <xsd:element name="properties">
      <xsd:complexType>
        <xsd:sequence>
          <xsd:element name="documentManagement">
            <xsd:complexType>
              <xsd:all>
                <xsd:element ref="ns2:WFCT0" minOccurs="0"/>
                <xsd:element ref="ns3:TaxCatchAll" minOccurs="0"/>
                <xsd:element ref="ns2:WorkPackag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619b-72d3-47fe-9f33-2eef227823e8" elementFormDefault="qualified">
    <xsd:import namespace="http://schemas.microsoft.com/office/2006/documentManagement/types"/>
    <xsd:import namespace="http://schemas.microsoft.com/office/infopath/2007/PartnerControls"/>
    <xsd:element name="WFCT0" ma:index="9" nillable="true" ma:taxonomy="true" ma:internalName="WFCT0" ma:taxonomyFieldName="WFCT" ma:displayName="Content Type" ma:readOnly="false" ma:default="" ma:fieldId="{2dccac9b-8e00-4e63-b201-53064ed688cd}" ma:taxonomyMulti="true" ma:sspId="9e790fc5-da29-45b5-b48e-e12e0aedcb65" ma:termSetId="85bcb186-524c-4472-bdba-8fe600d159fd" ma:anchorId="00000000-0000-0000-0000-000000000000" ma:open="false" ma:isKeyword="false">
      <xsd:complexType>
        <xsd:sequence>
          <xsd:element ref="pc:Terms" minOccurs="0" maxOccurs="1"/>
        </xsd:sequence>
      </xsd:complexType>
    </xsd:element>
    <xsd:element name="WorkPackage0" ma:index="12" nillable="true" ma:taxonomy="true" ma:internalName="WorkPackage0" ma:taxonomyFieldName="WorkPackage" ma:displayName="Work Package" ma:readOnly="false" ma:default="" ma:fieldId="{f52eb51c-19db-11e1-8654-f76d4824019b}" ma:taxonomyMulti="true" ma:sspId="9e790fc5-da29-45b5-b48e-e12e0aedcb65" ma:termSetId="2d0285ef-8298-4564-8404-77bc8e608af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32a2b1-a5af-4619-aeb6-04511059f3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2801bef-e730-4d21-9cf3-29e0763b42ab}" ma:internalName="TaxCatchAll" ma:showField="CatchAllData" ma:web="b132a2b1-a5af-4619-aeb6-04511059f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4CAEC-5D25-420B-A3B5-4E450EFD9D8D}">
  <ds:schemaRefs>
    <ds:schemaRef ds:uri="http://schemas.microsoft.com/office/2006/metadata/properties"/>
    <ds:schemaRef ds:uri="http://schemas.microsoft.com/office/infopath/2007/PartnerControls"/>
    <ds:schemaRef ds:uri="http://purl.org/dc/terms/"/>
    <ds:schemaRef ds:uri="b132a2b1-a5af-4619-aeb6-04511059f326"/>
    <ds:schemaRef ds:uri="5658619b-72d3-47fe-9f33-2eef227823e8"/>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5DED5C7-B72A-4095-9864-E47E56BA7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619b-72d3-47fe-9f33-2eef227823e8"/>
    <ds:schemaRef ds:uri="b132a2b1-a5af-4619-aeb6-04511059f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C595E-0FD2-4345-9E1B-96BD9D0C4FD0}">
  <ds:schemaRefs>
    <ds:schemaRef ds:uri="http://schemas.microsoft.com/sharepoint/v3/contenttype/forms"/>
  </ds:schemaRefs>
</ds:datastoreItem>
</file>

<file path=customXml/itemProps4.xml><?xml version="1.0" encoding="utf-8"?>
<ds:datastoreItem xmlns:ds="http://schemas.openxmlformats.org/officeDocument/2006/customXml" ds:itemID="{494AB5A2-CA22-4C9F-BC93-D8541803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Site Specific Standard Template</Template>
  <TotalTime>14</TotalTime>
  <Pages>22</Pages>
  <Words>5600</Words>
  <Characters>31920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Shaw, Scott (ENE)</dc:creator>
  <cp:lastModifiedBy>Saunders, Richard (MECP)</cp:lastModifiedBy>
  <cp:revision>5</cp:revision>
  <cp:lastPrinted>2021-04-07T12:55:00Z</cp:lastPrinted>
  <dcterms:created xsi:type="dcterms:W3CDTF">2021-07-16T16:49:00Z</dcterms:created>
  <dcterms:modified xsi:type="dcterms:W3CDTF">2021-07-16T16:53:00Z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nent Name" linkTarget="_GoBack">
    <vt:lpwstr/>
  </property>
  <property fmtid="{D5CDD505-2E9C-101B-9397-08002B2CF9AE}" pid="3" name="ProponentName">
    <vt:lpwstr>Enter the Proponent Name</vt:lpwstr>
  </property>
  <property fmtid="{D5CDD505-2E9C-101B-9397-08002B2CF9AE}" pid="4" name="ContentTypeId">
    <vt:lpwstr>0x010100AF74671E8016B74CB90607944342E7D7</vt:lpwstr>
  </property>
  <property fmtid="{D5CDD505-2E9C-101B-9397-08002B2CF9AE}" pid="5" name="WorkPackage">
    <vt:lpwstr/>
  </property>
  <property fmtid="{D5CDD505-2E9C-101B-9397-08002B2CF9AE}" pid="6" name="WFCT">
    <vt:lpwstr/>
  </property>
  <property fmtid="{D5CDD505-2E9C-101B-9397-08002B2CF9AE}" pid="7" name="MSIP_Label_034a106e-6316-442c-ad35-738afd673d2b_Enabled">
    <vt:lpwstr>True</vt:lpwstr>
  </property>
  <property fmtid="{D5CDD505-2E9C-101B-9397-08002B2CF9AE}" pid="8" name="MSIP_Label_034a106e-6316-442c-ad35-738afd673d2b_SiteId">
    <vt:lpwstr>cddc1229-ac2a-4b97-b78a-0e5cacb5865c</vt:lpwstr>
  </property>
  <property fmtid="{D5CDD505-2E9C-101B-9397-08002B2CF9AE}" pid="9" name="MSIP_Label_034a106e-6316-442c-ad35-738afd673d2b_Owner">
    <vt:lpwstr>Richard.Saunders@ontario.ca</vt:lpwstr>
  </property>
  <property fmtid="{D5CDD505-2E9C-101B-9397-08002B2CF9AE}" pid="10" name="MSIP_Label_034a106e-6316-442c-ad35-738afd673d2b_SetDate">
    <vt:lpwstr>2020-09-21T13:57:49.7858428Z</vt:lpwstr>
  </property>
  <property fmtid="{D5CDD505-2E9C-101B-9397-08002B2CF9AE}" pid="11" name="MSIP_Label_034a106e-6316-442c-ad35-738afd673d2b_Name">
    <vt:lpwstr>OPS - Unclassified Information</vt:lpwstr>
  </property>
  <property fmtid="{D5CDD505-2E9C-101B-9397-08002B2CF9AE}" pid="12" name="MSIP_Label_034a106e-6316-442c-ad35-738afd673d2b_Application">
    <vt:lpwstr>Microsoft Azure Information Protection</vt:lpwstr>
  </property>
  <property fmtid="{D5CDD505-2E9C-101B-9397-08002B2CF9AE}" pid="13" name="MSIP_Label_034a106e-6316-442c-ad35-738afd673d2b_ActionId">
    <vt:lpwstr>e1fe5ba5-2c8b-43db-bc76-c33f9843b706</vt:lpwstr>
  </property>
  <property fmtid="{D5CDD505-2E9C-101B-9397-08002B2CF9AE}" pid="14" name="MSIP_Label_034a106e-6316-442c-ad35-738afd673d2b_Extended_MSFT_Method">
    <vt:lpwstr>Automatic</vt:lpwstr>
  </property>
  <property fmtid="{D5CDD505-2E9C-101B-9397-08002B2CF9AE}" pid="15" name="Sensitivity">
    <vt:lpwstr>OPS - Unclassified Information</vt:lpwstr>
  </property>
</Properties>
</file>