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CCE1A" w14:textId="6037916C" w:rsidR="0035300C" w:rsidRPr="00EC35AE" w:rsidRDefault="0035300C" w:rsidP="00913538">
      <w:pPr>
        <w:pBdr>
          <w:top w:val="single" w:sz="4" w:space="1" w:color="auto"/>
        </w:pBdr>
        <w:tabs>
          <w:tab w:val="left" w:pos="2220"/>
          <w:tab w:val="center" w:pos="4680"/>
        </w:tabs>
        <w:jc w:val="center"/>
        <w:rPr>
          <w:rFonts w:ascii="Century Schoolbook" w:hAnsi="Century Schoolbook" w:cs="Shruti"/>
          <w:lang w:val="en-GB"/>
        </w:rPr>
      </w:pPr>
      <w:r w:rsidRPr="00EC35AE">
        <w:rPr>
          <w:rFonts w:ascii="Century Schoolbook" w:hAnsi="Century Schoolbook" w:cs="Shruti"/>
          <w:sz w:val="48"/>
          <w:szCs w:val="48"/>
          <w:lang w:val="en-GB"/>
        </w:rPr>
        <w:t>NOTICE OF DECISION</w:t>
      </w:r>
    </w:p>
    <w:p w14:paraId="62CB7E48" w14:textId="77777777" w:rsidR="0035300C" w:rsidRPr="00EC35AE" w:rsidRDefault="0035300C" w:rsidP="0035300C">
      <w:pPr>
        <w:tabs>
          <w:tab w:val="left" w:pos="-1080"/>
          <w:tab w:val="left" w:pos="-720"/>
          <w:tab w:val="left" w:pos="0"/>
          <w:tab w:val="left" w:pos="720"/>
          <w:tab w:val="left" w:pos="1800"/>
        </w:tabs>
        <w:jc w:val="center"/>
        <w:rPr>
          <w:rFonts w:ascii="Century Schoolbook" w:hAnsi="Century Schoolbook" w:cs="Shruti"/>
          <w:lang w:val="en-GB"/>
        </w:rPr>
      </w:pPr>
      <w:r w:rsidRPr="00EC35AE">
        <w:rPr>
          <w:rFonts w:ascii="Century Schoolbook" w:hAnsi="Century Schoolbook" w:cs="Shruti"/>
          <w:b/>
          <w:bCs/>
          <w:lang w:val="en-GB"/>
        </w:rPr>
        <w:t>On Application for Consent</w:t>
      </w:r>
    </w:p>
    <w:p w14:paraId="33B86AE5" w14:textId="77777777" w:rsidR="0035300C" w:rsidRPr="00EC35AE" w:rsidRDefault="0035300C" w:rsidP="0035300C">
      <w:pPr>
        <w:tabs>
          <w:tab w:val="left" w:pos="-1080"/>
          <w:tab w:val="left" w:pos="-720"/>
          <w:tab w:val="left" w:pos="0"/>
          <w:tab w:val="left" w:pos="720"/>
          <w:tab w:val="left" w:pos="1800"/>
        </w:tabs>
        <w:jc w:val="center"/>
        <w:rPr>
          <w:rFonts w:ascii="Century Schoolbook" w:hAnsi="Century Schoolbook" w:cs="Shruti"/>
          <w:lang w:val="en-GB"/>
        </w:rPr>
      </w:pPr>
      <w:r w:rsidRPr="00EC35AE">
        <w:rPr>
          <w:rFonts w:ascii="Century Schoolbook" w:hAnsi="Century Schoolbook" w:cs="Shruti"/>
          <w:b/>
          <w:bCs/>
          <w:lang w:val="en-GB"/>
        </w:rPr>
        <w:t xml:space="preserve">Subsection 53(17) of the </w:t>
      </w:r>
      <w:r w:rsidRPr="00734AA5">
        <w:rPr>
          <w:rFonts w:ascii="Century Schoolbook" w:hAnsi="Century Schoolbook" w:cs="Shruti"/>
          <w:b/>
          <w:bCs/>
          <w:lang w:val="en-GB"/>
        </w:rPr>
        <w:t>Planning Act</w:t>
      </w:r>
    </w:p>
    <w:p w14:paraId="44E9ABC2" w14:textId="77777777" w:rsidR="0035300C" w:rsidRDefault="0035300C" w:rsidP="0035300C">
      <w:pPr>
        <w:tabs>
          <w:tab w:val="left" w:pos="-1080"/>
          <w:tab w:val="left" w:pos="-720"/>
          <w:tab w:val="left" w:pos="0"/>
          <w:tab w:val="left" w:pos="720"/>
          <w:tab w:val="left" w:pos="1800"/>
        </w:tabs>
        <w:jc w:val="center"/>
        <w:rPr>
          <w:rFonts w:cs="Arial"/>
          <w:lang w:val="en-GB"/>
        </w:rPr>
      </w:pPr>
    </w:p>
    <w:p w14:paraId="536EFFC7" w14:textId="77777777" w:rsidR="0035300C" w:rsidRDefault="0035300C" w:rsidP="0035300C">
      <w:pPr>
        <w:tabs>
          <w:tab w:val="left" w:pos="-1080"/>
          <w:tab w:val="left" w:pos="-720"/>
          <w:tab w:val="left" w:pos="0"/>
          <w:tab w:val="left" w:pos="720"/>
          <w:tab w:val="left" w:pos="1800"/>
        </w:tabs>
        <w:spacing w:line="19" w:lineRule="exact"/>
        <w:rPr>
          <w:rFonts w:cs="Arial"/>
          <w:lang w:val="en-GB"/>
        </w:rPr>
      </w:pPr>
      <w:r>
        <w:rPr>
          <w:noProof/>
          <w:lang w:val="en-CA"/>
        </w:rPr>
        <mc:AlternateContent>
          <mc:Choice Requires="wps">
            <w:drawing>
              <wp:anchor distT="0" distB="0" distL="114300" distR="114300" simplePos="0" relativeHeight="251659264" behindDoc="1" locked="1" layoutInCell="0" allowOverlap="1" wp14:anchorId="6BBF97C5" wp14:editId="302E60D8">
                <wp:simplePos x="0" y="0"/>
                <wp:positionH relativeFrom="page">
                  <wp:posOffset>914400</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4A68" id="Rectangle 4"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AtDU0l/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14:paraId="64574803" w14:textId="77777777" w:rsidR="0035300C" w:rsidRDefault="0035300C" w:rsidP="0035300C">
      <w:pPr>
        <w:tabs>
          <w:tab w:val="left" w:pos="-1080"/>
          <w:tab w:val="left" w:pos="-720"/>
          <w:tab w:val="left" w:pos="0"/>
          <w:tab w:val="left" w:pos="720"/>
          <w:tab w:val="left" w:pos="1800"/>
        </w:tabs>
        <w:rPr>
          <w:rFonts w:cs="Arial"/>
          <w:lang w:val="en-GB"/>
        </w:rPr>
      </w:pPr>
    </w:p>
    <w:p w14:paraId="03728950" w14:textId="2A7F0A0F" w:rsidR="0035300C" w:rsidRPr="00910EE9" w:rsidRDefault="0035300C" w:rsidP="0035300C">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On</w:t>
      </w:r>
      <w:r w:rsidRPr="00910EE9">
        <w:rPr>
          <w:rFonts w:cs="Arial"/>
          <w:b/>
          <w:bCs/>
          <w:sz w:val="20"/>
          <w:szCs w:val="20"/>
          <w:lang w:val="en-GB"/>
        </w:rPr>
        <w:t xml:space="preserve"> the above noted date</w:t>
      </w:r>
      <w:r w:rsidRPr="00910EE9">
        <w:rPr>
          <w:rFonts w:cs="Arial"/>
          <w:sz w:val="20"/>
          <w:szCs w:val="20"/>
          <w:lang w:val="en-GB"/>
        </w:rPr>
        <w:t xml:space="preserve">, the Minister of Municipal </w:t>
      </w:r>
      <w:r w:rsidR="00E06F9A">
        <w:rPr>
          <w:rFonts w:cs="Arial"/>
          <w:sz w:val="20"/>
          <w:szCs w:val="20"/>
          <w:lang w:val="en-GB"/>
        </w:rPr>
        <w:t xml:space="preserve">Affairs </w:t>
      </w:r>
      <w:r w:rsidR="005C1E8E">
        <w:rPr>
          <w:rFonts w:cs="Arial"/>
          <w:sz w:val="20"/>
          <w:szCs w:val="20"/>
          <w:lang w:val="en-GB"/>
        </w:rPr>
        <w:t xml:space="preserve">and Housing </w:t>
      </w:r>
      <w:r w:rsidR="00034EC5">
        <w:rPr>
          <w:rFonts w:cs="Arial"/>
          <w:sz w:val="20"/>
          <w:szCs w:val="20"/>
          <w:lang w:val="en-GB"/>
        </w:rPr>
        <w:t xml:space="preserve">(MMAH) </w:t>
      </w:r>
      <w:r w:rsidR="008D41C7">
        <w:rPr>
          <w:rFonts w:cs="Arial"/>
          <w:sz w:val="20"/>
          <w:szCs w:val="20"/>
          <w:lang w:val="en-GB"/>
        </w:rPr>
        <w:t>gave</w:t>
      </w:r>
      <w:r w:rsidRPr="00910EE9">
        <w:rPr>
          <w:rFonts w:cs="Arial"/>
          <w:sz w:val="20"/>
          <w:szCs w:val="20"/>
          <w:lang w:val="en-GB"/>
        </w:rPr>
        <w:t xml:space="preserve"> </w:t>
      </w:r>
      <w:r w:rsidR="00581487">
        <w:rPr>
          <w:rFonts w:cs="Arial"/>
          <w:sz w:val="20"/>
          <w:szCs w:val="20"/>
          <w:lang w:val="en-GB"/>
        </w:rPr>
        <w:t xml:space="preserve">a </w:t>
      </w:r>
      <w:r w:rsidRPr="00910EE9">
        <w:rPr>
          <w:rFonts w:cs="Arial"/>
          <w:sz w:val="20"/>
          <w:szCs w:val="20"/>
          <w:lang w:val="en-GB"/>
        </w:rPr>
        <w:t xml:space="preserve">provisional </w:t>
      </w:r>
      <w:r w:rsidR="00581487">
        <w:rPr>
          <w:rFonts w:cs="Arial"/>
          <w:sz w:val="20"/>
          <w:szCs w:val="20"/>
          <w:lang w:val="en-GB"/>
        </w:rPr>
        <w:t>consent to Application No.</w:t>
      </w:r>
      <w:r w:rsidR="00581487" w:rsidRPr="00581487">
        <w:rPr>
          <w:rFonts w:cs="Arial"/>
          <w:b/>
          <w:bCs/>
          <w:sz w:val="20"/>
          <w:szCs w:val="20"/>
          <w:lang w:val="en-GB"/>
        </w:rPr>
        <w:t xml:space="preserve"> 60-C-216411</w:t>
      </w:r>
      <w:r w:rsidR="00581487">
        <w:rPr>
          <w:rFonts w:cs="Arial"/>
          <w:sz w:val="20"/>
          <w:szCs w:val="20"/>
          <w:lang w:val="en-GB"/>
        </w:rPr>
        <w:t xml:space="preserve"> </w:t>
      </w:r>
      <w:r w:rsidRPr="00910EE9">
        <w:rPr>
          <w:rFonts w:cs="Arial"/>
          <w:sz w:val="20"/>
          <w:szCs w:val="20"/>
          <w:lang w:val="en-GB"/>
        </w:rPr>
        <w:t>for</w:t>
      </w:r>
      <w:r w:rsidR="002D4AE3">
        <w:rPr>
          <w:rFonts w:cs="Arial"/>
          <w:sz w:val="20"/>
          <w:szCs w:val="20"/>
          <w:lang w:val="en-GB"/>
        </w:rPr>
        <w:t xml:space="preserve"> </w:t>
      </w:r>
      <w:r w:rsidR="00643252">
        <w:rPr>
          <w:rFonts w:cs="Arial"/>
          <w:sz w:val="20"/>
          <w:szCs w:val="20"/>
          <w:lang w:val="en-GB"/>
        </w:rPr>
        <w:t>the creation of a new lot</w:t>
      </w:r>
      <w:r w:rsidR="002D4AE3">
        <w:rPr>
          <w:rFonts w:cs="Arial"/>
          <w:sz w:val="20"/>
          <w:szCs w:val="20"/>
          <w:lang w:val="en-GB"/>
        </w:rPr>
        <w:t xml:space="preserve"> </w:t>
      </w:r>
      <w:r w:rsidR="00581487">
        <w:rPr>
          <w:rFonts w:cs="Arial"/>
          <w:sz w:val="20"/>
          <w:szCs w:val="20"/>
          <w:lang w:val="en-GB"/>
        </w:rPr>
        <w:t xml:space="preserve">for resource-based recreational use in respect of the land described as </w:t>
      </w:r>
      <w:r w:rsidR="00581487" w:rsidRPr="00581487">
        <w:rPr>
          <w:rFonts w:cs="Arial"/>
          <w:sz w:val="20"/>
          <w:szCs w:val="20"/>
          <w:lang w:val="en-GB"/>
        </w:rPr>
        <w:t xml:space="preserve">PIN 42125-0911, Pt Mining Claim K4032 and K4033 </w:t>
      </w:r>
      <w:r w:rsidR="00581487">
        <w:rPr>
          <w:rFonts w:cs="Arial"/>
          <w:sz w:val="20"/>
          <w:szCs w:val="20"/>
          <w:lang w:val="en-GB"/>
        </w:rPr>
        <w:t>b</w:t>
      </w:r>
      <w:r w:rsidR="00581487" w:rsidRPr="00581487">
        <w:rPr>
          <w:rFonts w:cs="Arial"/>
          <w:sz w:val="20"/>
          <w:szCs w:val="20"/>
          <w:lang w:val="en-GB"/>
        </w:rPr>
        <w:t xml:space="preserve">eing </w:t>
      </w:r>
      <w:r w:rsidR="00581487">
        <w:rPr>
          <w:rFonts w:cs="Arial"/>
          <w:sz w:val="20"/>
          <w:szCs w:val="20"/>
          <w:lang w:val="en-GB"/>
        </w:rPr>
        <w:t>p</w:t>
      </w:r>
      <w:r w:rsidR="00581487" w:rsidRPr="00581487">
        <w:rPr>
          <w:rFonts w:cs="Arial"/>
          <w:sz w:val="20"/>
          <w:szCs w:val="20"/>
          <w:lang w:val="en-GB"/>
        </w:rPr>
        <w:t>art of Mining Location 225p</w:t>
      </w:r>
      <w:r w:rsidR="00581487">
        <w:rPr>
          <w:rFonts w:cs="Arial"/>
          <w:sz w:val="20"/>
          <w:szCs w:val="20"/>
          <w:lang w:val="en-GB"/>
        </w:rPr>
        <w:t>,</w:t>
      </w:r>
      <w:r w:rsidR="00581487" w:rsidRPr="00581487">
        <w:rPr>
          <w:rFonts w:cs="Arial"/>
          <w:sz w:val="20"/>
          <w:szCs w:val="20"/>
          <w:lang w:val="en-GB"/>
        </w:rPr>
        <w:t xml:space="preserve"> on Lake of the Woods, </w:t>
      </w:r>
      <w:r w:rsidR="00581487">
        <w:rPr>
          <w:rFonts w:cs="Arial"/>
          <w:sz w:val="20"/>
          <w:szCs w:val="20"/>
          <w:lang w:val="en-GB"/>
        </w:rPr>
        <w:t xml:space="preserve">in </w:t>
      </w:r>
      <w:r w:rsidR="00581487" w:rsidRPr="00581487">
        <w:rPr>
          <w:rFonts w:cs="Arial"/>
          <w:sz w:val="20"/>
          <w:szCs w:val="20"/>
          <w:lang w:val="en-GB"/>
        </w:rPr>
        <w:t>Bigstone Bay</w:t>
      </w:r>
      <w:r w:rsidR="00581487">
        <w:rPr>
          <w:rFonts w:cs="Arial"/>
          <w:sz w:val="20"/>
          <w:szCs w:val="20"/>
          <w:lang w:val="en-GB"/>
        </w:rPr>
        <w:t xml:space="preserve">, </w:t>
      </w:r>
      <w:r w:rsidRPr="00910EE9">
        <w:rPr>
          <w:rFonts w:cs="Arial"/>
          <w:sz w:val="20"/>
          <w:szCs w:val="20"/>
          <w:lang w:val="en-GB"/>
        </w:rPr>
        <w:t xml:space="preserve">in </w:t>
      </w:r>
      <w:r w:rsidR="00C93747">
        <w:rPr>
          <w:rFonts w:cs="Arial"/>
          <w:sz w:val="20"/>
          <w:szCs w:val="20"/>
          <w:lang w:val="en-GB"/>
        </w:rPr>
        <w:t xml:space="preserve">the </w:t>
      </w:r>
      <w:r w:rsidR="00A70B21">
        <w:rPr>
          <w:rFonts w:cs="Arial"/>
          <w:sz w:val="20"/>
          <w:szCs w:val="20"/>
          <w:lang w:val="en-GB"/>
        </w:rPr>
        <w:t>G</w:t>
      </w:r>
      <w:r w:rsidR="00C93747">
        <w:rPr>
          <w:rFonts w:cs="Arial"/>
          <w:sz w:val="20"/>
          <w:szCs w:val="20"/>
          <w:lang w:val="en-GB"/>
        </w:rPr>
        <w:t xml:space="preserve">eographic </w:t>
      </w:r>
      <w:r w:rsidR="00A70B21">
        <w:rPr>
          <w:rFonts w:cs="Arial"/>
          <w:sz w:val="20"/>
          <w:szCs w:val="20"/>
          <w:lang w:val="en-GB"/>
        </w:rPr>
        <w:t>T</w:t>
      </w:r>
      <w:r w:rsidR="00C93747">
        <w:rPr>
          <w:rFonts w:cs="Arial"/>
          <w:sz w:val="20"/>
          <w:szCs w:val="20"/>
          <w:lang w:val="en-GB"/>
        </w:rPr>
        <w:t xml:space="preserve">ownship of </w:t>
      </w:r>
      <w:r w:rsidR="00A70B21">
        <w:rPr>
          <w:rFonts w:cs="Arial"/>
          <w:sz w:val="20"/>
          <w:szCs w:val="20"/>
          <w:lang w:val="en-GB"/>
        </w:rPr>
        <w:t xml:space="preserve">Kirkup </w:t>
      </w:r>
      <w:r w:rsidRPr="00737E5D">
        <w:rPr>
          <w:rFonts w:cs="Arial"/>
          <w:sz w:val="20"/>
          <w:szCs w:val="20"/>
          <w:lang w:val="en-GB"/>
        </w:rPr>
        <w:t xml:space="preserve">in the </w:t>
      </w:r>
      <w:r w:rsidR="004E7961" w:rsidRPr="00737E5D">
        <w:rPr>
          <w:rFonts w:cs="Arial"/>
          <w:sz w:val="20"/>
          <w:szCs w:val="20"/>
          <w:lang w:val="en-GB"/>
        </w:rPr>
        <w:t>District of</w:t>
      </w:r>
      <w:r w:rsidR="00A20977" w:rsidRPr="00737E5D">
        <w:rPr>
          <w:rFonts w:cs="Arial"/>
          <w:sz w:val="20"/>
          <w:szCs w:val="20"/>
          <w:lang w:val="en-GB"/>
        </w:rPr>
        <w:t xml:space="preserve"> </w:t>
      </w:r>
      <w:r w:rsidR="00A70B21">
        <w:rPr>
          <w:rFonts w:cs="Arial"/>
          <w:sz w:val="20"/>
          <w:szCs w:val="20"/>
          <w:lang w:val="en-GB"/>
        </w:rPr>
        <w:t>Kenora</w:t>
      </w:r>
      <w:r w:rsidR="00A20977" w:rsidRPr="00737E5D">
        <w:rPr>
          <w:rFonts w:cs="Arial"/>
          <w:sz w:val="20"/>
          <w:szCs w:val="20"/>
          <w:lang w:val="en-GB"/>
        </w:rPr>
        <w:t xml:space="preserve">. </w:t>
      </w:r>
      <w:r w:rsidRPr="00737E5D">
        <w:rPr>
          <w:rFonts w:cs="Arial"/>
          <w:sz w:val="20"/>
          <w:szCs w:val="20"/>
          <w:lang w:val="en-GB"/>
        </w:rPr>
        <w:t>A copy of the d</w:t>
      </w:r>
      <w:r w:rsidRPr="00910EE9">
        <w:rPr>
          <w:rFonts w:cs="Arial"/>
          <w:sz w:val="20"/>
          <w:szCs w:val="20"/>
          <w:lang w:val="en-GB"/>
        </w:rPr>
        <w:t>ecision is attached.</w:t>
      </w:r>
    </w:p>
    <w:p w14:paraId="5C0A7CF4"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pPr>
    </w:p>
    <w:p w14:paraId="19689401"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sectPr w:rsidR="0035300C" w:rsidRPr="00910EE9" w:rsidSect="00A17D4C">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440" w:left="1440" w:header="360" w:footer="1440" w:gutter="0"/>
          <w:cols w:space="720"/>
          <w:noEndnote/>
        </w:sectPr>
      </w:pPr>
    </w:p>
    <w:p w14:paraId="5C02AB66"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b/>
          <w:bCs/>
          <w:sz w:val="20"/>
          <w:szCs w:val="20"/>
          <w:lang w:val="en-GB"/>
        </w:rPr>
        <w:t xml:space="preserve">When and How to File a Notice of Appeal </w:t>
      </w:r>
    </w:p>
    <w:p w14:paraId="6D765B5E" w14:textId="3C7EC09C"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 xml:space="preserve">Notice to appeal the decision to the </w:t>
      </w:r>
      <w:r w:rsidR="00A70B21">
        <w:rPr>
          <w:rFonts w:cs="Arial"/>
          <w:sz w:val="20"/>
          <w:szCs w:val="20"/>
          <w:lang w:val="en-GB"/>
        </w:rPr>
        <w:t>Ontario Land</w:t>
      </w:r>
      <w:r>
        <w:rPr>
          <w:rFonts w:cs="Arial"/>
          <w:sz w:val="20"/>
          <w:szCs w:val="20"/>
          <w:lang w:val="en-GB"/>
        </w:rPr>
        <w:t xml:space="preserve"> Tribunal</w:t>
      </w:r>
      <w:r w:rsidRPr="00910EE9">
        <w:rPr>
          <w:rFonts w:cs="Arial"/>
          <w:sz w:val="20"/>
          <w:szCs w:val="20"/>
          <w:lang w:val="en-GB"/>
        </w:rPr>
        <w:t xml:space="preserve"> must be filed with the Minister of Municipal Affairs </w:t>
      </w:r>
      <w:r>
        <w:rPr>
          <w:rFonts w:cs="Arial"/>
          <w:sz w:val="20"/>
          <w:szCs w:val="20"/>
          <w:lang w:val="en-GB"/>
        </w:rPr>
        <w:t xml:space="preserve">and Housing </w:t>
      </w:r>
      <w:r w:rsidRPr="00910EE9">
        <w:rPr>
          <w:rFonts w:cs="Arial"/>
          <w:sz w:val="20"/>
          <w:szCs w:val="20"/>
          <w:lang w:val="en-GB"/>
        </w:rPr>
        <w:t>on or before the last date of appeal as noted above.</w:t>
      </w:r>
    </w:p>
    <w:p w14:paraId="709C13E4"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p>
    <w:p w14:paraId="2EB3FDA7" w14:textId="1124EB79"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 xml:space="preserve">The notice of appeal should be sent to the attention of </w:t>
      </w:r>
      <w:r w:rsidR="00A70B21">
        <w:rPr>
          <w:rFonts w:cs="Arial"/>
          <w:sz w:val="20"/>
          <w:szCs w:val="20"/>
          <w:lang w:val="en-GB"/>
        </w:rPr>
        <w:t>Sylvie Oulton, Senior</w:t>
      </w:r>
      <w:r>
        <w:rPr>
          <w:rFonts w:cs="Arial"/>
          <w:sz w:val="20"/>
          <w:szCs w:val="20"/>
          <w:lang w:val="en-GB"/>
        </w:rPr>
        <w:t xml:space="preserve"> Planner</w:t>
      </w:r>
      <w:r w:rsidRPr="00910EE9">
        <w:rPr>
          <w:rFonts w:cs="Arial"/>
          <w:sz w:val="20"/>
          <w:szCs w:val="20"/>
          <w:lang w:val="en-GB"/>
        </w:rPr>
        <w:t xml:space="preserve"> at the address shown below and it must,</w:t>
      </w:r>
    </w:p>
    <w:p w14:paraId="4A16B1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(1)</w:t>
      </w:r>
      <w:r w:rsidRPr="00910EE9">
        <w:rPr>
          <w:rFonts w:cs="Arial"/>
          <w:sz w:val="20"/>
          <w:szCs w:val="20"/>
          <w:lang w:val="en-GB"/>
        </w:rPr>
        <w:tab/>
        <w:t>set out the reasons for the appeal, and</w:t>
      </w:r>
    </w:p>
    <w:p w14:paraId="63B0FAC3" w14:textId="2367E992"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(2)</w:t>
      </w:r>
      <w:r w:rsidRPr="00910EE9">
        <w:rPr>
          <w:rFonts w:cs="Arial"/>
          <w:sz w:val="20"/>
          <w:szCs w:val="20"/>
          <w:lang w:val="en-GB"/>
        </w:rPr>
        <w:tab/>
        <w:t xml:space="preserve">be accompanied by the fee prescribed under </w:t>
      </w:r>
      <w:r w:rsidRPr="00734AA5">
        <w:rPr>
          <w:rFonts w:cs="Arial"/>
          <w:sz w:val="20"/>
          <w:szCs w:val="20"/>
          <w:lang w:val="en-GB"/>
        </w:rPr>
        <w:t xml:space="preserve">the </w:t>
      </w:r>
      <w:r w:rsidR="00A70B21" w:rsidRPr="00734AA5">
        <w:rPr>
          <w:rFonts w:cs="Arial"/>
          <w:sz w:val="20"/>
          <w:szCs w:val="20"/>
          <w:lang w:val="en-GB"/>
        </w:rPr>
        <w:t xml:space="preserve">Ontario Land </w:t>
      </w:r>
      <w:r w:rsidRPr="00734AA5">
        <w:rPr>
          <w:rFonts w:cs="Arial"/>
          <w:sz w:val="20"/>
          <w:szCs w:val="20"/>
          <w:lang w:val="en-GB"/>
        </w:rPr>
        <w:t>Tribunal Act</w:t>
      </w:r>
      <w:r w:rsidRPr="00910EE9">
        <w:rPr>
          <w:rFonts w:cs="Arial"/>
          <w:i/>
          <w:iCs/>
          <w:sz w:val="20"/>
          <w:szCs w:val="20"/>
          <w:lang w:val="en-GB"/>
        </w:rPr>
        <w:t xml:space="preserve"> </w:t>
      </w:r>
      <w:r>
        <w:rPr>
          <w:rFonts w:cs="Arial"/>
          <w:sz w:val="20"/>
          <w:szCs w:val="20"/>
          <w:lang w:val="en-GB"/>
        </w:rPr>
        <w:t>in the amount of $</w:t>
      </w:r>
      <w:r w:rsidR="00034EC5">
        <w:rPr>
          <w:rFonts w:cs="Arial"/>
          <w:sz w:val="20"/>
          <w:szCs w:val="20"/>
          <w:lang w:val="en-GB"/>
        </w:rPr>
        <w:t>4</w:t>
      </w:r>
      <w:r>
        <w:rPr>
          <w:rFonts w:cs="Arial"/>
          <w:sz w:val="20"/>
          <w:szCs w:val="20"/>
          <w:lang w:val="en-GB"/>
        </w:rPr>
        <w:t>00</w:t>
      </w:r>
      <w:r w:rsidRPr="00910EE9">
        <w:rPr>
          <w:rFonts w:cs="Arial"/>
          <w:sz w:val="20"/>
          <w:szCs w:val="20"/>
          <w:lang w:val="en-GB"/>
        </w:rPr>
        <w:t>.00, payable to the Minister of Finance, Province of Ontario.</w:t>
      </w:r>
    </w:p>
    <w:p w14:paraId="1791087F"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31FFBB11"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Who Can File a Notice of Appeal</w:t>
      </w:r>
    </w:p>
    <w:p w14:paraId="3AB8473B" w14:textId="17CCECA0" w:rsidR="00C30A15" w:rsidRDefault="00C30A15" w:rsidP="00734AA5">
      <w:pPr>
        <w:pStyle w:val="BodyText"/>
      </w:pPr>
      <w:r w:rsidRPr="00910EE9">
        <w:t>Only individuals, corporations or public bodies may appeal decisions in respect of applications for consent to the</w:t>
      </w:r>
      <w:r w:rsidR="00A70B21">
        <w:t xml:space="preserve"> Ontario Land</w:t>
      </w:r>
      <w:r w:rsidRPr="00910EE9">
        <w:t xml:space="preserve"> </w:t>
      </w:r>
      <w:r>
        <w:t>Tribunal</w:t>
      </w:r>
      <w:r w:rsidRPr="00910EE9">
        <w:t>.  A notice of appeal may not be filed by an unincorporated association or group.  However, a notice of appeal may be filed in the name of an individual who is a member of the association or group.</w:t>
      </w:r>
    </w:p>
    <w:p w14:paraId="4A9163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46B32522" w14:textId="77777777" w:rsidR="00C30A15" w:rsidRPr="00EC35AE"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szCs w:val="20"/>
          <w:lang w:val="en-GB"/>
        </w:rPr>
      </w:pPr>
      <w:r w:rsidRPr="00EC35AE">
        <w:rPr>
          <w:rFonts w:cs="Arial"/>
          <w:b/>
          <w:sz w:val="20"/>
          <w:szCs w:val="20"/>
          <w:lang w:val="en-GB"/>
        </w:rPr>
        <w:t>Effect of Written and Oral Submissions</w:t>
      </w:r>
    </w:p>
    <w:p w14:paraId="61A45F5E" w14:textId="1F27CD6D" w:rsidR="00AC494C" w:rsidRPr="00C37958" w:rsidRDefault="00147CBE" w:rsidP="00AC494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lang w:val="en-GB"/>
        </w:rPr>
      </w:pPr>
      <w:r w:rsidRPr="00EC35AE">
        <w:rPr>
          <w:rFonts w:cs="Arial"/>
          <w:sz w:val="20"/>
          <w:szCs w:val="20"/>
          <w:lang w:val="en-GB"/>
        </w:rPr>
        <w:t>Written and oral submissions in addition to comments provided by partner ministry’s contributed to conditions:</w:t>
      </w:r>
      <w:r w:rsidR="00664864" w:rsidRPr="00EC35AE">
        <w:rPr>
          <w:rFonts w:cs="Arial"/>
          <w:sz w:val="20"/>
          <w:szCs w:val="20"/>
          <w:lang w:val="en-GB"/>
        </w:rPr>
        <w:t xml:space="preserve"> 4, 5</w:t>
      </w:r>
      <w:r w:rsidR="00734AA5">
        <w:rPr>
          <w:rFonts w:cs="Arial"/>
          <w:sz w:val="20"/>
          <w:szCs w:val="20"/>
          <w:lang w:val="en-GB"/>
        </w:rPr>
        <w:t xml:space="preserve">, </w:t>
      </w:r>
      <w:r w:rsidR="00664864" w:rsidRPr="00EC35AE">
        <w:rPr>
          <w:rFonts w:cs="Arial"/>
          <w:sz w:val="20"/>
          <w:szCs w:val="20"/>
          <w:lang w:val="en-GB"/>
        </w:rPr>
        <w:t>6</w:t>
      </w:r>
      <w:r w:rsidR="00734AA5">
        <w:rPr>
          <w:rFonts w:cs="Arial"/>
          <w:sz w:val="20"/>
          <w:szCs w:val="20"/>
          <w:lang w:val="en-GB"/>
        </w:rPr>
        <w:t>, 7 &amp; 8</w:t>
      </w:r>
      <w:r w:rsidR="00664864" w:rsidRPr="00EC35AE">
        <w:rPr>
          <w:rFonts w:cs="Arial"/>
          <w:sz w:val="20"/>
          <w:szCs w:val="20"/>
          <w:lang w:val="en-GB"/>
        </w:rPr>
        <w:t>.</w:t>
      </w:r>
    </w:p>
    <w:p w14:paraId="79EB8711"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BA982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1110795E"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vanish/>
          <w:sz w:val="20"/>
          <w:szCs w:val="20"/>
          <w:lang w:val="en-GB"/>
        </w:rPr>
      </w:pPr>
      <w:r w:rsidRPr="00910EE9">
        <w:rPr>
          <w:rFonts w:cs="Arial"/>
          <w:b/>
          <w:bCs/>
          <w:sz w:val="20"/>
          <w:szCs w:val="20"/>
          <w:lang w:val="en-GB"/>
        </w:rPr>
        <w:br w:type="column"/>
      </w:r>
    </w:p>
    <w:p w14:paraId="400CD8A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How to Receive Notice of Changed Conditions</w:t>
      </w:r>
    </w:p>
    <w:p w14:paraId="47DF44E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The conditions of a provisional consent may be changed at any time before the consent is given.  </w:t>
      </w:r>
    </w:p>
    <w:p w14:paraId="5B63E08F"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1AAAB1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You will be entitled to receive notice of any changes to the conditions of the provisional consent if you make a written request to be notified of changes to the conditions of approval of the provisional consent.</w:t>
      </w:r>
    </w:p>
    <w:p w14:paraId="2B723C5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8829FA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Other Related Applications</w:t>
      </w:r>
    </w:p>
    <w:p w14:paraId="26341B78"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N/A</w:t>
      </w:r>
    </w:p>
    <w:p w14:paraId="380E94D9"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27122E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Getting Additional Information</w:t>
      </w:r>
    </w:p>
    <w:p w14:paraId="695491C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Additional information about the application is available for public inspection during regular office hours at the address shown below. </w:t>
      </w:r>
    </w:p>
    <w:p w14:paraId="6C68FF97"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13223992"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Mail Address for Notice of Appeal</w:t>
      </w:r>
    </w:p>
    <w:p w14:paraId="2307574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Ministry of Municipal Affairs and Housing</w:t>
      </w:r>
    </w:p>
    <w:p w14:paraId="6BAD06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Municipal Services Office</w:t>
      </w:r>
      <w:r>
        <w:rPr>
          <w:rFonts w:cs="Arial"/>
          <w:sz w:val="20"/>
          <w:szCs w:val="20"/>
          <w:lang w:val="en-GB"/>
        </w:rPr>
        <w:t xml:space="preserve"> North (Thunder Bay)</w:t>
      </w:r>
    </w:p>
    <w:p w14:paraId="67EBD565"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435 James Street South, Suite 223</w:t>
      </w:r>
    </w:p>
    <w:p w14:paraId="5D66709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Thunder Bay, ON. P7E 6S7</w:t>
      </w:r>
    </w:p>
    <w:p w14:paraId="3DF91B3B" w14:textId="2293B0FD"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Attention: </w:t>
      </w:r>
      <w:r w:rsidR="00A70B21">
        <w:rPr>
          <w:rFonts w:cs="Arial"/>
          <w:sz w:val="20"/>
          <w:szCs w:val="20"/>
          <w:lang w:val="en-GB"/>
        </w:rPr>
        <w:t>Sylvie Oulton, Senior</w:t>
      </w:r>
      <w:r>
        <w:rPr>
          <w:rFonts w:cs="Arial"/>
          <w:sz w:val="20"/>
          <w:szCs w:val="20"/>
          <w:lang w:val="en-GB"/>
        </w:rPr>
        <w:t xml:space="preserve"> Planner </w:t>
      </w:r>
    </w:p>
    <w:p w14:paraId="189674E3" w14:textId="60D9B58E"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 xml:space="preserve">Telephone: (807) </w:t>
      </w:r>
      <w:r w:rsidR="002D4F5E">
        <w:rPr>
          <w:rFonts w:cs="Arial"/>
          <w:sz w:val="20"/>
          <w:szCs w:val="20"/>
          <w:lang w:val="en-GB"/>
        </w:rPr>
        <w:t>6</w:t>
      </w:r>
      <w:r w:rsidR="00A70B21">
        <w:rPr>
          <w:rFonts w:cs="Arial"/>
          <w:sz w:val="20"/>
          <w:szCs w:val="20"/>
          <w:lang w:val="en-GB"/>
        </w:rPr>
        <w:t>30</w:t>
      </w:r>
      <w:r w:rsidR="002D4F5E">
        <w:rPr>
          <w:rFonts w:cs="Arial"/>
          <w:sz w:val="20"/>
          <w:szCs w:val="20"/>
          <w:lang w:val="en-GB"/>
        </w:rPr>
        <w:t>-</w:t>
      </w:r>
      <w:r w:rsidR="00A70B21">
        <w:rPr>
          <w:rFonts w:cs="Arial"/>
          <w:sz w:val="20"/>
          <w:szCs w:val="20"/>
          <w:lang w:val="en-GB"/>
        </w:rPr>
        <w:t>3486</w:t>
      </w:r>
    </w:p>
    <w:p w14:paraId="5F0EE2C2" w14:textId="77777777" w:rsidR="00C30A15" w:rsidRPr="00910EE9" w:rsidRDefault="00C30A15" w:rsidP="00C30A15">
      <w:pPr>
        <w:tabs>
          <w:tab w:val="center" w:pos="2196"/>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ab/>
      </w:r>
    </w:p>
    <w:p w14:paraId="591E127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71B6CE25" w14:textId="3FFB56ED"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     </w:t>
      </w:r>
      <w:r w:rsidR="00ED5EB7" w:rsidRPr="002553D3">
        <w:rPr>
          <w:noProof/>
        </w:rPr>
        <w:drawing>
          <wp:inline distT="0" distB="0" distL="0" distR="0" wp14:anchorId="2842AA1A" wp14:editId="20845F6B">
            <wp:extent cx="1233488" cy="40460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8919" cy="442470"/>
                    </a:xfrm>
                    <a:prstGeom prst="rect">
                      <a:avLst/>
                    </a:prstGeom>
                    <a:noFill/>
                    <a:ln>
                      <a:noFill/>
                    </a:ln>
                  </pic:spPr>
                </pic:pic>
              </a:graphicData>
            </a:graphic>
          </wp:inline>
        </w:drawing>
      </w:r>
      <w:r w:rsidRPr="00910EE9">
        <w:rPr>
          <w:rFonts w:cs="Arial"/>
          <w:sz w:val="20"/>
          <w:szCs w:val="20"/>
          <w:lang w:val="en-GB"/>
        </w:rPr>
        <w:t xml:space="preserve">                                                                               </w:t>
      </w:r>
    </w:p>
    <w:p w14:paraId="0D0F51C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noProof/>
          <w:sz w:val="20"/>
          <w:szCs w:val="20"/>
          <w:lang w:val="en-CA"/>
        </w:rPr>
        <mc:AlternateContent>
          <mc:Choice Requires="wps">
            <w:drawing>
              <wp:anchor distT="0" distB="0" distL="114300" distR="114300" simplePos="0" relativeHeight="251664384" behindDoc="1" locked="1" layoutInCell="0" allowOverlap="1" wp14:anchorId="7E46171B" wp14:editId="61F16270">
                <wp:simplePos x="0" y="0"/>
                <wp:positionH relativeFrom="page">
                  <wp:posOffset>3886200</wp:posOffset>
                </wp:positionH>
                <wp:positionV relativeFrom="paragraph">
                  <wp:posOffset>0</wp:posOffset>
                </wp:positionV>
                <wp:extent cx="2788920" cy="12065"/>
                <wp:effectExtent l="0" t="3175" r="190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9418B" id="Rectangle 3" o:spid="_x0000_s1026" style="position:absolute;margin-left:306pt;margin-top:0;width:219.6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" o:allowincell="f" fillcolor="black" stroked="f" strokeweight="0">
                <w10:wrap anchorx="page"/>
                <w10:anchorlock/>
              </v:rect>
            </w:pict>
          </mc:Fallback>
        </mc:AlternateContent>
      </w:r>
      <w:r>
        <w:rPr>
          <w:rFonts w:cs="Arial"/>
          <w:sz w:val="20"/>
          <w:szCs w:val="20"/>
          <w:lang w:val="en-GB"/>
        </w:rPr>
        <w:t>Victoria Kosny, Manager</w:t>
      </w:r>
    </w:p>
    <w:p w14:paraId="1FC0641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Community Planning and Development</w:t>
      </w:r>
    </w:p>
    <w:p w14:paraId="32CD377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num="2" w:space="720" w:equalWidth="0">
            <w:col w:w="4176" w:space="504"/>
            <w:col w:w="4392"/>
          </w:cols>
          <w:noEndnote/>
        </w:sectPr>
      </w:pPr>
    </w:p>
    <w:p w14:paraId="05D60ABB"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space="720"/>
          <w:noEndnote/>
        </w:sectPr>
      </w:pPr>
    </w:p>
    <w:p w14:paraId="7F665F61" w14:textId="77777777" w:rsidR="0035300C" w:rsidRPr="00455044" w:rsidRDefault="0035300C"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r w:rsidRPr="00455044">
        <w:rPr>
          <w:rFonts w:cs="Arial"/>
          <w:sz w:val="22"/>
          <w:szCs w:val="22"/>
          <w:lang w:val="en-GB"/>
        </w:rPr>
        <w:lastRenderedPageBreak/>
        <w:t xml:space="preserve">The Minister's conditions to the granting of consent for this transaction </w:t>
      </w:r>
      <w:r w:rsidRPr="00455044">
        <w:rPr>
          <w:rFonts w:cs="Arial"/>
          <w:b/>
          <w:bCs/>
          <w:sz w:val="22"/>
          <w:szCs w:val="22"/>
          <w:lang w:val="en-GB"/>
        </w:rPr>
        <w:t>which must be fulfilled within one year from the date of this letter</w:t>
      </w:r>
      <w:r w:rsidRPr="00455044">
        <w:rPr>
          <w:rFonts w:cs="Arial"/>
          <w:sz w:val="22"/>
          <w:szCs w:val="22"/>
          <w:lang w:val="en-GB"/>
        </w:rPr>
        <w:t xml:space="preserve"> are set out below.  These conditions must be fulfilled prior to the granting of consent.</w:t>
      </w:r>
    </w:p>
    <w:p w14:paraId="1565F5F7"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0399C399"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lang w:val="en-GB"/>
        </w:rPr>
      </w:pPr>
      <w:r>
        <w:rPr>
          <w:rFonts w:cs="Arial"/>
          <w:noProof/>
          <w:sz w:val="22"/>
          <w:szCs w:val="22"/>
          <w:lang w:val="en-CA"/>
        </w:rPr>
        <mc:AlternateContent>
          <mc:Choice Requires="wps">
            <w:drawing>
              <wp:anchor distT="0" distB="0" distL="114300" distR="114300" simplePos="0" relativeHeight="251661312" behindDoc="1" locked="1" layoutInCell="0" allowOverlap="1" wp14:anchorId="045A57CE" wp14:editId="18E729A5">
                <wp:simplePos x="0" y="0"/>
                <wp:positionH relativeFrom="page">
                  <wp:posOffset>467360</wp:posOffset>
                </wp:positionH>
                <wp:positionV relativeFrom="paragraph">
                  <wp:posOffset>0</wp:posOffset>
                </wp:positionV>
                <wp:extent cx="6219190" cy="12065"/>
                <wp:effectExtent l="63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B909" id="Rectangle 2" o:spid="_x0000_s1026" style="position:absolute;margin-left:36.8pt;margin-top:0;width:489.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" o:allowincell="f" fillcolor="black" stroked="f" strokeweight="0">
                <w10:wrap anchorx="page"/>
                <w10:anchorlock/>
              </v:rect>
            </w:pict>
          </mc:Fallback>
        </mc:AlternateContent>
      </w:r>
    </w:p>
    <w:p w14:paraId="3CF18745"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lang w:val="en-GB"/>
        </w:rPr>
      </w:pPr>
      <w:r w:rsidRPr="00455044">
        <w:rPr>
          <w:rFonts w:cs="Arial"/>
          <w:sz w:val="22"/>
          <w:szCs w:val="22"/>
          <w:lang w:val="en-GB"/>
        </w:rPr>
        <w:t>No.</w:t>
      </w:r>
      <w:r w:rsidRPr="00455044">
        <w:rPr>
          <w:rFonts w:cs="Arial"/>
          <w:sz w:val="22"/>
          <w:szCs w:val="22"/>
          <w:lang w:val="en-GB"/>
        </w:rPr>
        <w:tab/>
        <w:t>Conditions</w:t>
      </w:r>
    </w:p>
    <w:p w14:paraId="18DF2EDF" w14:textId="77777777" w:rsidR="0035300C" w:rsidRPr="003B7991" w:rsidRDefault="0035300C" w:rsidP="003B799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u w:val="single"/>
          <w:lang w:val="en-GB"/>
        </w:rPr>
      </w:pPr>
      <w:r>
        <w:rPr>
          <w:rFonts w:cs="Arial"/>
          <w:noProof/>
          <w:sz w:val="22"/>
          <w:szCs w:val="22"/>
          <w:lang w:val="en-CA"/>
        </w:rPr>
        <mc:AlternateContent>
          <mc:Choice Requires="wps">
            <w:drawing>
              <wp:anchor distT="0" distB="0" distL="114300" distR="114300" simplePos="0" relativeHeight="251662336" behindDoc="1" locked="1" layoutInCell="0" allowOverlap="1" wp14:anchorId="77354E11" wp14:editId="5300EC0B">
                <wp:simplePos x="0" y="0"/>
                <wp:positionH relativeFrom="page">
                  <wp:posOffset>467360</wp:posOffset>
                </wp:positionH>
                <wp:positionV relativeFrom="paragraph">
                  <wp:posOffset>0</wp:posOffset>
                </wp:positionV>
                <wp:extent cx="6219190" cy="12065"/>
                <wp:effectExtent l="63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D67D5" id="Rectangle 1" o:spid="_x0000_s1026" style="position:absolute;margin-left:36.8pt;margin-top:0;width:489.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" o:allowincell="f" fillcolor="black" stroked="f" strokeweight="0">
                <w10:wrap anchorx="page"/>
                <w10:anchorlock/>
              </v:rect>
            </w:pict>
          </mc:Fallback>
        </mc:AlternateContent>
      </w:r>
    </w:p>
    <w:p w14:paraId="4515DB75" w14:textId="77777777" w:rsidR="000A6161" w:rsidRDefault="000A6161" w:rsidP="000A6161">
      <w:pPr>
        <w:pStyle w:val="Level1"/>
        <w:ind w:left="360"/>
        <w:rPr>
          <w:sz w:val="22"/>
        </w:rPr>
      </w:pPr>
    </w:p>
    <w:p w14:paraId="5EDD848D" w14:textId="469F89A1" w:rsidR="00E634D1" w:rsidRDefault="002D4AE3" w:rsidP="00751CC8">
      <w:pPr>
        <w:pStyle w:val="Level1"/>
        <w:numPr>
          <w:ilvl w:val="0"/>
          <w:numId w:val="12"/>
        </w:numPr>
        <w:rPr>
          <w:sz w:val="22"/>
        </w:rPr>
      </w:pPr>
      <w:r w:rsidRPr="00D1726A">
        <w:rPr>
          <w:sz w:val="22"/>
        </w:rPr>
        <w:t xml:space="preserve">That this approval applies </w:t>
      </w:r>
      <w:r>
        <w:rPr>
          <w:sz w:val="22"/>
        </w:rPr>
        <w:t xml:space="preserve">to </w:t>
      </w:r>
      <w:r w:rsidR="00E634D1">
        <w:rPr>
          <w:sz w:val="22"/>
        </w:rPr>
        <w:t xml:space="preserve">the creation of one new lot, approximately 1 hectare in size, for </w:t>
      </w:r>
      <w:r w:rsidR="002C1ED7">
        <w:rPr>
          <w:sz w:val="22"/>
        </w:rPr>
        <w:t xml:space="preserve">resource based </w:t>
      </w:r>
      <w:r w:rsidR="00E634D1">
        <w:rPr>
          <w:sz w:val="22"/>
        </w:rPr>
        <w:t xml:space="preserve">recreational </w:t>
      </w:r>
      <w:r w:rsidR="00AC3209">
        <w:rPr>
          <w:sz w:val="22"/>
        </w:rPr>
        <w:t>use</w:t>
      </w:r>
      <w:r w:rsidR="00E634D1">
        <w:rPr>
          <w:sz w:val="22"/>
        </w:rPr>
        <w:t xml:space="preserve">.  </w:t>
      </w:r>
    </w:p>
    <w:p w14:paraId="2B4007DF" w14:textId="77777777" w:rsidR="00E634D1" w:rsidRDefault="00E634D1" w:rsidP="00E634D1">
      <w:pPr>
        <w:pStyle w:val="Level1"/>
        <w:ind w:left="360"/>
        <w:rPr>
          <w:sz w:val="22"/>
        </w:rPr>
      </w:pPr>
    </w:p>
    <w:p w14:paraId="7290E50D" w14:textId="416712D2" w:rsidR="002D4AE3" w:rsidRPr="00E634D1" w:rsidRDefault="00E634D1" w:rsidP="00E634D1">
      <w:pPr>
        <w:pStyle w:val="Level1"/>
        <w:numPr>
          <w:ilvl w:val="0"/>
          <w:numId w:val="12"/>
        </w:numPr>
        <w:rPr>
          <w:sz w:val="22"/>
        </w:rPr>
      </w:pPr>
      <w:r>
        <w:rPr>
          <w:rFonts w:cs="Arial"/>
          <w:sz w:val="22"/>
          <w:szCs w:val="22"/>
          <w:lang w:val="en-GB"/>
        </w:rPr>
        <w:t>That an easement in favour of the severed lands</w:t>
      </w:r>
      <w:r>
        <w:rPr>
          <w:rFonts w:cs="Arial"/>
          <w:bCs/>
          <w:sz w:val="22"/>
          <w:szCs w:val="22"/>
          <w:lang w:val="en-CA"/>
        </w:rPr>
        <w:t xml:space="preserve"> for access purposes</w:t>
      </w:r>
      <w:r>
        <w:rPr>
          <w:rFonts w:cs="Arial"/>
          <w:sz w:val="22"/>
          <w:szCs w:val="22"/>
          <w:lang w:val="en-CA"/>
        </w:rPr>
        <w:t xml:space="preserve"> </w:t>
      </w:r>
      <w:r>
        <w:rPr>
          <w:rFonts w:cs="Arial"/>
          <w:bCs/>
          <w:sz w:val="22"/>
          <w:szCs w:val="22"/>
          <w:lang w:val="en-CA"/>
        </w:rPr>
        <w:t xml:space="preserve">over the retained property </w:t>
      </w:r>
      <w:r w:rsidR="00437FF8">
        <w:rPr>
          <w:rFonts w:cs="Arial"/>
          <w:bCs/>
          <w:sz w:val="22"/>
          <w:szCs w:val="22"/>
          <w:lang w:val="en-CA"/>
        </w:rPr>
        <w:t xml:space="preserve">be </w:t>
      </w:r>
      <w:r>
        <w:rPr>
          <w:rFonts w:cs="Arial"/>
          <w:sz w:val="22"/>
          <w:szCs w:val="22"/>
          <w:lang w:val="en-CA"/>
        </w:rPr>
        <w:t xml:space="preserve">registered on title </w:t>
      </w:r>
      <w:r w:rsidR="00437FF8">
        <w:rPr>
          <w:rFonts w:cs="Arial"/>
          <w:sz w:val="22"/>
          <w:szCs w:val="22"/>
          <w:lang w:val="en-CA"/>
        </w:rPr>
        <w:t>and</w:t>
      </w:r>
      <w:r>
        <w:rPr>
          <w:rFonts w:cs="Arial"/>
          <w:sz w:val="22"/>
          <w:szCs w:val="22"/>
          <w:lang w:val="en-CA"/>
        </w:rPr>
        <w:t xml:space="preserve"> included in the Transfer </w:t>
      </w:r>
      <w:r w:rsidR="00437FF8">
        <w:rPr>
          <w:rFonts w:cs="Arial"/>
          <w:sz w:val="22"/>
          <w:szCs w:val="22"/>
          <w:lang w:val="en-CA"/>
        </w:rPr>
        <w:t>document</w:t>
      </w:r>
      <w:r>
        <w:rPr>
          <w:rFonts w:cs="Arial"/>
          <w:sz w:val="22"/>
          <w:szCs w:val="22"/>
          <w:lang w:val="en-CA"/>
        </w:rPr>
        <w:t xml:space="preserve">, the Schedule and the survey plan submitted. </w:t>
      </w:r>
    </w:p>
    <w:p w14:paraId="3BB023DA" w14:textId="77777777" w:rsidR="001366F3" w:rsidRPr="00D1726A" w:rsidRDefault="001366F3" w:rsidP="002A4DC0">
      <w:pPr>
        <w:pStyle w:val="Level1"/>
        <w:tabs>
          <w:tab w:val="left" w:pos="1812"/>
        </w:tabs>
        <w:ind w:left="11" w:firstLine="1800"/>
        <w:rPr>
          <w:sz w:val="22"/>
        </w:rPr>
      </w:pPr>
    </w:p>
    <w:p w14:paraId="6F5C2D0C" w14:textId="77777777" w:rsidR="0035300C" w:rsidRPr="00D1726A" w:rsidRDefault="0035300C" w:rsidP="002A4DC0">
      <w:pPr>
        <w:pStyle w:val="Level1"/>
        <w:numPr>
          <w:ilvl w:val="0"/>
          <w:numId w:val="12"/>
        </w:numPr>
        <w:rPr>
          <w:sz w:val="22"/>
        </w:rPr>
      </w:pPr>
      <w:r w:rsidRPr="00D1726A">
        <w:rPr>
          <w:sz w:val="22"/>
        </w:rPr>
        <w:t>That the following documents be provided for the transaction described in Condition 1:</w:t>
      </w:r>
    </w:p>
    <w:p w14:paraId="3E3910CF" w14:textId="77777777" w:rsidR="0035300C" w:rsidRPr="00D1726A" w:rsidRDefault="0035300C" w:rsidP="00D1726A">
      <w:pPr>
        <w:ind w:hanging="709"/>
        <w:rPr>
          <w:rFonts w:cs="Arial"/>
          <w:sz w:val="20"/>
          <w:szCs w:val="22"/>
        </w:rPr>
      </w:pPr>
    </w:p>
    <w:p w14:paraId="2E469AF5"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copy of the application to transfer documents;</w:t>
      </w:r>
    </w:p>
    <w:p w14:paraId="65B386F6" w14:textId="77777777" w:rsidR="0035300C" w:rsidRPr="00D314B2" w:rsidRDefault="0035300C" w:rsidP="002A4DC0">
      <w:pPr>
        <w:ind w:hanging="709"/>
        <w:rPr>
          <w:rFonts w:cs="Arial"/>
          <w:sz w:val="22"/>
          <w:szCs w:val="22"/>
        </w:rPr>
      </w:pPr>
    </w:p>
    <w:p w14:paraId="334D8307"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schedule to application to transfer on which is set out the entire legal description of the parcel(s) in question.  This Schedule must also contain the names of the parties indicated on application to transfer; and</w:t>
      </w:r>
    </w:p>
    <w:p w14:paraId="3FA88074" w14:textId="77777777" w:rsidR="0035300C" w:rsidRPr="00D314B2" w:rsidRDefault="0035300C" w:rsidP="002A4DC0">
      <w:pPr>
        <w:ind w:hanging="709"/>
        <w:rPr>
          <w:rFonts w:cs="Arial"/>
          <w:sz w:val="22"/>
          <w:szCs w:val="22"/>
        </w:rPr>
      </w:pPr>
    </w:p>
    <w:p w14:paraId="3B63AD27" w14:textId="1DA09B8A" w:rsidR="00C93747" w:rsidRPr="002D4F5E" w:rsidRDefault="00AC6695" w:rsidP="00926B65">
      <w:pPr>
        <w:pStyle w:val="ListParagraph"/>
        <w:numPr>
          <w:ilvl w:val="1"/>
          <w:numId w:val="12"/>
        </w:numPr>
        <w:ind w:left="1080"/>
        <w:rPr>
          <w:rFonts w:cs="Arial"/>
          <w:sz w:val="22"/>
          <w:szCs w:val="22"/>
        </w:rPr>
      </w:pPr>
      <w:r w:rsidRPr="00D314B2">
        <w:rPr>
          <w:rFonts w:cs="Arial"/>
          <w:sz w:val="22"/>
          <w:szCs w:val="22"/>
        </w:rPr>
        <w:t>A reference plan of survey, which bears the Land Registry Office registration number and signature as evidence of its deposit therein, illustrating the parcel(s) to which the consent approval relates.</w:t>
      </w:r>
    </w:p>
    <w:p w14:paraId="2868264B" w14:textId="77777777" w:rsidR="00C93747" w:rsidRPr="002D4F5E" w:rsidRDefault="00C93747" w:rsidP="002D4F5E">
      <w:pPr>
        <w:rPr>
          <w:rFonts w:cs="Arial"/>
          <w:bCs/>
          <w:sz w:val="22"/>
          <w:szCs w:val="22"/>
          <w:lang w:val="en-CA"/>
        </w:rPr>
      </w:pPr>
    </w:p>
    <w:p w14:paraId="79A60D05" w14:textId="77777777" w:rsidR="002C1ED7" w:rsidRDefault="00E634D1" w:rsidP="00871CB7">
      <w:pPr>
        <w:pStyle w:val="ListParagraph"/>
        <w:numPr>
          <w:ilvl w:val="0"/>
          <w:numId w:val="12"/>
        </w:numPr>
        <w:rPr>
          <w:rFonts w:cs="Arial"/>
          <w:bCs/>
          <w:sz w:val="22"/>
          <w:szCs w:val="22"/>
        </w:rPr>
      </w:pPr>
      <w:r w:rsidRPr="00913538">
        <w:rPr>
          <w:rFonts w:cs="Arial"/>
          <w:bCs/>
          <w:sz w:val="22"/>
          <w:szCs w:val="22"/>
        </w:rPr>
        <w:t xml:space="preserve">That prior to final approval, </w:t>
      </w:r>
    </w:p>
    <w:p w14:paraId="43A5D341" w14:textId="77777777" w:rsidR="002C1ED7" w:rsidRPr="00AC3209" w:rsidRDefault="002C1ED7" w:rsidP="00AC3209">
      <w:pPr>
        <w:rPr>
          <w:rFonts w:cs="Arial"/>
          <w:bCs/>
          <w:sz w:val="22"/>
          <w:szCs w:val="22"/>
        </w:rPr>
      </w:pPr>
    </w:p>
    <w:p w14:paraId="4B53D897" w14:textId="25C2A606" w:rsidR="00581487" w:rsidRPr="00AC3209" w:rsidRDefault="00E634D1" w:rsidP="00AC3209">
      <w:pPr>
        <w:pStyle w:val="ListParagraph"/>
        <w:numPr>
          <w:ilvl w:val="0"/>
          <w:numId w:val="27"/>
        </w:numPr>
        <w:rPr>
          <w:rFonts w:cs="Arial"/>
          <w:bCs/>
          <w:sz w:val="22"/>
          <w:szCs w:val="22"/>
        </w:rPr>
      </w:pPr>
      <w:r w:rsidRPr="00AC3209">
        <w:rPr>
          <w:rFonts w:cs="Arial"/>
          <w:bCs/>
          <w:sz w:val="22"/>
          <w:szCs w:val="22"/>
        </w:rPr>
        <w:t>the owners of properties of Block</w:t>
      </w:r>
      <w:r w:rsidR="00EC35AE" w:rsidRPr="00AC3209">
        <w:rPr>
          <w:rFonts w:cs="Arial"/>
          <w:bCs/>
          <w:sz w:val="22"/>
          <w:szCs w:val="22"/>
        </w:rPr>
        <w:t>s</w:t>
      </w:r>
      <w:r w:rsidRPr="00AC3209">
        <w:rPr>
          <w:rFonts w:cs="Arial"/>
          <w:bCs/>
          <w:sz w:val="22"/>
          <w:szCs w:val="22"/>
        </w:rPr>
        <w:t xml:space="preserve"> B, C, Lots 5, 6 and 7, and any parts thereof, must apply to this Ministry and be granted approval to create easements for access purposes, and that these easements have been finalized, or alternatively, an undertaking to finalize these easements has been received by this Ministry</w:t>
      </w:r>
      <w:r w:rsidR="00913538" w:rsidRPr="00AC3209">
        <w:rPr>
          <w:rFonts w:cs="Arial"/>
          <w:bCs/>
          <w:sz w:val="22"/>
          <w:szCs w:val="22"/>
        </w:rPr>
        <w:t xml:space="preserve">; </w:t>
      </w:r>
      <w:r w:rsidR="002C1ED7" w:rsidRPr="00AC3209">
        <w:rPr>
          <w:rFonts w:cs="Arial"/>
          <w:bCs/>
          <w:sz w:val="22"/>
          <w:szCs w:val="22"/>
        </w:rPr>
        <w:t>or</w:t>
      </w:r>
    </w:p>
    <w:p w14:paraId="6D93326C" w14:textId="77777777" w:rsidR="00581487" w:rsidRDefault="00581487" w:rsidP="00581487">
      <w:pPr>
        <w:pStyle w:val="ListParagraph"/>
        <w:ind w:left="360"/>
        <w:rPr>
          <w:rFonts w:cs="Arial"/>
          <w:bCs/>
          <w:sz w:val="22"/>
          <w:szCs w:val="22"/>
        </w:rPr>
      </w:pPr>
    </w:p>
    <w:p w14:paraId="0598FE6A" w14:textId="343BB90A" w:rsidR="004F09D7" w:rsidRDefault="00913538" w:rsidP="00AC3209">
      <w:pPr>
        <w:pStyle w:val="ListParagraph"/>
        <w:numPr>
          <w:ilvl w:val="0"/>
          <w:numId w:val="27"/>
        </w:numPr>
        <w:rPr>
          <w:rFonts w:cs="Arial"/>
          <w:bCs/>
          <w:sz w:val="22"/>
          <w:szCs w:val="22"/>
        </w:rPr>
      </w:pPr>
      <w:r w:rsidRPr="00913538">
        <w:rPr>
          <w:rFonts w:cs="Arial"/>
          <w:bCs/>
          <w:sz w:val="22"/>
          <w:szCs w:val="22"/>
        </w:rPr>
        <w:t xml:space="preserve">that access agreements have been updated and registered on Title which reflect the current lot fabric and access </w:t>
      </w:r>
      <w:r w:rsidR="00B20FC4">
        <w:rPr>
          <w:rFonts w:cs="Arial"/>
          <w:bCs/>
          <w:sz w:val="22"/>
          <w:szCs w:val="22"/>
        </w:rPr>
        <w:t xml:space="preserve">for the users/owners in </w:t>
      </w:r>
      <w:r w:rsidR="004F09D7">
        <w:rPr>
          <w:rFonts w:cs="Arial"/>
          <w:bCs/>
          <w:sz w:val="22"/>
          <w:szCs w:val="22"/>
        </w:rPr>
        <w:t>perpetuity</w:t>
      </w:r>
      <w:r w:rsidR="002C1ED7">
        <w:rPr>
          <w:rFonts w:cs="Arial"/>
          <w:bCs/>
          <w:sz w:val="22"/>
          <w:szCs w:val="22"/>
        </w:rPr>
        <w:t>; or</w:t>
      </w:r>
    </w:p>
    <w:p w14:paraId="0BF3B442" w14:textId="77777777" w:rsidR="004F09D7" w:rsidRDefault="004F09D7" w:rsidP="00581487">
      <w:pPr>
        <w:pStyle w:val="ListParagraph"/>
        <w:ind w:left="360"/>
        <w:rPr>
          <w:rFonts w:cs="Arial"/>
          <w:bCs/>
          <w:sz w:val="22"/>
          <w:szCs w:val="22"/>
        </w:rPr>
      </w:pPr>
    </w:p>
    <w:p w14:paraId="254EA3BA" w14:textId="603B86A6" w:rsidR="00913538" w:rsidRPr="00913538" w:rsidRDefault="004F09D7" w:rsidP="00AC3209">
      <w:pPr>
        <w:pStyle w:val="ListParagraph"/>
        <w:numPr>
          <w:ilvl w:val="0"/>
          <w:numId w:val="27"/>
        </w:numPr>
        <w:rPr>
          <w:rFonts w:cs="Arial"/>
          <w:bCs/>
          <w:sz w:val="22"/>
          <w:szCs w:val="22"/>
        </w:rPr>
      </w:pPr>
      <w:r>
        <w:rPr>
          <w:rFonts w:cs="Arial"/>
          <w:bCs/>
          <w:sz w:val="22"/>
          <w:szCs w:val="22"/>
        </w:rPr>
        <w:t xml:space="preserve">that a letter from the Storm Bay </w:t>
      </w:r>
      <w:r w:rsidR="00AC3209">
        <w:rPr>
          <w:rFonts w:cs="Arial"/>
          <w:bCs/>
          <w:sz w:val="22"/>
          <w:szCs w:val="22"/>
        </w:rPr>
        <w:t xml:space="preserve">Local </w:t>
      </w:r>
      <w:r>
        <w:rPr>
          <w:rFonts w:cs="Arial"/>
          <w:bCs/>
          <w:sz w:val="22"/>
          <w:szCs w:val="22"/>
        </w:rPr>
        <w:t xml:space="preserve">Roads Board is provided that </w:t>
      </w:r>
      <w:r w:rsidR="00AC3209">
        <w:rPr>
          <w:rFonts w:cs="Arial"/>
          <w:bCs/>
          <w:sz w:val="22"/>
          <w:szCs w:val="22"/>
        </w:rPr>
        <w:t xml:space="preserve">indicates that </w:t>
      </w:r>
      <w:r w:rsidR="00913538" w:rsidRPr="00913538">
        <w:rPr>
          <w:rFonts w:cs="Arial"/>
          <w:bCs/>
          <w:sz w:val="22"/>
          <w:szCs w:val="22"/>
        </w:rPr>
        <w:t xml:space="preserve">Whitta Road </w:t>
      </w:r>
      <w:r>
        <w:rPr>
          <w:rFonts w:cs="Arial"/>
          <w:bCs/>
          <w:sz w:val="22"/>
          <w:szCs w:val="22"/>
        </w:rPr>
        <w:t>has been</w:t>
      </w:r>
      <w:r w:rsidR="00913538" w:rsidRPr="00913538">
        <w:rPr>
          <w:rFonts w:cs="Arial"/>
          <w:bCs/>
          <w:sz w:val="22"/>
          <w:szCs w:val="22"/>
        </w:rPr>
        <w:t xml:space="preserve"> brought up to roads board standard and voted into the Storm Bay Local Roads Board system.  See Note #</w:t>
      </w:r>
      <w:r>
        <w:rPr>
          <w:rFonts w:cs="Arial"/>
          <w:bCs/>
          <w:sz w:val="22"/>
          <w:szCs w:val="22"/>
        </w:rPr>
        <w:t xml:space="preserve">4 </w:t>
      </w:r>
      <w:r w:rsidR="00913538">
        <w:rPr>
          <w:rFonts w:cs="Arial"/>
          <w:bCs/>
          <w:sz w:val="22"/>
          <w:szCs w:val="22"/>
        </w:rPr>
        <w:t>f</w:t>
      </w:r>
      <w:r w:rsidR="00913538" w:rsidRPr="00913538">
        <w:rPr>
          <w:rFonts w:cs="Arial"/>
          <w:bCs/>
          <w:sz w:val="22"/>
          <w:szCs w:val="22"/>
        </w:rPr>
        <w:t xml:space="preserve">or </w:t>
      </w:r>
      <w:r w:rsidR="00913538">
        <w:rPr>
          <w:rFonts w:cs="Arial"/>
          <w:bCs/>
          <w:sz w:val="22"/>
          <w:szCs w:val="22"/>
        </w:rPr>
        <w:t>further</w:t>
      </w:r>
      <w:r w:rsidR="00913538" w:rsidRPr="00913538">
        <w:rPr>
          <w:rFonts w:cs="Arial"/>
          <w:bCs/>
          <w:sz w:val="22"/>
          <w:szCs w:val="22"/>
        </w:rPr>
        <w:t xml:space="preserve"> information.</w:t>
      </w:r>
    </w:p>
    <w:p w14:paraId="52AAAB56" w14:textId="7367B40B" w:rsidR="005777F0" w:rsidRDefault="005777F0">
      <w:pPr>
        <w:widowControl/>
        <w:autoSpaceDE/>
        <w:autoSpaceDN/>
        <w:adjustRightInd/>
        <w:spacing w:after="200" w:line="276" w:lineRule="auto"/>
        <w:rPr>
          <w:rFonts w:cs="Arial"/>
          <w:bCs/>
          <w:sz w:val="22"/>
          <w:szCs w:val="22"/>
          <w:lang w:val="en-CA"/>
        </w:rPr>
      </w:pPr>
      <w:r>
        <w:rPr>
          <w:rFonts w:cs="Arial"/>
          <w:bCs/>
          <w:sz w:val="22"/>
          <w:szCs w:val="22"/>
          <w:lang w:val="en-CA"/>
        </w:rPr>
        <w:br w:type="page"/>
      </w:r>
    </w:p>
    <w:p w14:paraId="749EA578" w14:textId="02C6B45F" w:rsidR="00DD144D" w:rsidRPr="00C93747" w:rsidRDefault="00DD144D" w:rsidP="00DD144D">
      <w:pPr>
        <w:pStyle w:val="Level1"/>
        <w:numPr>
          <w:ilvl w:val="0"/>
          <w:numId w:val="12"/>
        </w:numPr>
        <w:rPr>
          <w:sz w:val="22"/>
        </w:rPr>
      </w:pPr>
      <w:r w:rsidRPr="00C93747">
        <w:rPr>
          <w:sz w:val="22"/>
        </w:rPr>
        <w:lastRenderedPageBreak/>
        <w:t xml:space="preserve">That prior to final approval, and pursuant to subsections 53(12) and 51(25) and 51(26) or (27) of the </w:t>
      </w:r>
      <w:r w:rsidRPr="00C93747">
        <w:rPr>
          <w:i/>
          <w:sz w:val="22"/>
        </w:rPr>
        <w:t>Planning Act</w:t>
      </w:r>
      <w:r w:rsidRPr="00C93747">
        <w:rPr>
          <w:sz w:val="22"/>
        </w:rPr>
        <w:t>, the applicant</w:t>
      </w:r>
      <w:r w:rsidR="007B7879">
        <w:rPr>
          <w:sz w:val="22"/>
        </w:rPr>
        <w:t>s</w:t>
      </w:r>
      <w:r w:rsidRPr="00C93747">
        <w:rPr>
          <w:sz w:val="22"/>
        </w:rPr>
        <w:t xml:space="preserve"> shall enter into a Consent Agreement for </w:t>
      </w:r>
      <w:r w:rsidR="007B7879">
        <w:rPr>
          <w:sz w:val="22"/>
        </w:rPr>
        <w:t xml:space="preserve">the </w:t>
      </w:r>
      <w:r w:rsidRPr="00C93747">
        <w:rPr>
          <w:sz w:val="22"/>
        </w:rPr>
        <w:t xml:space="preserve">new lot with the Ministry of Municipal Affairs and Housing (MMAH), to its satisfaction, addressing the use and potential development of the new lot, including: </w:t>
      </w:r>
    </w:p>
    <w:p w14:paraId="053EE6E1" w14:textId="77777777" w:rsidR="00DD144D" w:rsidRDefault="00DD144D" w:rsidP="00DD144D">
      <w:pPr>
        <w:tabs>
          <w:tab w:val="left" w:pos="-1080"/>
          <w:tab w:val="left" w:pos="-720"/>
          <w:tab w:val="left" w:pos="0"/>
          <w:tab w:val="left" w:pos="720"/>
          <w:tab w:val="left" w:pos="1440"/>
          <w:tab w:val="left" w:pos="2160"/>
          <w:tab w:val="left" w:pos="2610"/>
          <w:tab w:val="left" w:pos="2880"/>
          <w:tab w:val="left" w:pos="3240"/>
        </w:tabs>
        <w:rPr>
          <w:rFonts w:cs="Arial"/>
          <w:bCs/>
          <w:sz w:val="22"/>
          <w:szCs w:val="22"/>
        </w:rPr>
      </w:pPr>
    </w:p>
    <w:p w14:paraId="592C09FF" w14:textId="0BBF336C" w:rsidR="00DD144D" w:rsidRDefault="00DD144D" w:rsidP="00DD144D">
      <w:pPr>
        <w:pStyle w:val="ListParagraph"/>
        <w:numPr>
          <w:ilvl w:val="1"/>
          <w:numId w:val="12"/>
        </w:numPr>
        <w:ind w:left="1080"/>
        <w:rPr>
          <w:rFonts w:cs="Arial"/>
          <w:sz w:val="22"/>
          <w:szCs w:val="22"/>
        </w:rPr>
      </w:pPr>
      <w:bookmarkStart w:id="0" w:name="_Hlk8815056"/>
      <w:r w:rsidRPr="00C93747">
        <w:rPr>
          <w:rFonts w:cs="Arial"/>
          <w:sz w:val="22"/>
          <w:szCs w:val="22"/>
        </w:rPr>
        <w:t xml:space="preserve">The lot can only be used for resource-based recreational </w:t>
      </w:r>
      <w:r w:rsidR="007B7879">
        <w:rPr>
          <w:rFonts w:cs="Arial"/>
          <w:sz w:val="22"/>
          <w:szCs w:val="22"/>
        </w:rPr>
        <w:t>purposes</w:t>
      </w:r>
      <w:r w:rsidRPr="00C93747">
        <w:rPr>
          <w:rFonts w:cs="Arial"/>
          <w:sz w:val="22"/>
          <w:szCs w:val="22"/>
        </w:rPr>
        <w:t xml:space="preserve"> (including a resource-based recreational dwelling) and is not to be used for permanent residential use</w:t>
      </w:r>
      <w:r>
        <w:rPr>
          <w:rFonts w:cs="Arial"/>
          <w:sz w:val="22"/>
          <w:szCs w:val="22"/>
        </w:rPr>
        <w:t>;</w:t>
      </w:r>
    </w:p>
    <w:bookmarkEnd w:id="0"/>
    <w:p w14:paraId="4DD73F18" w14:textId="77777777" w:rsidR="00DD144D" w:rsidRPr="00C93747" w:rsidRDefault="00DD144D" w:rsidP="00DD144D">
      <w:pPr>
        <w:pStyle w:val="ListParagraph"/>
        <w:ind w:left="1080"/>
        <w:rPr>
          <w:rFonts w:cs="Arial"/>
          <w:sz w:val="22"/>
          <w:szCs w:val="22"/>
        </w:rPr>
      </w:pPr>
    </w:p>
    <w:p w14:paraId="559C5841" w14:textId="63D44B59" w:rsidR="00DD144D" w:rsidRPr="00C93747" w:rsidRDefault="00DD144D" w:rsidP="00DD144D">
      <w:pPr>
        <w:pStyle w:val="ListParagraph"/>
        <w:numPr>
          <w:ilvl w:val="1"/>
          <w:numId w:val="12"/>
        </w:numPr>
        <w:ind w:left="1080"/>
        <w:rPr>
          <w:rFonts w:cs="Arial"/>
          <w:sz w:val="22"/>
          <w:szCs w:val="22"/>
        </w:rPr>
      </w:pPr>
      <w:r w:rsidRPr="00C93747">
        <w:rPr>
          <w:rFonts w:cs="Arial"/>
          <w:sz w:val="22"/>
          <w:szCs w:val="22"/>
        </w:rPr>
        <w:t>Provisions to obtain undertakings from the applicant and/or the applicants</w:t>
      </w:r>
      <w:r w:rsidR="007B7879">
        <w:rPr>
          <w:rFonts w:cs="Arial"/>
          <w:sz w:val="22"/>
          <w:szCs w:val="22"/>
        </w:rPr>
        <w:t>’</w:t>
      </w:r>
      <w:r w:rsidRPr="00C93747">
        <w:rPr>
          <w:rFonts w:cs="Arial"/>
          <w:sz w:val="22"/>
          <w:szCs w:val="22"/>
        </w:rPr>
        <w:t xml:space="preserve"> lawyer to implement conditions and requirements, including that the Consent Agreement be registered on title in priority to other documents; and </w:t>
      </w:r>
    </w:p>
    <w:p w14:paraId="69F29BF7" w14:textId="77777777" w:rsidR="00DD144D" w:rsidRPr="00C93747" w:rsidRDefault="00DD144D" w:rsidP="00DD144D">
      <w:pPr>
        <w:pStyle w:val="ListParagraph"/>
        <w:ind w:left="1080"/>
        <w:rPr>
          <w:rFonts w:cs="Arial"/>
          <w:sz w:val="22"/>
          <w:szCs w:val="22"/>
        </w:rPr>
      </w:pPr>
    </w:p>
    <w:p w14:paraId="1B563138" w14:textId="77777777" w:rsidR="00DD144D" w:rsidRDefault="00DD144D" w:rsidP="00DD144D">
      <w:pPr>
        <w:pStyle w:val="ListParagraph"/>
        <w:numPr>
          <w:ilvl w:val="1"/>
          <w:numId w:val="12"/>
        </w:numPr>
        <w:ind w:left="1080"/>
        <w:rPr>
          <w:rFonts w:cs="Arial"/>
          <w:sz w:val="22"/>
          <w:szCs w:val="22"/>
        </w:rPr>
      </w:pPr>
      <w:r w:rsidRPr="00C93747">
        <w:rPr>
          <w:rFonts w:cs="Arial"/>
          <w:sz w:val="22"/>
          <w:szCs w:val="22"/>
        </w:rPr>
        <w:t xml:space="preserve">Provisions relating to the enforcement of the Consent Agreement. </w:t>
      </w:r>
    </w:p>
    <w:p w14:paraId="339EF80C" w14:textId="77777777" w:rsidR="00DD144D" w:rsidRDefault="00DD144D" w:rsidP="00AC3209">
      <w:pPr>
        <w:pStyle w:val="ListParagraph"/>
        <w:ind w:left="360"/>
        <w:rPr>
          <w:rFonts w:cs="Arial"/>
          <w:bCs/>
          <w:sz w:val="22"/>
          <w:szCs w:val="22"/>
          <w:lang w:val="en-CA"/>
        </w:rPr>
      </w:pPr>
    </w:p>
    <w:p w14:paraId="007860F8" w14:textId="084AAB6C" w:rsidR="00147CBE" w:rsidRDefault="00147CBE" w:rsidP="00147CBE">
      <w:pPr>
        <w:pStyle w:val="ListParagraph"/>
        <w:numPr>
          <w:ilvl w:val="0"/>
          <w:numId w:val="12"/>
        </w:numPr>
        <w:rPr>
          <w:rFonts w:cs="Arial"/>
          <w:bCs/>
          <w:sz w:val="22"/>
          <w:szCs w:val="22"/>
          <w:lang w:val="en-CA"/>
        </w:rPr>
      </w:pPr>
      <w:r w:rsidRPr="00147CBE">
        <w:rPr>
          <w:rFonts w:cs="Arial"/>
          <w:bCs/>
          <w:sz w:val="22"/>
          <w:szCs w:val="22"/>
          <w:lang w:val="en-CA"/>
        </w:rPr>
        <w:t>That prior to final approval, written confirmation is received which states that there is adequate capacity to dispose of hauled sewage generated by the severed and retained lands. This written confirmation should take the form of a letter from the holder of an Environmental Compliance Approval (ECA) for an approved septage disposal facility, referencing the disposal facility and the related Ministry of Environment, Conservation and Parks (MECP) approval, and confirming that the disposal facility has sufficient reserve capacity to accept hauled sewage from the lots.</w:t>
      </w:r>
    </w:p>
    <w:p w14:paraId="252CB614" w14:textId="77777777" w:rsidR="00147CBE" w:rsidRPr="00147CBE" w:rsidRDefault="00147CBE" w:rsidP="00147CBE">
      <w:pPr>
        <w:pStyle w:val="ListParagraph"/>
        <w:rPr>
          <w:sz w:val="22"/>
          <w:szCs w:val="20"/>
        </w:rPr>
      </w:pPr>
    </w:p>
    <w:p w14:paraId="75511B0C" w14:textId="15F21E60" w:rsidR="00581487" w:rsidRPr="004F09D7" w:rsidRDefault="00581487" w:rsidP="004F09D7">
      <w:pPr>
        <w:pStyle w:val="ListParagraph"/>
        <w:numPr>
          <w:ilvl w:val="0"/>
          <w:numId w:val="12"/>
        </w:numPr>
        <w:rPr>
          <w:rFonts w:cs="Arial"/>
          <w:bCs/>
          <w:sz w:val="22"/>
          <w:szCs w:val="22"/>
          <w:lang w:val="en-CA"/>
        </w:rPr>
      </w:pPr>
      <w:r>
        <w:rPr>
          <w:rFonts w:cs="Arial"/>
          <w:bCs/>
          <w:sz w:val="22"/>
          <w:szCs w:val="22"/>
          <w:lang w:val="en-CA"/>
        </w:rPr>
        <w:t>That prior to final approval, a flowage easement to elevation 324.6 metres CGVD 1928 (Canadian Geodetic Survey Datum of 1928) is required on the severed and retained lands and shorelines, provided a flowage easement or hazard land zone to the level does not already exist.</w:t>
      </w:r>
    </w:p>
    <w:p w14:paraId="4387854F" w14:textId="77777777" w:rsidR="00581487" w:rsidRPr="004F09D7" w:rsidRDefault="00581487" w:rsidP="004F09D7">
      <w:pPr>
        <w:pStyle w:val="ListParagraph"/>
        <w:rPr>
          <w:rFonts w:cs="Arial"/>
          <w:sz w:val="22"/>
          <w:szCs w:val="22"/>
        </w:rPr>
      </w:pPr>
    </w:p>
    <w:p w14:paraId="3BD25F76" w14:textId="625B8ECA" w:rsidR="00147CBE" w:rsidRPr="007B7879" w:rsidRDefault="00147CBE" w:rsidP="004F09D7">
      <w:pPr>
        <w:pStyle w:val="ListParagraph"/>
        <w:numPr>
          <w:ilvl w:val="0"/>
          <w:numId w:val="12"/>
        </w:numPr>
        <w:rPr>
          <w:rFonts w:cs="Arial"/>
          <w:bCs/>
          <w:sz w:val="22"/>
          <w:szCs w:val="22"/>
          <w:lang w:val="en-CA"/>
        </w:rPr>
      </w:pPr>
      <w:r w:rsidRPr="004F09D7">
        <w:rPr>
          <w:rFonts w:cs="Arial"/>
          <w:sz w:val="22"/>
          <w:szCs w:val="22"/>
        </w:rPr>
        <w:t>This Ministry is to be advised in writing by the transferor that the Offer of Purchase and Sale agreement, or alternatively an acknowledgement by the transferor and transferees if the transaction is between family members, contains the following clause:</w:t>
      </w:r>
    </w:p>
    <w:p w14:paraId="2698E048" w14:textId="77777777" w:rsidR="007B7879" w:rsidRPr="007B7879" w:rsidRDefault="007B7879" w:rsidP="007B7879">
      <w:pPr>
        <w:pStyle w:val="ListParagraph"/>
        <w:rPr>
          <w:rFonts w:cs="Arial"/>
          <w:bCs/>
          <w:sz w:val="22"/>
          <w:szCs w:val="22"/>
          <w:lang w:val="en-CA"/>
        </w:rPr>
      </w:pPr>
    </w:p>
    <w:p w14:paraId="2DEEE334" w14:textId="2F035AD3" w:rsidR="00173B1D" w:rsidRDefault="00173B1D" w:rsidP="004F09D7">
      <w:pPr>
        <w:pStyle w:val="ListParagraph"/>
        <w:numPr>
          <w:ilvl w:val="1"/>
          <w:numId w:val="12"/>
        </w:numPr>
        <w:ind w:left="1134" w:hanging="425"/>
        <w:rPr>
          <w:rFonts w:cs="Arial"/>
          <w:sz w:val="22"/>
          <w:szCs w:val="22"/>
        </w:rPr>
      </w:pPr>
      <w:r>
        <w:rPr>
          <w:rFonts w:cs="Arial"/>
          <w:sz w:val="22"/>
          <w:szCs w:val="22"/>
        </w:rPr>
        <w:t>That Prospective buyers or transferees be</w:t>
      </w:r>
      <w:r w:rsidR="002812BD">
        <w:rPr>
          <w:rFonts w:cs="Arial"/>
          <w:sz w:val="22"/>
          <w:szCs w:val="22"/>
        </w:rPr>
        <w:t xml:space="preserve"> notified by the property owners that the Province of Ontario does not guarantee road access to the property and that private owners who rely on this road for access may need to assume costs and responsibility for upkeep and maintenance of this roadway (Whitta Road).</w:t>
      </w:r>
      <w:r>
        <w:rPr>
          <w:rFonts w:cs="Arial"/>
          <w:sz w:val="22"/>
          <w:szCs w:val="22"/>
        </w:rPr>
        <w:t xml:space="preserve"> </w:t>
      </w:r>
    </w:p>
    <w:p w14:paraId="47DD727B" w14:textId="77777777" w:rsidR="007B7879" w:rsidRDefault="007B7879" w:rsidP="007B7879">
      <w:pPr>
        <w:pStyle w:val="ListParagraph"/>
        <w:ind w:left="1134"/>
        <w:rPr>
          <w:rFonts w:cs="Arial"/>
          <w:sz w:val="22"/>
          <w:szCs w:val="22"/>
        </w:rPr>
      </w:pPr>
    </w:p>
    <w:p w14:paraId="10A518D2" w14:textId="67627989" w:rsidR="00147CBE" w:rsidRPr="004F09D7" w:rsidRDefault="00147CBE" w:rsidP="004F09D7">
      <w:pPr>
        <w:pStyle w:val="ListParagraph"/>
        <w:numPr>
          <w:ilvl w:val="1"/>
          <w:numId w:val="12"/>
        </w:numPr>
        <w:ind w:left="1134" w:hanging="425"/>
        <w:rPr>
          <w:rFonts w:cs="Arial"/>
          <w:sz w:val="22"/>
          <w:szCs w:val="22"/>
        </w:rPr>
      </w:pPr>
      <w:r w:rsidRPr="004F09D7">
        <w:rPr>
          <w:rFonts w:cs="Arial"/>
          <w:sz w:val="22"/>
          <w:szCs w:val="22"/>
        </w:rPr>
        <w:t>No assessment has been undertaken for groundwater quality or quantity. Groundwater supplies may not be adequate to support the use of individual private wells, should this source of water be used in future.</w:t>
      </w:r>
    </w:p>
    <w:p w14:paraId="300276F0" w14:textId="77777777" w:rsidR="007B7879" w:rsidRDefault="007B7879" w:rsidP="007B7879">
      <w:pPr>
        <w:pStyle w:val="ListParagraph"/>
        <w:ind w:left="1134"/>
        <w:rPr>
          <w:rFonts w:cs="Arial"/>
          <w:sz w:val="22"/>
          <w:szCs w:val="22"/>
        </w:rPr>
      </w:pPr>
    </w:p>
    <w:p w14:paraId="28B5F9CC" w14:textId="1F80ECA0" w:rsidR="00147CBE" w:rsidRPr="004F09D7" w:rsidRDefault="00147CBE" w:rsidP="004F09D7">
      <w:pPr>
        <w:pStyle w:val="ListParagraph"/>
        <w:numPr>
          <w:ilvl w:val="1"/>
          <w:numId w:val="12"/>
        </w:numPr>
        <w:ind w:left="1134" w:hanging="425"/>
        <w:rPr>
          <w:rFonts w:cs="Arial"/>
          <w:sz w:val="22"/>
          <w:szCs w:val="22"/>
        </w:rPr>
      </w:pPr>
      <w:r w:rsidRPr="004F09D7">
        <w:rPr>
          <w:rFonts w:cs="Arial"/>
          <w:sz w:val="22"/>
          <w:szCs w:val="22"/>
        </w:rPr>
        <w:t xml:space="preserve">Should wells be considered as drinking water sources, they must be constructed in </w:t>
      </w:r>
      <w:r w:rsidRPr="004F09D7">
        <w:rPr>
          <w:rFonts w:cs="Arial"/>
          <w:sz w:val="22"/>
          <w:szCs w:val="22"/>
        </w:rPr>
        <w:lastRenderedPageBreak/>
        <w:t>accordance with Regulation 903 - Wells, under the Ontario Water Resources Act.</w:t>
      </w:r>
    </w:p>
    <w:p w14:paraId="488BC953" w14:textId="77777777" w:rsidR="007B7879" w:rsidRDefault="007B7879" w:rsidP="007B7879">
      <w:pPr>
        <w:pStyle w:val="ListParagraph"/>
        <w:ind w:left="1134"/>
        <w:rPr>
          <w:rFonts w:cs="Arial"/>
          <w:sz w:val="22"/>
          <w:szCs w:val="22"/>
        </w:rPr>
      </w:pPr>
    </w:p>
    <w:p w14:paraId="683CC1DA" w14:textId="08A5DCE1" w:rsidR="00147CBE" w:rsidRDefault="00147CBE" w:rsidP="004F09D7">
      <w:pPr>
        <w:pStyle w:val="ListParagraph"/>
        <w:numPr>
          <w:ilvl w:val="1"/>
          <w:numId w:val="12"/>
        </w:numPr>
        <w:ind w:left="1134" w:hanging="425"/>
        <w:rPr>
          <w:rFonts w:cs="Arial"/>
          <w:sz w:val="22"/>
          <w:szCs w:val="22"/>
        </w:rPr>
      </w:pPr>
      <w:r w:rsidRPr="004F09D7">
        <w:rPr>
          <w:rFonts w:cs="Arial"/>
          <w:sz w:val="22"/>
          <w:szCs w:val="22"/>
        </w:rPr>
        <w:t xml:space="preserve">The water of </w:t>
      </w:r>
      <w:r w:rsidR="00A70B21" w:rsidRPr="004F09D7">
        <w:rPr>
          <w:rFonts w:cs="Arial"/>
          <w:sz w:val="22"/>
          <w:szCs w:val="22"/>
        </w:rPr>
        <w:t>Lake of the Woods</w:t>
      </w:r>
      <w:r w:rsidRPr="004F09D7">
        <w:rPr>
          <w:rFonts w:cs="Arial"/>
          <w:sz w:val="22"/>
          <w:szCs w:val="22"/>
        </w:rPr>
        <w:t xml:space="preserve"> should not be used for human consumption unless it is disinfected and/or treated to meet the Ontario Drinking Water Quality Standards, as stipulated in O. Reg. 169/03 of the Safe Drinking Water Act.</w:t>
      </w:r>
    </w:p>
    <w:p w14:paraId="3E0706D9" w14:textId="77777777" w:rsidR="007775A9" w:rsidRPr="007775A9" w:rsidRDefault="007775A9" w:rsidP="007775A9">
      <w:pPr>
        <w:pStyle w:val="ListParagraph"/>
        <w:rPr>
          <w:rFonts w:cs="Arial"/>
          <w:sz w:val="22"/>
          <w:szCs w:val="22"/>
        </w:rPr>
      </w:pPr>
    </w:p>
    <w:p w14:paraId="7DE5B19E" w14:textId="16860390" w:rsidR="00147CBE" w:rsidRPr="004F09D7" w:rsidRDefault="00147CBE" w:rsidP="004F09D7">
      <w:pPr>
        <w:pStyle w:val="ListParagraph"/>
        <w:numPr>
          <w:ilvl w:val="1"/>
          <w:numId w:val="12"/>
        </w:numPr>
        <w:ind w:left="1134" w:hanging="425"/>
        <w:rPr>
          <w:rFonts w:cs="Arial"/>
          <w:sz w:val="22"/>
          <w:szCs w:val="22"/>
        </w:rPr>
      </w:pPr>
      <w:r w:rsidRPr="004F09D7">
        <w:rPr>
          <w:rFonts w:cs="Arial"/>
          <w:sz w:val="22"/>
          <w:szCs w:val="22"/>
        </w:rPr>
        <w:t xml:space="preserve">Small private sewage disposal facilities which have a daily sewage flow of 10,000 litres or less per day must be certified by the </w:t>
      </w:r>
      <w:r w:rsidR="004F09D7">
        <w:rPr>
          <w:rFonts w:cs="Arial"/>
          <w:sz w:val="22"/>
          <w:szCs w:val="22"/>
        </w:rPr>
        <w:t>Northwestern</w:t>
      </w:r>
      <w:r w:rsidRPr="004F09D7">
        <w:rPr>
          <w:rFonts w:cs="Arial"/>
          <w:sz w:val="22"/>
          <w:szCs w:val="22"/>
        </w:rPr>
        <w:t xml:space="preserve"> Health Unit. Large private sewage disposal facilities which have a daily sewage flow of &gt;10,000 litres, or communal systems, must be approved by the Ministry of the Environment, Conservation and Parks. The </w:t>
      </w:r>
      <w:r w:rsidR="004F09D7">
        <w:rPr>
          <w:rFonts w:cs="Arial"/>
          <w:sz w:val="22"/>
          <w:szCs w:val="22"/>
        </w:rPr>
        <w:t xml:space="preserve">Northwestern </w:t>
      </w:r>
      <w:r w:rsidRPr="004F09D7">
        <w:rPr>
          <w:rFonts w:cs="Arial"/>
          <w:sz w:val="22"/>
          <w:szCs w:val="22"/>
        </w:rPr>
        <w:t>Health Unit should be contacted for information on the proper installation and operation of Class IV septic systems and Class I (pit privy) sewage systems.</w:t>
      </w:r>
    </w:p>
    <w:p w14:paraId="56DF3B1B" w14:textId="77777777" w:rsidR="007B7879" w:rsidRDefault="007B7879" w:rsidP="007B7879">
      <w:pPr>
        <w:pStyle w:val="ListParagraph"/>
        <w:ind w:left="1134"/>
        <w:rPr>
          <w:rFonts w:cs="Arial"/>
          <w:sz w:val="22"/>
          <w:szCs w:val="22"/>
        </w:rPr>
      </w:pPr>
    </w:p>
    <w:p w14:paraId="1D4CB144" w14:textId="35B75FB4" w:rsidR="00CC5099" w:rsidRDefault="00147CBE" w:rsidP="00CC5099">
      <w:pPr>
        <w:pStyle w:val="ListParagraph"/>
        <w:numPr>
          <w:ilvl w:val="1"/>
          <w:numId w:val="12"/>
        </w:numPr>
        <w:ind w:left="1134" w:hanging="425"/>
        <w:rPr>
          <w:rFonts w:cs="Arial"/>
          <w:sz w:val="22"/>
          <w:szCs w:val="22"/>
        </w:rPr>
      </w:pPr>
      <w:r w:rsidRPr="004F09D7">
        <w:rPr>
          <w:rFonts w:cs="Arial"/>
          <w:sz w:val="22"/>
          <w:szCs w:val="22"/>
        </w:rPr>
        <w:t>Domestic waste must be appropriately handled and disposed of at an approved waste disposal facility.</w:t>
      </w:r>
    </w:p>
    <w:p w14:paraId="7B4C13C6" w14:textId="77777777" w:rsidR="007B7879" w:rsidRPr="007B7879" w:rsidRDefault="007B7879" w:rsidP="007B7879">
      <w:pPr>
        <w:pStyle w:val="ListParagraph"/>
        <w:ind w:left="1134"/>
        <w:rPr>
          <w:rFonts w:cs="Arial"/>
          <w:sz w:val="22"/>
          <w:szCs w:val="22"/>
        </w:rPr>
      </w:pPr>
    </w:p>
    <w:p w14:paraId="28C302AF" w14:textId="4CEB55EC" w:rsidR="00CC5099" w:rsidRPr="00CC5099" w:rsidRDefault="00CC5099" w:rsidP="00CC5099">
      <w:pPr>
        <w:pStyle w:val="ListParagraph"/>
        <w:numPr>
          <w:ilvl w:val="1"/>
          <w:numId w:val="12"/>
        </w:numPr>
        <w:ind w:left="1134" w:hanging="425"/>
        <w:rPr>
          <w:rFonts w:cs="Arial"/>
          <w:sz w:val="22"/>
          <w:szCs w:val="22"/>
        </w:rPr>
      </w:pPr>
      <w:r w:rsidRPr="00CC5099">
        <w:rPr>
          <w:rFonts w:cs="Arial"/>
          <w:sz w:val="22"/>
          <w:szCs w:val="22"/>
          <w:lang w:val="en-CA"/>
        </w:rPr>
        <w:t xml:space="preserve">The attached </w:t>
      </w:r>
      <w:r w:rsidRPr="00CC5099">
        <w:rPr>
          <w:rFonts w:cs="Arial"/>
          <w:i/>
          <w:iCs/>
          <w:sz w:val="22"/>
          <w:szCs w:val="22"/>
          <w:lang w:val="en-CA"/>
        </w:rPr>
        <w:t>Client’s Guide to Preliminary Screening for Species at Risk</w:t>
      </w:r>
      <w:r w:rsidRPr="00CC5099">
        <w:rPr>
          <w:rFonts w:cs="Arial"/>
          <w:sz w:val="22"/>
          <w:szCs w:val="22"/>
          <w:lang w:val="en-CA"/>
        </w:rPr>
        <w:t xml:space="preserve"> should be utilised to determine potential for conflicts with species subject to the Endangered Species Act</w:t>
      </w:r>
      <w:r>
        <w:rPr>
          <w:rFonts w:cs="Arial"/>
          <w:sz w:val="22"/>
          <w:szCs w:val="22"/>
          <w:lang w:val="en-CA"/>
        </w:rPr>
        <w:t xml:space="preserve"> (ESA)</w:t>
      </w:r>
      <w:r w:rsidRPr="00CC5099">
        <w:rPr>
          <w:rFonts w:cs="Arial"/>
          <w:sz w:val="22"/>
          <w:szCs w:val="22"/>
          <w:lang w:val="en-CA"/>
        </w:rPr>
        <w:t>. The results of this screening, along with a completed checklist should be provided to S</w:t>
      </w:r>
      <w:r w:rsidR="007B7879">
        <w:rPr>
          <w:rFonts w:cs="Arial"/>
          <w:sz w:val="22"/>
          <w:szCs w:val="22"/>
          <w:lang w:val="en-CA"/>
        </w:rPr>
        <w:t>pecies at Risk (SAR)</w:t>
      </w:r>
      <w:r w:rsidRPr="00CC5099">
        <w:rPr>
          <w:rFonts w:cs="Arial"/>
          <w:sz w:val="22"/>
          <w:szCs w:val="22"/>
          <w:lang w:val="en-CA"/>
        </w:rPr>
        <w:t xml:space="preserve"> Ontario Branch (</w:t>
      </w:r>
      <w:hyperlink r:id="rId17" w:history="1">
        <w:r w:rsidRPr="00A42243">
          <w:rPr>
            <w:rStyle w:val="Hyperlink"/>
            <w:rFonts w:cs="Arial"/>
            <w:sz w:val="22"/>
            <w:szCs w:val="22"/>
            <w:lang w:val="en-CA"/>
          </w:rPr>
          <w:t>SAROntario@ontario.ca</w:t>
        </w:r>
      </w:hyperlink>
      <w:r w:rsidRPr="00CC5099">
        <w:rPr>
          <w:rFonts w:cs="Arial"/>
          <w:sz w:val="22"/>
          <w:szCs w:val="22"/>
          <w:lang w:val="en-CA"/>
        </w:rPr>
        <w:t>) in the case where there is a potential to impact species at risk or their habitat.</w:t>
      </w:r>
    </w:p>
    <w:p w14:paraId="37DD650D" w14:textId="77777777" w:rsidR="00CC5099" w:rsidRPr="00CC5099" w:rsidRDefault="00CC5099" w:rsidP="00CC5099">
      <w:pPr>
        <w:pStyle w:val="ListParagraph"/>
        <w:ind w:left="1134"/>
        <w:rPr>
          <w:rFonts w:cs="Arial"/>
          <w:sz w:val="22"/>
          <w:szCs w:val="22"/>
        </w:rPr>
      </w:pPr>
    </w:p>
    <w:p w14:paraId="75CAE670" w14:textId="77777777" w:rsidR="007B7879" w:rsidRDefault="006A13F3" w:rsidP="00CC5099">
      <w:pPr>
        <w:pStyle w:val="ListParagraph"/>
        <w:ind w:left="1134"/>
        <w:rPr>
          <w:rFonts w:cs="Arial"/>
          <w:sz w:val="22"/>
          <w:szCs w:val="22"/>
        </w:rPr>
      </w:pPr>
      <w:r w:rsidRPr="00CC5099">
        <w:rPr>
          <w:rFonts w:cs="Arial"/>
          <w:sz w:val="22"/>
          <w:szCs w:val="22"/>
        </w:rPr>
        <w:t>If activities subsequent to a severance or other administrative activity (for example, development on a lot) that could impact species at risk or their habitat are planned, then the person undertaking those activities w</w:t>
      </w:r>
      <w:r w:rsidR="00CC5099">
        <w:rPr>
          <w:rFonts w:cs="Arial"/>
          <w:sz w:val="22"/>
          <w:szCs w:val="22"/>
        </w:rPr>
        <w:t>ill</w:t>
      </w:r>
      <w:r w:rsidRPr="00CC5099">
        <w:rPr>
          <w:rFonts w:cs="Arial"/>
          <w:sz w:val="22"/>
          <w:szCs w:val="22"/>
        </w:rPr>
        <w:t xml:space="preserve"> need to determine if an E</w:t>
      </w:r>
      <w:r w:rsidR="00CC5099">
        <w:rPr>
          <w:rFonts w:cs="Arial"/>
          <w:sz w:val="22"/>
          <w:szCs w:val="22"/>
        </w:rPr>
        <w:t>SA</w:t>
      </w:r>
      <w:r w:rsidRPr="00CC5099">
        <w:rPr>
          <w:rFonts w:cs="Arial"/>
          <w:sz w:val="22"/>
          <w:szCs w:val="22"/>
        </w:rPr>
        <w:t xml:space="preserve"> authorization is required before the activities are undertaken. </w:t>
      </w:r>
    </w:p>
    <w:p w14:paraId="26B1FE90" w14:textId="77777777" w:rsidR="00590CCB" w:rsidRDefault="00590CCB" w:rsidP="00CC5099">
      <w:pPr>
        <w:pStyle w:val="ListParagraph"/>
        <w:ind w:left="1134"/>
        <w:rPr>
          <w:rFonts w:cs="Arial"/>
          <w:sz w:val="22"/>
          <w:szCs w:val="22"/>
        </w:rPr>
      </w:pPr>
    </w:p>
    <w:p w14:paraId="27AACFD8" w14:textId="157F96C8" w:rsidR="006A13F3" w:rsidRDefault="006A13F3" w:rsidP="00CC5099">
      <w:pPr>
        <w:pStyle w:val="ListParagraph"/>
        <w:ind w:left="1134"/>
        <w:rPr>
          <w:rFonts w:cs="Arial"/>
          <w:sz w:val="22"/>
          <w:szCs w:val="22"/>
        </w:rPr>
      </w:pPr>
      <w:r w:rsidRPr="00CC5099">
        <w:rPr>
          <w:rFonts w:cs="Arial"/>
          <w:sz w:val="22"/>
          <w:szCs w:val="22"/>
        </w:rPr>
        <w:t>Please visit “How to avoid authorization” and “Permit types” (</w:t>
      </w:r>
      <w:hyperlink r:id="rId18" w:history="1">
        <w:r w:rsidRPr="00CC5099">
          <w:rPr>
            <w:rStyle w:val="Hyperlink"/>
            <w:rFonts w:cs="Arial"/>
            <w:sz w:val="22"/>
            <w:szCs w:val="22"/>
          </w:rPr>
          <w:t>https://www.ontario.ca/page/how-get-endangered-species-act-permit-or-authorization</w:t>
        </w:r>
      </w:hyperlink>
      <w:r w:rsidRPr="00CC5099">
        <w:rPr>
          <w:rFonts w:cs="Arial"/>
          <w:sz w:val="22"/>
          <w:szCs w:val="22"/>
        </w:rPr>
        <w:t xml:space="preserve">) for more information. </w:t>
      </w:r>
    </w:p>
    <w:p w14:paraId="7880C383" w14:textId="7ED96468" w:rsidR="00CC5099" w:rsidRDefault="00CC5099" w:rsidP="00CC5099">
      <w:pPr>
        <w:pStyle w:val="ListParagraph"/>
        <w:ind w:left="1134"/>
        <w:rPr>
          <w:rFonts w:cs="Arial"/>
          <w:sz w:val="22"/>
          <w:szCs w:val="22"/>
        </w:rPr>
      </w:pPr>
    </w:p>
    <w:p w14:paraId="03D61656" w14:textId="77777777" w:rsidR="006A13F3" w:rsidRPr="00CC5099" w:rsidRDefault="00147CBE" w:rsidP="00CC5099">
      <w:pPr>
        <w:pStyle w:val="ListParagraph"/>
        <w:numPr>
          <w:ilvl w:val="1"/>
          <w:numId w:val="12"/>
        </w:numPr>
        <w:tabs>
          <w:tab w:val="left" w:pos="1134"/>
        </w:tabs>
        <w:ind w:left="1163" w:hanging="454"/>
        <w:rPr>
          <w:rFonts w:cs="Arial"/>
          <w:sz w:val="22"/>
          <w:szCs w:val="22"/>
        </w:rPr>
      </w:pPr>
      <w:r w:rsidRPr="00CC5099">
        <w:rPr>
          <w:rFonts w:cs="Arial"/>
          <w:sz w:val="22"/>
          <w:szCs w:val="22"/>
        </w:rPr>
        <w:t>The use of Best Management Practices for shoreline development is strongly recommended. Best Management Practices such as shoreline naturalization and vegetated buffer strips can reduce the adverse effects of shoreline development on inland lakes. It is recommended that sewage systems be located where native soils are deepest, and at the furthest distance possible from the shoreline</w:t>
      </w:r>
      <w:r w:rsidR="004F09D7" w:rsidRPr="00CC5099">
        <w:rPr>
          <w:rFonts w:cs="Arial"/>
          <w:sz w:val="22"/>
          <w:szCs w:val="22"/>
        </w:rPr>
        <w:t>.</w:t>
      </w:r>
      <w:r w:rsidR="00FC61E1" w:rsidRPr="00CC5099">
        <w:rPr>
          <w:rFonts w:cs="Arial"/>
          <w:sz w:val="22"/>
          <w:szCs w:val="22"/>
        </w:rPr>
        <w:t xml:space="preserve">  </w:t>
      </w:r>
    </w:p>
    <w:p w14:paraId="3C000D97" w14:textId="77777777" w:rsidR="006A13F3" w:rsidRDefault="006A13F3" w:rsidP="006A13F3">
      <w:pPr>
        <w:pStyle w:val="ListParagraph"/>
        <w:ind w:left="1134"/>
        <w:rPr>
          <w:rFonts w:cs="Arial"/>
          <w:sz w:val="22"/>
          <w:szCs w:val="22"/>
        </w:rPr>
      </w:pPr>
    </w:p>
    <w:p w14:paraId="6107BE09" w14:textId="47239B0D" w:rsidR="004F09D7" w:rsidRPr="00FC61E1" w:rsidRDefault="004F09D7" w:rsidP="006A13F3">
      <w:pPr>
        <w:pStyle w:val="ListParagraph"/>
        <w:ind w:left="1134"/>
        <w:rPr>
          <w:rFonts w:cs="Arial"/>
          <w:sz w:val="22"/>
          <w:szCs w:val="22"/>
        </w:rPr>
      </w:pPr>
      <w:r w:rsidRPr="00FC61E1">
        <w:rPr>
          <w:rFonts w:cs="Arial"/>
          <w:sz w:val="22"/>
          <w:szCs w:val="22"/>
          <w:lang w:val="en-GB"/>
        </w:rPr>
        <w:t>Landowners are to have regard to the following key management techniques for development adjacent to lakes:</w:t>
      </w:r>
    </w:p>
    <w:p w14:paraId="01124806" w14:textId="142FFA24" w:rsidR="005777F0" w:rsidRDefault="005777F0">
      <w:pPr>
        <w:widowControl/>
        <w:autoSpaceDE/>
        <w:autoSpaceDN/>
        <w:adjustRightInd/>
        <w:spacing w:after="200" w:line="276" w:lineRule="auto"/>
        <w:rPr>
          <w:rFonts w:cs="Arial"/>
          <w:sz w:val="22"/>
          <w:szCs w:val="22"/>
          <w:lang w:val="en-CA"/>
        </w:rPr>
      </w:pPr>
      <w:r>
        <w:rPr>
          <w:rFonts w:cs="Arial"/>
          <w:sz w:val="22"/>
          <w:szCs w:val="22"/>
          <w:lang w:val="en-CA"/>
        </w:rPr>
        <w:br w:type="page"/>
      </w:r>
    </w:p>
    <w:p w14:paraId="0F9C01A3" w14:textId="77777777" w:rsidR="004F09D7" w:rsidRPr="004F09D7" w:rsidRDefault="004F09D7" w:rsidP="004F09D7">
      <w:pPr>
        <w:widowControl/>
        <w:tabs>
          <w:tab w:val="left" w:pos="-1440"/>
        </w:tabs>
        <w:autoSpaceDE/>
        <w:autoSpaceDN/>
        <w:adjustRightInd/>
        <w:ind w:left="1276"/>
        <w:rPr>
          <w:rFonts w:cs="Arial"/>
          <w:sz w:val="22"/>
          <w:szCs w:val="22"/>
          <w:lang w:val="en-CA"/>
        </w:rPr>
      </w:pPr>
    </w:p>
    <w:p w14:paraId="01ED601B" w14:textId="17D2CA76" w:rsidR="004F09D7" w:rsidRPr="004F09D7" w:rsidRDefault="004F09D7" w:rsidP="004F09D7">
      <w:pPr>
        <w:widowControl/>
        <w:numPr>
          <w:ilvl w:val="2"/>
          <w:numId w:val="24"/>
        </w:numPr>
        <w:tabs>
          <w:tab w:val="clear" w:pos="2160"/>
          <w:tab w:val="left" w:pos="-1440"/>
          <w:tab w:val="left" w:pos="1276"/>
        </w:tabs>
        <w:autoSpaceDE/>
        <w:autoSpaceDN/>
        <w:adjustRightInd/>
        <w:spacing w:after="120"/>
        <w:ind w:left="1724" w:hanging="284"/>
        <w:contextualSpacing/>
        <w:rPr>
          <w:rFonts w:cs="Arial"/>
          <w:sz w:val="22"/>
          <w:szCs w:val="22"/>
          <w:lang w:val="en-CA"/>
        </w:rPr>
      </w:pPr>
      <w:r w:rsidRPr="004F09D7">
        <w:rPr>
          <w:rFonts w:cs="Arial"/>
          <w:sz w:val="22"/>
          <w:szCs w:val="22"/>
          <w:lang w:val="en-CA"/>
        </w:rPr>
        <w:t>Identify and avoid sensitive features in designing lot layouts</w:t>
      </w:r>
    </w:p>
    <w:p w14:paraId="0A8C9D0A" w14:textId="368C77BE" w:rsidR="004F09D7" w:rsidRDefault="004F09D7" w:rsidP="004F09D7">
      <w:pPr>
        <w:widowControl/>
        <w:numPr>
          <w:ilvl w:val="2"/>
          <w:numId w:val="24"/>
        </w:numPr>
        <w:tabs>
          <w:tab w:val="clear" w:pos="2160"/>
          <w:tab w:val="left" w:pos="-1440"/>
          <w:tab w:val="left" w:pos="1276"/>
        </w:tabs>
        <w:autoSpaceDE/>
        <w:autoSpaceDN/>
        <w:adjustRightInd/>
        <w:spacing w:after="120"/>
        <w:ind w:left="1724" w:hanging="284"/>
        <w:contextualSpacing/>
        <w:rPr>
          <w:rFonts w:cs="Arial"/>
          <w:sz w:val="22"/>
          <w:szCs w:val="22"/>
          <w:lang w:val="en-CA"/>
        </w:rPr>
      </w:pPr>
      <w:r w:rsidRPr="004F09D7">
        <w:rPr>
          <w:rFonts w:cs="Arial"/>
          <w:sz w:val="22"/>
          <w:szCs w:val="22"/>
          <w:lang w:val="en-CA"/>
        </w:rPr>
        <w:t>Reduce lot grading and limit creation of impervious surfaces (i.e. roads, roofs, parking areas, patios etc.) to reduce stormwater runoff and encourage natural infiltration</w:t>
      </w:r>
    </w:p>
    <w:p w14:paraId="45DA888B" w14:textId="7579FB53" w:rsidR="006A13F3" w:rsidRPr="004F09D7" w:rsidRDefault="006A13F3" w:rsidP="004F09D7">
      <w:pPr>
        <w:widowControl/>
        <w:numPr>
          <w:ilvl w:val="2"/>
          <w:numId w:val="24"/>
        </w:numPr>
        <w:tabs>
          <w:tab w:val="clear" w:pos="2160"/>
          <w:tab w:val="left" w:pos="-1440"/>
          <w:tab w:val="left" w:pos="1276"/>
        </w:tabs>
        <w:autoSpaceDE/>
        <w:autoSpaceDN/>
        <w:adjustRightInd/>
        <w:spacing w:after="120"/>
        <w:ind w:left="1724" w:hanging="284"/>
        <w:contextualSpacing/>
        <w:rPr>
          <w:rFonts w:cs="Arial"/>
          <w:sz w:val="22"/>
          <w:szCs w:val="22"/>
          <w:lang w:val="en-CA"/>
        </w:rPr>
      </w:pPr>
      <w:r>
        <w:rPr>
          <w:rFonts w:cs="Arial"/>
          <w:sz w:val="22"/>
          <w:szCs w:val="22"/>
          <w:lang w:val="en-CA"/>
        </w:rPr>
        <w:t>Directing sump pump foundation drains to rear ponding areas and infiltration trenches</w:t>
      </w:r>
    </w:p>
    <w:p w14:paraId="4F714913" w14:textId="076A6525" w:rsidR="004F09D7" w:rsidRPr="004F09D7" w:rsidRDefault="004F09D7" w:rsidP="004F09D7">
      <w:pPr>
        <w:widowControl/>
        <w:numPr>
          <w:ilvl w:val="2"/>
          <w:numId w:val="24"/>
        </w:numPr>
        <w:tabs>
          <w:tab w:val="clear" w:pos="2160"/>
          <w:tab w:val="left" w:pos="-1440"/>
          <w:tab w:val="left" w:pos="1276"/>
        </w:tabs>
        <w:autoSpaceDE/>
        <w:autoSpaceDN/>
        <w:adjustRightInd/>
        <w:spacing w:after="120"/>
        <w:ind w:left="1724" w:hanging="284"/>
        <w:contextualSpacing/>
        <w:rPr>
          <w:rFonts w:cs="Arial"/>
          <w:sz w:val="22"/>
          <w:szCs w:val="22"/>
          <w:lang w:val="en-CA"/>
        </w:rPr>
      </w:pPr>
      <w:r w:rsidRPr="004F09D7">
        <w:rPr>
          <w:rFonts w:cs="Arial"/>
          <w:sz w:val="22"/>
          <w:szCs w:val="22"/>
          <w:lang w:val="en-CA"/>
        </w:rPr>
        <w:t xml:space="preserve">Preserve a substantial buffer of riparian vegetation </w:t>
      </w:r>
      <w:r w:rsidR="006A13F3">
        <w:rPr>
          <w:rFonts w:cs="Arial"/>
          <w:sz w:val="22"/>
          <w:szCs w:val="22"/>
          <w:lang w:val="en-CA"/>
        </w:rPr>
        <w:t xml:space="preserve">(a min of 30 metres) </w:t>
      </w:r>
      <w:r w:rsidRPr="004F09D7">
        <w:rPr>
          <w:rFonts w:cs="Arial"/>
          <w:sz w:val="22"/>
          <w:szCs w:val="22"/>
          <w:lang w:val="en-CA"/>
        </w:rPr>
        <w:t>along the lakeshore to limit soil erosion, encourage evapotranspiration and reduce stormwater runoff</w:t>
      </w:r>
      <w:r w:rsidR="003525F2">
        <w:rPr>
          <w:rFonts w:cs="Arial"/>
          <w:sz w:val="22"/>
          <w:szCs w:val="22"/>
          <w:lang w:val="en-CA"/>
        </w:rPr>
        <w:t xml:space="preserve"> (see attached fact sheet)</w:t>
      </w:r>
    </w:p>
    <w:p w14:paraId="480D3077" w14:textId="4964398A" w:rsidR="004F09D7" w:rsidRPr="004F09D7" w:rsidRDefault="004F09D7" w:rsidP="004F09D7">
      <w:pPr>
        <w:widowControl/>
        <w:numPr>
          <w:ilvl w:val="2"/>
          <w:numId w:val="24"/>
        </w:numPr>
        <w:tabs>
          <w:tab w:val="clear" w:pos="2160"/>
          <w:tab w:val="left" w:pos="-1440"/>
        </w:tabs>
        <w:autoSpaceDE/>
        <w:autoSpaceDN/>
        <w:adjustRightInd/>
        <w:spacing w:after="120"/>
        <w:ind w:left="1724" w:hanging="284"/>
        <w:contextualSpacing/>
        <w:rPr>
          <w:rFonts w:cs="Arial"/>
          <w:sz w:val="22"/>
          <w:szCs w:val="22"/>
          <w:lang w:val="en-CA"/>
        </w:rPr>
      </w:pPr>
      <w:r w:rsidRPr="004F09D7">
        <w:rPr>
          <w:rFonts w:cs="Arial"/>
          <w:sz w:val="22"/>
          <w:szCs w:val="22"/>
          <w:lang w:val="en-CA"/>
        </w:rPr>
        <w:t>Use proven technologies to control drainage and runoff from roof leaders, foundation drains and areas where ditching is required</w:t>
      </w:r>
    </w:p>
    <w:p w14:paraId="3D09163A" w14:textId="77777777" w:rsidR="004F09D7" w:rsidRPr="004F09D7" w:rsidRDefault="004F09D7" w:rsidP="004F09D7">
      <w:pPr>
        <w:widowControl/>
        <w:numPr>
          <w:ilvl w:val="2"/>
          <w:numId w:val="24"/>
        </w:numPr>
        <w:tabs>
          <w:tab w:val="clear" w:pos="2160"/>
          <w:tab w:val="left" w:pos="-1440"/>
          <w:tab w:val="left" w:pos="1276"/>
        </w:tabs>
        <w:autoSpaceDE/>
        <w:autoSpaceDN/>
        <w:adjustRightInd/>
        <w:ind w:left="1724" w:hanging="283"/>
        <w:contextualSpacing/>
        <w:rPr>
          <w:rFonts w:cs="Arial"/>
          <w:sz w:val="22"/>
          <w:szCs w:val="22"/>
          <w:lang w:val="en-CA"/>
        </w:rPr>
      </w:pPr>
      <w:r w:rsidRPr="004F09D7">
        <w:rPr>
          <w:rFonts w:cs="Arial"/>
          <w:sz w:val="22"/>
          <w:szCs w:val="22"/>
          <w:lang w:val="en-CA"/>
        </w:rPr>
        <w:t>Maximize setback distances of septic system from lakes to ensure the greatest benefit of soils to retain excess phosphorus; consider the use of technologies for the abatement of septic phosphorus loading which have been demonstrated to be effective over the long-term.</w:t>
      </w:r>
    </w:p>
    <w:p w14:paraId="6D0B725E" w14:textId="77777777" w:rsidR="00266C2B" w:rsidRPr="004F09D7" w:rsidRDefault="00266C2B" w:rsidP="004F09D7">
      <w:pPr>
        <w:ind w:left="448"/>
        <w:contextualSpacing/>
        <w:rPr>
          <w:rFonts w:cs="Arial"/>
          <w:sz w:val="22"/>
          <w:szCs w:val="22"/>
        </w:rPr>
      </w:pPr>
    </w:p>
    <w:p w14:paraId="2002652E" w14:textId="4B87E257" w:rsidR="00E811B6" w:rsidRPr="004F09D7" w:rsidRDefault="00E811B6" w:rsidP="004F09D7">
      <w:pPr>
        <w:pStyle w:val="Level1"/>
        <w:widowControl/>
        <w:autoSpaceDE/>
        <w:autoSpaceDN/>
        <w:adjustRightInd/>
        <w:spacing w:after="200" w:line="276" w:lineRule="auto"/>
        <w:rPr>
          <w:rFonts w:cs="Arial"/>
          <w:sz w:val="22"/>
          <w:szCs w:val="22"/>
        </w:rPr>
      </w:pPr>
      <w:r w:rsidRPr="004F09D7">
        <w:rPr>
          <w:rFonts w:cs="Arial"/>
          <w:sz w:val="22"/>
          <w:szCs w:val="22"/>
        </w:rPr>
        <w:t>The following NOTES are for your information:</w:t>
      </w:r>
    </w:p>
    <w:p w14:paraId="5824AEC1" w14:textId="77777777" w:rsidR="00866FB2" w:rsidRPr="004F09D7" w:rsidRDefault="00866FB2" w:rsidP="004F09D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2"/>
          <w:szCs w:val="22"/>
          <w:lang w:val="en-CA"/>
        </w:rPr>
      </w:pPr>
      <w:r w:rsidRPr="004F09D7">
        <w:rPr>
          <w:rFonts w:cs="Arial"/>
          <w:sz w:val="22"/>
          <w:szCs w:val="22"/>
          <w:u w:val="single"/>
          <w:lang w:val="en-CA"/>
        </w:rPr>
        <w:t>NOTES</w:t>
      </w:r>
      <w:r w:rsidRPr="004F09D7">
        <w:rPr>
          <w:rFonts w:cs="Arial"/>
          <w:sz w:val="22"/>
          <w:szCs w:val="22"/>
          <w:lang w:val="en-CA"/>
        </w:rPr>
        <w:t>:</w:t>
      </w:r>
    </w:p>
    <w:p w14:paraId="1251120F" w14:textId="77777777" w:rsidR="00866FB2" w:rsidRPr="004F09D7" w:rsidRDefault="00866FB2" w:rsidP="004F09D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lang w:val="en-CA"/>
        </w:rPr>
      </w:pPr>
    </w:p>
    <w:p w14:paraId="4B2E8B29" w14:textId="77777777" w:rsidR="00866FB2" w:rsidRPr="004F09D7" w:rsidRDefault="00866FB2" w:rsidP="004F09D7">
      <w:pPr>
        <w:pStyle w:val="Level1"/>
        <w:numPr>
          <w:ilvl w:val="0"/>
          <w:numId w:val="23"/>
        </w:numPr>
        <w:tabs>
          <w:tab w:val="clear" w:pos="810"/>
          <w:tab w:val="left" w:pos="-1080"/>
          <w:tab w:val="left" w:pos="-720"/>
          <w:tab w:val="left" w:pos="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The required Transfer/Deed of Land form and Schedule page shall contain a complete and accurate legal description. The Minister's certificate of consent will be affixed to the completed Schedule page. For this reason, the names of the parties also must be set out on the Schedule page, so that the consent may be properly related to the intended conveyance.</w:t>
      </w:r>
    </w:p>
    <w:p w14:paraId="539D8932"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p>
    <w:p w14:paraId="5DA5332E"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t>Inaccuracies or omissions with regard to the legal description in the Transfer/Deed of Land form, the Schedule page or the survey plan will result in the documents being returned without consent.</w:t>
      </w:r>
    </w:p>
    <w:p w14:paraId="25A95AC2"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lang w:val="en-CA"/>
        </w:rPr>
      </w:pPr>
    </w:p>
    <w:p w14:paraId="6D0B7F4B" w14:textId="77777777" w:rsidR="00866FB2" w:rsidRPr="004F09D7" w:rsidRDefault="00866FB2" w:rsidP="004F09D7">
      <w:pPr>
        <w:pStyle w:val="Level1"/>
        <w:numPr>
          <w:ilvl w:val="0"/>
          <w:numId w:val="23"/>
        </w:numPr>
        <w:tabs>
          <w:tab w:val="clear" w:pos="810"/>
          <w:tab w:val="left" w:pos="-1080"/>
          <w:tab w:val="left" w:pos="-720"/>
          <w:tab w:val="left" w:pos="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All Buildings, including those in unorganized territories, have been required to comply with the Ontario Building Code since December 31, 1975. At this time in unorganized territory, building permits and the payment of permit fees are not required. Inquiries about the Building Code should be made to:</w:t>
      </w:r>
    </w:p>
    <w:p w14:paraId="6D1F50A3"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p>
    <w:p w14:paraId="656568BC"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t>Buildings and Development Branch</w:t>
      </w:r>
    </w:p>
    <w:p w14:paraId="7E6FE74F"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t>Ministry of Municipal Affairs and Housing</w:t>
      </w:r>
    </w:p>
    <w:p w14:paraId="2609BAEF"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t>17</w:t>
      </w:r>
      <w:r w:rsidRPr="004F09D7">
        <w:rPr>
          <w:rFonts w:cs="Arial"/>
          <w:sz w:val="22"/>
          <w:szCs w:val="22"/>
          <w:vertAlign w:val="superscript"/>
          <w:lang w:val="en-CA"/>
        </w:rPr>
        <w:t>th</w:t>
      </w:r>
      <w:r w:rsidRPr="004F09D7">
        <w:rPr>
          <w:rFonts w:cs="Arial"/>
          <w:sz w:val="22"/>
          <w:szCs w:val="22"/>
          <w:lang w:val="en-CA"/>
        </w:rPr>
        <w:t xml:space="preserve"> Floor, 777 Bay St.</w:t>
      </w:r>
    </w:p>
    <w:p w14:paraId="5E5538C4" w14:textId="77777777" w:rsidR="00866FB2" w:rsidRPr="004F09D7" w:rsidRDefault="00866FB2" w:rsidP="004F09D7">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r>
      <w:r w:rsidRPr="004F09D7">
        <w:rPr>
          <w:rFonts w:cs="Arial"/>
          <w:sz w:val="22"/>
          <w:szCs w:val="22"/>
          <w:lang w:val="en-CA"/>
        </w:rPr>
        <w:tab/>
        <w:t>Toronto, ON M5G 2E5</w:t>
      </w:r>
    </w:p>
    <w:p w14:paraId="03132E0A" w14:textId="1DC78669" w:rsidR="00866FB2" w:rsidRPr="004F09D7" w:rsidRDefault="00866FB2" w:rsidP="004F09D7">
      <w:pPr>
        <w:tabs>
          <w:tab w:val="left" w:pos="851"/>
          <w:tab w:val="num" w:pos="1560"/>
          <w:tab w:val="right" w:pos="927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t>Telephone: (416) 585-7041</w:t>
      </w:r>
      <w:r w:rsidRPr="004F09D7">
        <w:rPr>
          <w:rFonts w:cs="Arial"/>
          <w:sz w:val="22"/>
          <w:szCs w:val="22"/>
          <w:lang w:val="en-CA"/>
        </w:rPr>
        <w:tab/>
      </w:r>
    </w:p>
    <w:p w14:paraId="11D9F061" w14:textId="77777777" w:rsidR="00866FB2" w:rsidRPr="004F09D7" w:rsidRDefault="00866FB2" w:rsidP="004F09D7">
      <w:pPr>
        <w:tabs>
          <w:tab w:val="left" w:pos="851"/>
          <w:tab w:val="num" w:pos="1560"/>
          <w:tab w:val="right" w:pos="9270"/>
        </w:tabs>
        <w:ind w:left="851" w:hanging="851"/>
        <w:rPr>
          <w:rFonts w:cs="Arial"/>
          <w:sz w:val="22"/>
          <w:szCs w:val="22"/>
          <w:lang w:val="en-CA"/>
        </w:rPr>
      </w:pPr>
      <w:r w:rsidRPr="004F09D7">
        <w:rPr>
          <w:rFonts w:cs="Arial"/>
          <w:sz w:val="22"/>
          <w:szCs w:val="22"/>
          <w:lang w:val="en-CA"/>
        </w:rPr>
        <w:tab/>
      </w:r>
      <w:r w:rsidRPr="004F09D7">
        <w:rPr>
          <w:rFonts w:cs="Arial"/>
          <w:sz w:val="22"/>
          <w:szCs w:val="22"/>
          <w:lang w:val="en-CA"/>
        </w:rPr>
        <w:tab/>
      </w:r>
      <w:hyperlink r:id="rId19" w:history="1">
        <w:r w:rsidRPr="004F09D7">
          <w:rPr>
            <w:rStyle w:val="Hyperlink"/>
            <w:rFonts w:cs="Arial"/>
            <w:sz w:val="22"/>
            <w:szCs w:val="22"/>
            <w:lang w:val="en-CA"/>
          </w:rPr>
          <w:t>codeinfo@ontario.ca</w:t>
        </w:r>
      </w:hyperlink>
    </w:p>
    <w:p w14:paraId="7B987641" w14:textId="5B79F587" w:rsidR="00866FB2" w:rsidRPr="004F09D7" w:rsidRDefault="00866FB2" w:rsidP="004F09D7">
      <w:pPr>
        <w:pStyle w:val="Level1"/>
        <w:numPr>
          <w:ilvl w:val="0"/>
          <w:numId w:val="23"/>
        </w:numPr>
        <w:tabs>
          <w:tab w:val="clear" w:pos="810"/>
          <w:tab w:val="left" w:pos="-1080"/>
          <w:tab w:val="left" w:pos="-720"/>
          <w:tab w:val="left" w:pos="851"/>
        </w:tabs>
        <w:ind w:left="360"/>
        <w:rPr>
          <w:rFonts w:cs="Arial"/>
          <w:sz w:val="22"/>
          <w:szCs w:val="22"/>
          <w:lang w:val="en-CA"/>
        </w:rPr>
      </w:pPr>
      <w:r w:rsidRPr="004F09D7">
        <w:rPr>
          <w:rFonts w:cs="Arial"/>
          <w:sz w:val="22"/>
          <w:szCs w:val="22"/>
          <w:lang w:val="en-CA"/>
        </w:rPr>
        <w:lastRenderedPageBreak/>
        <w:tab/>
        <w:t xml:space="preserve">Clearance of Condition No. </w:t>
      </w:r>
      <w:r w:rsidR="00EE0439">
        <w:rPr>
          <w:rFonts w:cs="Arial"/>
          <w:sz w:val="22"/>
          <w:szCs w:val="22"/>
          <w:lang w:val="en-CA"/>
        </w:rPr>
        <w:t>7</w:t>
      </w:r>
      <w:r w:rsidRPr="004F09D7">
        <w:rPr>
          <w:rFonts w:cs="Arial"/>
          <w:sz w:val="22"/>
          <w:szCs w:val="22"/>
          <w:lang w:val="en-CA"/>
        </w:rPr>
        <w:t xml:space="preserve"> is required from the Lake of the Woods Control Board.  </w:t>
      </w:r>
      <w:r w:rsidRPr="004F09D7">
        <w:rPr>
          <w:rFonts w:cs="Arial"/>
          <w:sz w:val="22"/>
          <w:szCs w:val="22"/>
          <w:lang w:val="en-CA"/>
        </w:rPr>
        <w:tab/>
        <w:t>Please contact the Board to discuss fulfilling this condition:</w:t>
      </w:r>
    </w:p>
    <w:p w14:paraId="22FD8530" w14:textId="77777777" w:rsidR="00866FB2" w:rsidRPr="004F09D7" w:rsidRDefault="00866FB2" w:rsidP="004F09D7">
      <w:pPr>
        <w:pStyle w:val="Level1"/>
        <w:tabs>
          <w:tab w:val="left" w:pos="-1080"/>
          <w:tab w:val="left" w:pos="-720"/>
          <w:tab w:val="left" w:pos="851"/>
        </w:tabs>
        <w:ind w:left="1440"/>
        <w:rPr>
          <w:rFonts w:cs="Arial"/>
          <w:sz w:val="22"/>
          <w:szCs w:val="22"/>
          <w:lang w:val="en-CA"/>
        </w:rPr>
      </w:pPr>
      <w:r w:rsidRPr="004F09D7">
        <w:rPr>
          <w:rFonts w:cs="Arial"/>
          <w:sz w:val="22"/>
          <w:szCs w:val="22"/>
          <w:lang w:val="en-CA"/>
        </w:rPr>
        <w:t>Executive Engineer</w:t>
      </w:r>
    </w:p>
    <w:p w14:paraId="72EB59BA" w14:textId="77777777" w:rsidR="00866FB2" w:rsidRPr="004F09D7" w:rsidRDefault="00712D1A" w:rsidP="004F09D7">
      <w:pPr>
        <w:pStyle w:val="Level1"/>
        <w:tabs>
          <w:tab w:val="left" w:pos="-1080"/>
          <w:tab w:val="left" w:pos="-720"/>
          <w:tab w:val="left" w:pos="851"/>
        </w:tabs>
        <w:ind w:left="1440"/>
        <w:rPr>
          <w:rFonts w:cs="Arial"/>
          <w:sz w:val="22"/>
          <w:szCs w:val="22"/>
          <w:lang w:val="en-CA"/>
        </w:rPr>
      </w:pPr>
      <w:hyperlink r:id="rId20" w:history="1">
        <w:r w:rsidR="00866FB2" w:rsidRPr="004F09D7">
          <w:rPr>
            <w:rStyle w:val="Hyperlink"/>
            <w:rFonts w:cs="Arial"/>
            <w:sz w:val="22"/>
            <w:szCs w:val="22"/>
            <w:lang w:val="en-CA"/>
          </w:rPr>
          <w:t>secretariat@lwcb.ca</w:t>
        </w:r>
      </w:hyperlink>
    </w:p>
    <w:p w14:paraId="49DE25DD" w14:textId="77777777" w:rsidR="00866FB2" w:rsidRPr="004F09D7" w:rsidRDefault="00866FB2" w:rsidP="004F09D7">
      <w:pPr>
        <w:pStyle w:val="Level1"/>
        <w:tabs>
          <w:tab w:val="left" w:pos="-1080"/>
          <w:tab w:val="left" w:pos="-720"/>
          <w:tab w:val="left" w:pos="851"/>
        </w:tabs>
        <w:ind w:left="1440"/>
        <w:rPr>
          <w:rFonts w:cs="Arial"/>
          <w:sz w:val="22"/>
          <w:szCs w:val="22"/>
          <w:lang w:val="en-CA"/>
        </w:rPr>
      </w:pPr>
      <w:r w:rsidRPr="004F09D7">
        <w:rPr>
          <w:rFonts w:cs="Arial"/>
          <w:sz w:val="22"/>
          <w:szCs w:val="22"/>
          <w:lang w:val="en-CA"/>
        </w:rPr>
        <w:t>Lake of the Woods Control Board</w:t>
      </w:r>
    </w:p>
    <w:p w14:paraId="6A5F5B56" w14:textId="77777777" w:rsidR="00866FB2" w:rsidRPr="004F09D7" w:rsidRDefault="00866FB2" w:rsidP="004F09D7">
      <w:pPr>
        <w:pStyle w:val="Level1"/>
        <w:tabs>
          <w:tab w:val="left" w:pos="-1080"/>
          <w:tab w:val="left" w:pos="-720"/>
          <w:tab w:val="left" w:pos="851"/>
        </w:tabs>
        <w:ind w:left="1440"/>
        <w:rPr>
          <w:rFonts w:cs="Arial"/>
          <w:sz w:val="22"/>
          <w:szCs w:val="22"/>
          <w:lang w:val="en-CA"/>
        </w:rPr>
      </w:pPr>
      <w:r w:rsidRPr="004F09D7">
        <w:rPr>
          <w:rFonts w:cs="Arial"/>
          <w:sz w:val="22"/>
          <w:szCs w:val="22"/>
          <w:lang w:val="en-CA"/>
        </w:rPr>
        <w:t>Ottawa, ON K1A 0H3</w:t>
      </w:r>
    </w:p>
    <w:p w14:paraId="673FDA17" w14:textId="77777777" w:rsidR="00866FB2" w:rsidRPr="004F09D7" w:rsidRDefault="00866FB2" w:rsidP="004F09D7">
      <w:pPr>
        <w:pStyle w:val="Level1"/>
        <w:tabs>
          <w:tab w:val="left" w:pos="-1080"/>
          <w:tab w:val="left" w:pos="-720"/>
          <w:tab w:val="left" w:pos="851"/>
        </w:tabs>
        <w:ind w:left="1440"/>
        <w:rPr>
          <w:rFonts w:cs="Arial"/>
          <w:sz w:val="22"/>
          <w:szCs w:val="22"/>
          <w:lang w:val="en-CA"/>
        </w:rPr>
      </w:pPr>
      <w:r w:rsidRPr="004F09D7">
        <w:rPr>
          <w:rFonts w:cs="Arial"/>
          <w:sz w:val="22"/>
          <w:szCs w:val="22"/>
          <w:lang w:val="en-CA"/>
        </w:rPr>
        <w:t>Toll free from 1(800) 661-5922</w:t>
      </w:r>
    </w:p>
    <w:p w14:paraId="179E9B1F" w14:textId="0F9FDD2C" w:rsidR="00866FB2" w:rsidRPr="004F09D7" w:rsidRDefault="00712D1A" w:rsidP="004F09D7">
      <w:pPr>
        <w:pStyle w:val="Level1"/>
        <w:tabs>
          <w:tab w:val="left" w:pos="-1080"/>
          <w:tab w:val="left" w:pos="-720"/>
          <w:tab w:val="left" w:pos="851"/>
        </w:tabs>
        <w:ind w:left="1440"/>
        <w:rPr>
          <w:rFonts w:cs="Arial"/>
          <w:sz w:val="22"/>
          <w:szCs w:val="22"/>
          <w:lang w:val="en-CA"/>
        </w:rPr>
      </w:pPr>
      <w:hyperlink r:id="rId21" w:history="1">
        <w:r w:rsidR="00866FB2" w:rsidRPr="004F09D7">
          <w:rPr>
            <w:rStyle w:val="Hyperlink"/>
            <w:rFonts w:cs="Arial"/>
            <w:sz w:val="22"/>
            <w:szCs w:val="22"/>
            <w:lang w:val="en-CA"/>
          </w:rPr>
          <w:t>www.lwcb.ca/beforeyoubuild/</w:t>
        </w:r>
      </w:hyperlink>
    </w:p>
    <w:p w14:paraId="3AB1A3EB" w14:textId="77777777" w:rsidR="00866FB2" w:rsidRPr="004F09D7" w:rsidRDefault="00866FB2" w:rsidP="004F09D7">
      <w:pPr>
        <w:pStyle w:val="Level1"/>
        <w:tabs>
          <w:tab w:val="left" w:pos="-1080"/>
          <w:tab w:val="left" w:pos="-720"/>
          <w:tab w:val="left" w:pos="851"/>
        </w:tabs>
        <w:ind w:left="1298"/>
        <w:rPr>
          <w:rFonts w:cs="Arial"/>
          <w:sz w:val="22"/>
          <w:szCs w:val="22"/>
          <w:lang w:val="en-CA"/>
        </w:rPr>
      </w:pPr>
    </w:p>
    <w:p w14:paraId="78066248" w14:textId="77777777" w:rsidR="004F09D7" w:rsidRPr="004F09D7" w:rsidRDefault="004F09D7" w:rsidP="004F09D7">
      <w:pPr>
        <w:pStyle w:val="ListParagraph"/>
        <w:numPr>
          <w:ilvl w:val="0"/>
          <w:numId w:val="23"/>
        </w:numPr>
        <w:ind w:hanging="810"/>
        <w:rPr>
          <w:rFonts w:cs="Arial"/>
          <w:sz w:val="22"/>
          <w:szCs w:val="22"/>
        </w:rPr>
      </w:pPr>
      <w:r w:rsidRPr="004F09D7">
        <w:rPr>
          <w:rFonts w:cs="Arial"/>
          <w:sz w:val="22"/>
          <w:szCs w:val="22"/>
        </w:rPr>
        <w:t xml:space="preserve">For more information on adding Whitta Road to the Local Roads Board system, contact John McClelland, MTO Regional Operations Officer at (807) 473-2137.  The road must be voted into the Local Roads Area and be brought to roads board standards at the expense of the landowners.  That vote is open to all landowners in the LRB area. </w:t>
      </w:r>
    </w:p>
    <w:p w14:paraId="6BDE036F" w14:textId="77777777" w:rsidR="004F09D7" w:rsidRPr="004F09D7" w:rsidRDefault="004F09D7" w:rsidP="004F09D7">
      <w:pPr>
        <w:pStyle w:val="Level1"/>
        <w:tabs>
          <w:tab w:val="left" w:pos="-1080"/>
          <w:tab w:val="left" w:pos="-720"/>
          <w:tab w:val="left" w:pos="851"/>
        </w:tabs>
        <w:ind w:left="851"/>
        <w:rPr>
          <w:rFonts w:cs="Arial"/>
          <w:sz w:val="22"/>
          <w:szCs w:val="22"/>
          <w:lang w:val="en-CA"/>
        </w:rPr>
      </w:pPr>
    </w:p>
    <w:p w14:paraId="4BEA35ED" w14:textId="231B5D7B" w:rsidR="00866FB2" w:rsidRPr="004F09D7" w:rsidRDefault="00866FB2" w:rsidP="004F09D7">
      <w:pPr>
        <w:pStyle w:val="Level1"/>
        <w:numPr>
          <w:ilvl w:val="0"/>
          <w:numId w:val="23"/>
        </w:numPr>
        <w:tabs>
          <w:tab w:val="clear" w:pos="810"/>
          <w:tab w:val="left" w:pos="-1080"/>
          <w:tab w:val="left" w:pos="-720"/>
          <w:tab w:val="left" w:pos="851"/>
        </w:tabs>
        <w:ind w:left="851" w:hanging="810"/>
        <w:rPr>
          <w:rFonts w:cs="Arial"/>
          <w:sz w:val="22"/>
          <w:szCs w:val="22"/>
          <w:lang w:val="en-CA"/>
        </w:rPr>
      </w:pPr>
      <w:r w:rsidRPr="004F09D7">
        <w:rPr>
          <w:rFonts w:cs="Arial"/>
          <w:sz w:val="22"/>
          <w:szCs w:val="22"/>
          <w:lang w:val="en-CA"/>
        </w:rPr>
        <w:t>Owners and prospective buyers should contact the Northwestern Health Unit for all sewage systems that require a permit, including greywater systems but excluding pit privies. The importation of suitable fill may be required to construct sewage treatment systems to the satisfaction of the Northwestern Health Unit. The Health Unit can also provide information on construction requirements, including minimum distances required between sewage systems and sources of potable water.</w:t>
      </w:r>
    </w:p>
    <w:p w14:paraId="7323B0D7" w14:textId="77777777" w:rsidR="00866FB2" w:rsidRPr="004F09D7" w:rsidRDefault="00866FB2" w:rsidP="004F09D7">
      <w:pPr>
        <w:pStyle w:val="Level1"/>
        <w:tabs>
          <w:tab w:val="left" w:pos="-1080"/>
          <w:tab w:val="left" w:pos="-720"/>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rPr>
          <w:rFonts w:cs="Arial"/>
          <w:sz w:val="22"/>
          <w:szCs w:val="22"/>
          <w:lang w:val="en-CA"/>
        </w:rPr>
      </w:pPr>
    </w:p>
    <w:p w14:paraId="48588A08" w14:textId="3BBED626" w:rsidR="004F09D7" w:rsidRPr="004F09D7" w:rsidRDefault="004F09D7" w:rsidP="004F09D7">
      <w:pPr>
        <w:pStyle w:val="Level1"/>
        <w:numPr>
          <w:ilvl w:val="0"/>
          <w:numId w:val="23"/>
        </w:numPr>
        <w:tabs>
          <w:tab w:val="clear" w:pos="810"/>
          <w:tab w:val="left" w:pos="-1080"/>
          <w:tab w:val="left" w:pos="-720"/>
          <w:tab w:val="left" w:pos="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4F09D7">
        <w:rPr>
          <w:rFonts w:cs="Arial"/>
          <w:sz w:val="22"/>
          <w:szCs w:val="22"/>
          <w:lang w:val="en-GB"/>
        </w:rPr>
        <w:t xml:space="preserve">Please notify the Ministry of Heritage, Sport, Tourism, and Culture (MHSTCI) (at </w:t>
      </w:r>
      <w:hyperlink r:id="rId22" w:history="1">
        <w:r w:rsidRPr="004F09D7">
          <w:rPr>
            <w:rStyle w:val="Hyperlink"/>
            <w:rFonts w:cs="Arial"/>
            <w:sz w:val="22"/>
            <w:szCs w:val="22"/>
            <w:lang w:val="en-GB"/>
          </w:rPr>
          <w:t>archaeology@ontario.ca</w:t>
        </w:r>
      </w:hyperlink>
      <w:r w:rsidRPr="004F09D7">
        <w:rPr>
          <w:rFonts w:cs="Arial"/>
          <w:sz w:val="22"/>
          <w:szCs w:val="22"/>
          <w:lang w:val="en-GB"/>
        </w:rPr>
        <w:t xml:space="preserve"> or 416-314-7620) if archaeological resources are impacted by any ground disturbing work. All activities impacting archaeological resources must cease immediately, and a licensed archaeologist is required to carry out an archaeological assessment in accordance with the Ontario Heritage Act and the Standards and Guidelines for Consultant Archaeologists.  </w:t>
      </w:r>
    </w:p>
    <w:p w14:paraId="07B43D96" w14:textId="77777777" w:rsidR="004F09D7" w:rsidRPr="004F09D7" w:rsidRDefault="004F09D7" w:rsidP="004F09D7">
      <w:pPr>
        <w:pStyle w:val="Level1"/>
        <w:tabs>
          <w:tab w:val="left" w:pos="-1080"/>
          <w:tab w:val="left" w:pos="-720"/>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rPr>
          <w:rFonts w:cs="Arial"/>
          <w:sz w:val="22"/>
          <w:szCs w:val="22"/>
          <w:lang w:val="en-GB"/>
        </w:rPr>
      </w:pPr>
    </w:p>
    <w:p w14:paraId="28AB4D74" w14:textId="77777777" w:rsidR="004F09D7" w:rsidRPr="004F09D7" w:rsidRDefault="004F09D7" w:rsidP="004F09D7">
      <w:pPr>
        <w:pStyle w:val="Level1"/>
        <w:tabs>
          <w:tab w:val="left" w:pos="-1080"/>
          <w:tab w:val="left" w:pos="-720"/>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rPr>
          <w:rFonts w:cs="Arial"/>
          <w:sz w:val="22"/>
          <w:szCs w:val="22"/>
          <w:lang w:val="en-GB"/>
        </w:rPr>
      </w:pPr>
      <w:r w:rsidRPr="004F09D7">
        <w:rPr>
          <w:rFonts w:cs="Arial"/>
          <w:sz w:val="22"/>
          <w:szCs w:val="22"/>
          <w:lang w:val="en-GB"/>
        </w:rPr>
        <w:t>If human remains are encountered, all activities must cease immediately and the local police as well as the Registrar, Burials of the Ministry of Government and Consumer Services (416-326-8800) must be contacted. In situations where human remains are associated with archaeological resources, MHSTCI should also be notified to ensure that the site is not subject to unlicensed alterations which would be a contravention of the Ontario Heritage Act.</w:t>
      </w:r>
    </w:p>
    <w:p w14:paraId="41F06341" w14:textId="77777777" w:rsidR="00866FB2" w:rsidRPr="004F09D7" w:rsidRDefault="00866FB2" w:rsidP="004F09D7">
      <w:pPr>
        <w:pStyle w:val="Level1"/>
        <w:tabs>
          <w:tab w:val="left" w:pos="-1080"/>
          <w:tab w:val="left" w:pos="-720"/>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851"/>
        <w:rPr>
          <w:rFonts w:cs="Arial"/>
          <w:sz w:val="22"/>
          <w:szCs w:val="22"/>
          <w:lang w:val="en-CA"/>
        </w:rPr>
      </w:pPr>
    </w:p>
    <w:p w14:paraId="3E1C969F" w14:textId="77777777" w:rsidR="00866FB2" w:rsidRPr="004F09D7" w:rsidRDefault="00866FB2" w:rsidP="004F09D7">
      <w:pPr>
        <w:pStyle w:val="Level1"/>
        <w:numPr>
          <w:ilvl w:val="0"/>
          <w:numId w:val="23"/>
        </w:numPr>
        <w:tabs>
          <w:tab w:val="clear" w:pos="810"/>
          <w:tab w:val="left" w:pos="0"/>
          <w:tab w:val="left" w:pos="851"/>
          <w:tab w:val="num" w:pos="1560"/>
        </w:tabs>
        <w:ind w:left="851" w:hanging="851"/>
        <w:rPr>
          <w:rFonts w:cs="Arial"/>
          <w:sz w:val="22"/>
          <w:szCs w:val="22"/>
          <w:lang w:val="en-CA"/>
        </w:rPr>
      </w:pPr>
      <w:r w:rsidRPr="004F09D7">
        <w:rPr>
          <w:rFonts w:cs="Arial"/>
          <w:sz w:val="22"/>
          <w:szCs w:val="22"/>
          <w:lang w:val="en-CA"/>
        </w:rPr>
        <w:t>New wells must be installed in accordance with the requirements of Ontario Regulation 903 (Wells). Water quality and quantity testing should be completed for each new lot in accordance with MECP’s “</w:t>
      </w:r>
      <w:r w:rsidRPr="004F09D7">
        <w:rPr>
          <w:rFonts w:cs="Arial"/>
          <w:i/>
          <w:iCs/>
          <w:sz w:val="22"/>
          <w:szCs w:val="22"/>
          <w:lang w:val="en-CA"/>
        </w:rPr>
        <w:t>Technical Guideline for Private Wells</w:t>
      </w:r>
      <w:r w:rsidRPr="004F09D7">
        <w:rPr>
          <w:rFonts w:cs="Arial"/>
          <w:sz w:val="22"/>
          <w:szCs w:val="22"/>
          <w:lang w:val="en-CA"/>
        </w:rPr>
        <w:t xml:space="preserve">” (1996) and conducted by a qualified professional. If water from test wells exhibit values for health and aesthetic parameters that are above the Ontario Drinking Water Standards, the water must be treated prior to consumption. Upon well installation, a qualified professional should also demonstrate that there is an adequate quantity of groundwater available to </w:t>
      </w:r>
      <w:r w:rsidRPr="004F09D7">
        <w:rPr>
          <w:rFonts w:cs="Arial"/>
          <w:sz w:val="22"/>
          <w:szCs w:val="22"/>
          <w:lang w:val="en-CA"/>
        </w:rPr>
        <w:lastRenderedPageBreak/>
        <w:t>meet the requirements of the residence without interference to adjacent properties.</w:t>
      </w:r>
    </w:p>
    <w:p w14:paraId="69CB1BB7" w14:textId="77777777" w:rsidR="00866FB2" w:rsidRPr="004F09D7" w:rsidRDefault="00866FB2" w:rsidP="004F09D7">
      <w:pPr>
        <w:rPr>
          <w:rFonts w:cs="Arial"/>
          <w:sz w:val="22"/>
          <w:szCs w:val="22"/>
          <w:lang w:val="en-CA"/>
        </w:rPr>
      </w:pPr>
    </w:p>
    <w:p w14:paraId="2FF32009" w14:textId="77777777" w:rsidR="00866FB2" w:rsidRPr="004F09D7" w:rsidRDefault="00866FB2" w:rsidP="004F09D7">
      <w:pPr>
        <w:pStyle w:val="ListParagraph"/>
        <w:widowControl/>
        <w:numPr>
          <w:ilvl w:val="0"/>
          <w:numId w:val="23"/>
        </w:numPr>
        <w:tabs>
          <w:tab w:val="clear" w:pos="810"/>
          <w:tab w:val="num" w:pos="851"/>
        </w:tabs>
        <w:autoSpaceDE/>
        <w:adjustRightInd/>
        <w:ind w:left="851" w:hanging="851"/>
        <w:rPr>
          <w:rFonts w:cs="Arial"/>
          <w:sz w:val="22"/>
          <w:szCs w:val="22"/>
          <w:lang w:val="en-CA"/>
        </w:rPr>
      </w:pPr>
      <w:r w:rsidRPr="004F09D7">
        <w:rPr>
          <w:rFonts w:cs="Arial"/>
          <w:sz w:val="22"/>
          <w:szCs w:val="22"/>
          <w:lang w:val="en-CA"/>
        </w:rPr>
        <w:t xml:space="preserve">It is the applicant's and/or agent's responsibility to fulfill the conditions of consent approval within </w:t>
      </w:r>
      <w:r w:rsidRPr="004F09D7">
        <w:rPr>
          <w:rFonts w:cs="Arial"/>
          <w:b/>
          <w:sz w:val="22"/>
          <w:szCs w:val="22"/>
          <w:lang w:val="en-CA"/>
        </w:rPr>
        <w:t>one year of the date</w:t>
      </w:r>
      <w:r w:rsidRPr="004F09D7">
        <w:rPr>
          <w:rFonts w:cs="Arial"/>
          <w:sz w:val="22"/>
          <w:szCs w:val="22"/>
          <w:lang w:val="en-CA"/>
        </w:rPr>
        <w:t xml:space="preserve"> of this letter pursuant to Section 53 of the </w:t>
      </w:r>
      <w:r w:rsidRPr="004F09D7">
        <w:rPr>
          <w:rFonts w:cs="Arial"/>
          <w:i/>
          <w:sz w:val="22"/>
          <w:szCs w:val="22"/>
          <w:lang w:val="en-CA"/>
        </w:rPr>
        <w:t>Planning Act</w:t>
      </w:r>
      <w:r w:rsidRPr="004F09D7">
        <w:rPr>
          <w:rFonts w:cs="Arial"/>
          <w:sz w:val="22"/>
          <w:szCs w:val="22"/>
          <w:lang w:val="en-CA"/>
        </w:rPr>
        <w:t xml:space="preserve">.  </w:t>
      </w:r>
      <w:r w:rsidRPr="004F09D7">
        <w:rPr>
          <w:rFonts w:cs="Arial"/>
          <w:b/>
          <w:sz w:val="22"/>
          <w:szCs w:val="22"/>
          <w:lang w:val="en-CA"/>
        </w:rPr>
        <w:t>We will issue no further notice or warning of the expiration of the one-year period.</w:t>
      </w:r>
    </w:p>
    <w:p w14:paraId="1D20C9F8" w14:textId="77777777" w:rsidR="00866FB2" w:rsidRPr="004F09D7" w:rsidRDefault="00866FB2" w:rsidP="004F09D7">
      <w:pPr>
        <w:pStyle w:val="ListParagraph"/>
        <w:rPr>
          <w:rFonts w:cs="Arial"/>
          <w:sz w:val="22"/>
          <w:szCs w:val="22"/>
          <w:lang w:val="en-CA"/>
        </w:rPr>
      </w:pPr>
    </w:p>
    <w:p w14:paraId="420D4F7A" w14:textId="2A49CF2B" w:rsidR="00457A34" w:rsidRPr="00EE0439" w:rsidRDefault="00866FB2" w:rsidP="00437FF8">
      <w:pPr>
        <w:pStyle w:val="ListParagraph"/>
        <w:widowControl/>
        <w:autoSpaceDE/>
        <w:adjustRightInd/>
        <w:ind w:left="851"/>
        <w:rPr>
          <w:rFonts w:cs="Arial"/>
          <w:b/>
          <w:bCs/>
          <w:sz w:val="22"/>
          <w:szCs w:val="22"/>
        </w:rPr>
      </w:pPr>
      <w:r w:rsidRPr="004F09D7">
        <w:rPr>
          <w:rFonts w:cs="Arial"/>
          <w:sz w:val="22"/>
          <w:szCs w:val="22"/>
          <w:lang w:val="en-CA"/>
        </w:rPr>
        <w:t xml:space="preserve">If the conditions to consent approval are not fulfilled within one year of the date of this letter and the applicant is still interested in pursuing the proposal, a new application will be required. All documentation required for final approval should be provided to the Ministry of Municipal Affairs and Housing </w:t>
      </w:r>
      <w:r w:rsidRPr="00EE0439">
        <w:rPr>
          <w:rFonts w:cs="Arial"/>
          <w:b/>
          <w:bCs/>
          <w:sz w:val="22"/>
          <w:szCs w:val="22"/>
          <w:lang w:val="en-CA"/>
        </w:rPr>
        <w:t>a minimum of one month prior to the lapsing date.</w:t>
      </w:r>
    </w:p>
    <w:sectPr w:rsidR="00457A34" w:rsidRPr="00EE0439" w:rsidSect="005777F0">
      <w:footerReference w:type="default" r:id="rId23"/>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0060" w14:textId="77777777" w:rsidR="00CD1E9C" w:rsidRDefault="00D314B2">
      <w:r>
        <w:separator/>
      </w:r>
    </w:p>
  </w:endnote>
  <w:endnote w:type="continuationSeparator" w:id="0">
    <w:p w14:paraId="4789CAEE" w14:textId="77777777" w:rsidR="00CD1E9C" w:rsidRDefault="00D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C2DF" w14:textId="77777777" w:rsidR="00712D1A" w:rsidRDefault="0071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99D2" w14:textId="77777777" w:rsidR="00712D1A" w:rsidRDefault="00712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600A4" w14:textId="77777777" w:rsidR="00712D1A" w:rsidRDefault="00712D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781C" w14:textId="77777777" w:rsidR="002A4DC0" w:rsidRPr="008C004C" w:rsidRDefault="002A4DC0">
    <w:pPr>
      <w:pStyle w:val="Footer"/>
      <w:jc w:val="right"/>
      <w:rPr>
        <w:rFonts w:cs="Arial"/>
        <w:sz w:val="20"/>
      </w:rPr>
    </w:pPr>
    <w:r w:rsidRPr="008C004C">
      <w:rPr>
        <w:rFonts w:cs="Arial"/>
        <w:sz w:val="20"/>
      </w:rPr>
      <w:t xml:space="preserve">Page </w:t>
    </w:r>
    <w:r w:rsidRPr="008C004C">
      <w:rPr>
        <w:rFonts w:cs="Arial"/>
        <w:b/>
        <w:bCs/>
        <w:sz w:val="20"/>
      </w:rPr>
      <w:fldChar w:fldCharType="begin"/>
    </w:r>
    <w:r w:rsidRPr="008C004C">
      <w:rPr>
        <w:rFonts w:cs="Arial"/>
        <w:b/>
        <w:bCs/>
        <w:sz w:val="20"/>
      </w:rPr>
      <w:instrText xml:space="preserve"> PAGE </w:instrText>
    </w:r>
    <w:r w:rsidRPr="008C004C">
      <w:rPr>
        <w:rFonts w:cs="Arial"/>
        <w:b/>
        <w:bCs/>
        <w:sz w:val="20"/>
      </w:rPr>
      <w:fldChar w:fldCharType="separate"/>
    </w:r>
    <w:r w:rsidR="00751CC8">
      <w:rPr>
        <w:rFonts w:cs="Arial"/>
        <w:b/>
        <w:bCs/>
        <w:noProof/>
        <w:sz w:val="20"/>
      </w:rPr>
      <w:t>3</w:t>
    </w:r>
    <w:r w:rsidRPr="008C004C">
      <w:rPr>
        <w:rFonts w:cs="Arial"/>
        <w:b/>
        <w:bCs/>
        <w:sz w:val="20"/>
      </w:rPr>
      <w:fldChar w:fldCharType="end"/>
    </w:r>
    <w:r w:rsidRPr="008C004C">
      <w:rPr>
        <w:rFonts w:cs="Arial"/>
        <w:sz w:val="20"/>
      </w:rPr>
      <w:t xml:space="preserve"> of </w:t>
    </w:r>
    <w:r w:rsidRPr="008C004C">
      <w:rPr>
        <w:rFonts w:cs="Arial"/>
        <w:b/>
        <w:bCs/>
        <w:sz w:val="20"/>
      </w:rPr>
      <w:fldChar w:fldCharType="begin"/>
    </w:r>
    <w:r w:rsidRPr="008C004C">
      <w:rPr>
        <w:rFonts w:cs="Arial"/>
        <w:b/>
        <w:bCs/>
        <w:sz w:val="20"/>
      </w:rPr>
      <w:instrText xml:space="preserve"> NUMPAGES  </w:instrText>
    </w:r>
    <w:r w:rsidRPr="008C004C">
      <w:rPr>
        <w:rFonts w:cs="Arial"/>
        <w:b/>
        <w:bCs/>
        <w:sz w:val="20"/>
      </w:rPr>
      <w:fldChar w:fldCharType="separate"/>
    </w:r>
    <w:r w:rsidR="00751CC8">
      <w:rPr>
        <w:rFonts w:cs="Arial"/>
        <w:b/>
        <w:bCs/>
        <w:noProof/>
        <w:sz w:val="20"/>
      </w:rPr>
      <w:t>4</w:t>
    </w:r>
    <w:r w:rsidRPr="008C004C">
      <w:rPr>
        <w:rFonts w:cs="Arial"/>
        <w:b/>
        <w:bCs/>
        <w:sz w:val="20"/>
      </w:rPr>
      <w:fldChar w:fldCharType="end"/>
    </w:r>
  </w:p>
  <w:p w14:paraId="7A73CC8B" w14:textId="77777777" w:rsidR="002A4DC0" w:rsidRDefault="002A4DC0">
    <w:pPr>
      <w:pStyle w:val="Footer"/>
    </w:pPr>
  </w:p>
  <w:p w14:paraId="477AF2CC" w14:textId="77777777" w:rsidR="002A4DC0" w:rsidRDefault="002A4DC0"/>
  <w:p w14:paraId="52C15127" w14:textId="77777777" w:rsidR="00103326" w:rsidRDefault="00103326"/>
  <w:p w14:paraId="5D532539" w14:textId="77777777" w:rsidR="00103326" w:rsidRDefault="00103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C6800" w14:textId="77777777" w:rsidR="00CD1E9C" w:rsidRDefault="00D314B2">
      <w:r>
        <w:separator/>
      </w:r>
    </w:p>
  </w:footnote>
  <w:footnote w:type="continuationSeparator" w:id="0">
    <w:p w14:paraId="57BAED51" w14:textId="77777777" w:rsidR="00CD1E9C" w:rsidRDefault="00D3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3F8FD" w14:textId="77777777" w:rsidR="00712D1A" w:rsidRDefault="00712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3952"/>
      <w:gridCol w:w="2268"/>
      <w:gridCol w:w="2093"/>
    </w:tblGrid>
    <w:tr w:rsidR="00C07B60" w14:paraId="5B4093E1" w14:textId="77777777" w:rsidTr="00905A37">
      <w:tc>
        <w:tcPr>
          <w:tcW w:w="1894" w:type="dxa"/>
        </w:tcPr>
        <w:p w14:paraId="488581F5" w14:textId="089EF98E" w:rsidR="00C07B60" w:rsidRPr="00250BC3" w:rsidRDefault="00C07B60" w:rsidP="00FC1657">
          <w:pPr>
            <w:rPr>
              <w:b/>
              <w:sz w:val="20"/>
            </w:rPr>
          </w:pPr>
          <w:r w:rsidRPr="00250BC3">
            <w:rPr>
              <w:b/>
              <w:sz w:val="20"/>
            </w:rPr>
            <w:t>Applicant</w:t>
          </w:r>
          <w:r w:rsidR="00B94A8A">
            <w:rPr>
              <w:b/>
              <w:sz w:val="20"/>
            </w:rPr>
            <w:t>s</w:t>
          </w:r>
          <w:r w:rsidRPr="00250BC3">
            <w:rPr>
              <w:b/>
              <w:sz w:val="20"/>
            </w:rPr>
            <w:t>:</w:t>
          </w:r>
        </w:p>
      </w:tc>
      <w:tc>
        <w:tcPr>
          <w:tcW w:w="3952" w:type="dxa"/>
        </w:tcPr>
        <w:p w14:paraId="44D774E3" w14:textId="61CAD36C" w:rsidR="00C07B60" w:rsidRPr="00250BC3" w:rsidRDefault="00B94A8A" w:rsidP="00FC1657">
          <w:pPr>
            <w:rPr>
              <w:b/>
              <w:sz w:val="20"/>
            </w:rPr>
          </w:pPr>
          <w:r>
            <w:rPr>
              <w:b/>
              <w:sz w:val="20"/>
            </w:rPr>
            <w:t>Garry Whitta and Margaret Whitta</w:t>
          </w:r>
        </w:p>
      </w:tc>
      <w:tc>
        <w:tcPr>
          <w:tcW w:w="2268" w:type="dxa"/>
        </w:tcPr>
        <w:p w14:paraId="18ABFCFD" w14:textId="77777777" w:rsidR="00C07B60" w:rsidRPr="00250BC3" w:rsidRDefault="00C07B60" w:rsidP="00FC1657">
          <w:pPr>
            <w:rPr>
              <w:b/>
              <w:sz w:val="20"/>
            </w:rPr>
          </w:pPr>
          <w:r w:rsidRPr="00250BC3">
            <w:rPr>
              <w:b/>
              <w:sz w:val="20"/>
            </w:rPr>
            <w:t>Date of Decision:</w:t>
          </w:r>
        </w:p>
      </w:tc>
      <w:tc>
        <w:tcPr>
          <w:tcW w:w="2093" w:type="dxa"/>
        </w:tcPr>
        <w:p w14:paraId="19152531" w14:textId="110D6FDB" w:rsidR="00C07B60" w:rsidRPr="00250BC3" w:rsidRDefault="00B94A8A" w:rsidP="002815BC">
          <w:pPr>
            <w:rPr>
              <w:b/>
              <w:sz w:val="20"/>
            </w:rPr>
          </w:pPr>
          <w:r>
            <w:rPr>
              <w:b/>
              <w:sz w:val="20"/>
            </w:rPr>
            <w:t>October 26</w:t>
          </w:r>
          <w:r w:rsidR="002D4F5E">
            <w:rPr>
              <w:b/>
              <w:sz w:val="20"/>
            </w:rPr>
            <w:t>, 2021</w:t>
          </w:r>
        </w:p>
      </w:tc>
    </w:tr>
    <w:tr w:rsidR="005C1E8E" w14:paraId="48697A44" w14:textId="77777777" w:rsidTr="00905A37">
      <w:tc>
        <w:tcPr>
          <w:tcW w:w="1894" w:type="dxa"/>
        </w:tcPr>
        <w:p w14:paraId="5775F8BA" w14:textId="77777777" w:rsidR="005C1E8E" w:rsidRPr="00250BC3" w:rsidRDefault="005C1E8E" w:rsidP="005C1E8E">
          <w:pPr>
            <w:rPr>
              <w:b/>
              <w:sz w:val="20"/>
            </w:rPr>
          </w:pPr>
          <w:r w:rsidRPr="00250BC3">
            <w:rPr>
              <w:b/>
              <w:sz w:val="20"/>
            </w:rPr>
            <w:t>File No.:</w:t>
          </w:r>
        </w:p>
      </w:tc>
      <w:tc>
        <w:tcPr>
          <w:tcW w:w="3952" w:type="dxa"/>
        </w:tcPr>
        <w:p w14:paraId="63D3D72D" w14:textId="496FBB98" w:rsidR="005C1E8E" w:rsidRPr="00BB18D1" w:rsidRDefault="00B94A8A" w:rsidP="005C1E8E">
          <w:pPr>
            <w:rPr>
              <w:b/>
              <w:sz w:val="20"/>
            </w:rPr>
          </w:pPr>
          <w:r>
            <w:rPr>
              <w:b/>
              <w:sz w:val="20"/>
            </w:rPr>
            <w:t>60-C-216411</w:t>
          </w:r>
        </w:p>
      </w:tc>
      <w:tc>
        <w:tcPr>
          <w:tcW w:w="2268" w:type="dxa"/>
        </w:tcPr>
        <w:p w14:paraId="50F2D0DC" w14:textId="77777777" w:rsidR="005C1E8E" w:rsidRPr="00250BC3" w:rsidRDefault="005C1E8E" w:rsidP="005C1E8E">
          <w:pPr>
            <w:rPr>
              <w:b/>
              <w:sz w:val="20"/>
            </w:rPr>
          </w:pPr>
          <w:r w:rsidRPr="00250BC3">
            <w:rPr>
              <w:b/>
              <w:sz w:val="20"/>
            </w:rPr>
            <w:t>Date of Notice:</w:t>
          </w:r>
        </w:p>
      </w:tc>
      <w:tc>
        <w:tcPr>
          <w:tcW w:w="2093" w:type="dxa"/>
        </w:tcPr>
        <w:p w14:paraId="0E4356E6" w14:textId="1455A05C" w:rsidR="005C1E8E" w:rsidRPr="00250BC3" w:rsidRDefault="00B94A8A" w:rsidP="005C1E8E">
          <w:pPr>
            <w:rPr>
              <w:b/>
              <w:sz w:val="20"/>
            </w:rPr>
          </w:pPr>
          <w:r>
            <w:rPr>
              <w:b/>
              <w:sz w:val="20"/>
            </w:rPr>
            <w:t>October 26, 2021</w:t>
          </w:r>
        </w:p>
      </w:tc>
    </w:tr>
    <w:tr w:rsidR="00643252" w14:paraId="47642DE5" w14:textId="77777777" w:rsidTr="00905A37">
      <w:tc>
        <w:tcPr>
          <w:tcW w:w="1894" w:type="dxa"/>
        </w:tcPr>
        <w:p w14:paraId="11844BD6" w14:textId="77777777" w:rsidR="00643252" w:rsidRPr="00250BC3" w:rsidRDefault="00643252" w:rsidP="00643252">
          <w:pPr>
            <w:rPr>
              <w:b/>
              <w:sz w:val="20"/>
            </w:rPr>
          </w:pPr>
          <w:r w:rsidRPr="00250BC3">
            <w:rPr>
              <w:b/>
              <w:sz w:val="20"/>
            </w:rPr>
            <w:t>Municipality/Twp:</w:t>
          </w:r>
        </w:p>
      </w:tc>
      <w:tc>
        <w:tcPr>
          <w:tcW w:w="3952" w:type="dxa"/>
        </w:tcPr>
        <w:p w14:paraId="1B5E0F03" w14:textId="1A138DC5" w:rsidR="00643252" w:rsidRPr="00250BC3" w:rsidRDefault="00905A37" w:rsidP="00905A37">
          <w:pPr>
            <w:tabs>
              <w:tab w:val="left" w:pos="3708"/>
            </w:tabs>
            <w:ind w:right="597"/>
            <w:rPr>
              <w:b/>
              <w:sz w:val="20"/>
            </w:rPr>
          </w:pPr>
          <w:r>
            <w:rPr>
              <w:rFonts w:cs="Arial"/>
              <w:b/>
              <w:sz w:val="20"/>
              <w:szCs w:val="20"/>
              <w:lang w:val="en-CA"/>
            </w:rPr>
            <w:t>Unincorporated</w:t>
          </w:r>
          <w:r w:rsidR="00643252" w:rsidRPr="005515B8">
            <w:rPr>
              <w:rFonts w:cs="Arial"/>
              <w:b/>
              <w:sz w:val="20"/>
              <w:szCs w:val="20"/>
              <w:lang w:val="en-CA"/>
            </w:rPr>
            <w:t xml:space="preserve"> </w:t>
          </w:r>
          <w:r w:rsidR="00B94A8A">
            <w:rPr>
              <w:rFonts w:cs="Arial"/>
              <w:b/>
              <w:sz w:val="20"/>
              <w:szCs w:val="20"/>
              <w:lang w:val="en-CA"/>
            </w:rPr>
            <w:t>To</w:t>
          </w:r>
          <w:r w:rsidR="00643252" w:rsidRPr="005515B8">
            <w:rPr>
              <w:rFonts w:cs="Arial"/>
              <w:b/>
              <w:sz w:val="20"/>
              <w:szCs w:val="20"/>
              <w:lang w:val="en-CA"/>
            </w:rPr>
            <w:t xml:space="preserve">wnship of </w:t>
          </w:r>
          <w:r w:rsidR="00B94A8A">
            <w:rPr>
              <w:rFonts w:cs="Arial"/>
              <w:b/>
              <w:sz w:val="20"/>
              <w:szCs w:val="20"/>
              <w:lang w:val="en-CA"/>
            </w:rPr>
            <w:t>Kirkup</w:t>
          </w:r>
          <w:r w:rsidR="00643252" w:rsidRPr="005515B8">
            <w:rPr>
              <w:rFonts w:cs="Arial"/>
              <w:b/>
              <w:sz w:val="20"/>
              <w:szCs w:val="20"/>
              <w:lang w:val="en-CA"/>
            </w:rPr>
            <w:t>, District of</w:t>
          </w:r>
          <w:r w:rsidR="00076277">
            <w:rPr>
              <w:rFonts w:cs="Arial"/>
              <w:b/>
              <w:sz w:val="20"/>
              <w:szCs w:val="20"/>
              <w:lang w:val="en-CA"/>
            </w:rPr>
            <w:t xml:space="preserve"> </w:t>
          </w:r>
          <w:r w:rsidR="00B94A8A">
            <w:rPr>
              <w:rFonts w:cs="Arial"/>
              <w:b/>
              <w:sz w:val="20"/>
              <w:szCs w:val="20"/>
              <w:lang w:val="en-CA"/>
            </w:rPr>
            <w:t>Kenora</w:t>
          </w:r>
        </w:p>
      </w:tc>
      <w:tc>
        <w:tcPr>
          <w:tcW w:w="2268" w:type="dxa"/>
        </w:tcPr>
        <w:p w14:paraId="02729766" w14:textId="338EFF62" w:rsidR="00643252" w:rsidRPr="00250BC3" w:rsidRDefault="00643252" w:rsidP="00643252">
          <w:pPr>
            <w:rPr>
              <w:b/>
              <w:sz w:val="20"/>
            </w:rPr>
          </w:pPr>
          <w:r w:rsidRPr="00250BC3">
            <w:rPr>
              <w:b/>
              <w:sz w:val="20"/>
            </w:rPr>
            <w:t xml:space="preserve">Last Date of </w:t>
          </w:r>
          <w:r w:rsidR="00905A37">
            <w:rPr>
              <w:b/>
              <w:sz w:val="20"/>
            </w:rPr>
            <w:t>A</w:t>
          </w:r>
          <w:r w:rsidRPr="00250BC3">
            <w:rPr>
              <w:b/>
              <w:sz w:val="20"/>
            </w:rPr>
            <w:t>ppeal:</w:t>
          </w:r>
        </w:p>
      </w:tc>
      <w:tc>
        <w:tcPr>
          <w:tcW w:w="2093" w:type="dxa"/>
        </w:tcPr>
        <w:p w14:paraId="0126C51A" w14:textId="6CA52A7F" w:rsidR="00643252" w:rsidRPr="00250BC3" w:rsidRDefault="00B94A8A" w:rsidP="00643252">
          <w:pPr>
            <w:rPr>
              <w:b/>
              <w:sz w:val="20"/>
            </w:rPr>
          </w:pPr>
          <w:r>
            <w:rPr>
              <w:b/>
              <w:sz w:val="20"/>
            </w:rPr>
            <w:t>November 15, 2021</w:t>
          </w:r>
        </w:p>
      </w:tc>
    </w:tr>
    <w:tr w:rsidR="00C07B60" w14:paraId="7CB1E949" w14:textId="77777777" w:rsidTr="00905A37">
      <w:tc>
        <w:tcPr>
          <w:tcW w:w="1894" w:type="dxa"/>
        </w:tcPr>
        <w:p w14:paraId="6941848C" w14:textId="77777777" w:rsidR="00C07B60" w:rsidRPr="00250BC3" w:rsidRDefault="00C07B60" w:rsidP="00FC1657">
          <w:pPr>
            <w:rPr>
              <w:b/>
              <w:sz w:val="20"/>
            </w:rPr>
          </w:pPr>
          <w:r w:rsidRPr="00250BC3">
            <w:rPr>
              <w:b/>
              <w:sz w:val="20"/>
            </w:rPr>
            <w:t>Subject Lands:</w:t>
          </w:r>
        </w:p>
      </w:tc>
      <w:tc>
        <w:tcPr>
          <w:tcW w:w="3952" w:type="dxa"/>
        </w:tcPr>
        <w:p w14:paraId="1186DE35" w14:textId="34798706" w:rsidR="00C07B60" w:rsidRPr="00BB18D1" w:rsidRDefault="00076277" w:rsidP="00E868F2">
          <w:pPr>
            <w:tabs>
              <w:tab w:val="left" w:pos="2556"/>
            </w:tabs>
            <w:rPr>
              <w:b/>
              <w:sz w:val="20"/>
            </w:rPr>
          </w:pPr>
          <w:r>
            <w:rPr>
              <w:rFonts w:cs="Arial"/>
              <w:b/>
              <w:sz w:val="20"/>
              <w:szCs w:val="20"/>
              <w:lang w:val="en-CA"/>
            </w:rPr>
            <w:t xml:space="preserve">PIN </w:t>
          </w:r>
          <w:r w:rsidR="00B94A8A">
            <w:rPr>
              <w:rFonts w:cs="Arial"/>
              <w:b/>
              <w:sz w:val="20"/>
              <w:szCs w:val="20"/>
              <w:lang w:val="en-CA"/>
            </w:rPr>
            <w:t>42125-0911</w:t>
          </w:r>
          <w:r>
            <w:rPr>
              <w:rFonts w:cs="Arial"/>
              <w:b/>
              <w:sz w:val="20"/>
              <w:szCs w:val="20"/>
              <w:lang w:val="en-CA"/>
            </w:rPr>
            <w:t xml:space="preserve">, </w:t>
          </w:r>
          <w:r w:rsidR="00B94A8A" w:rsidRPr="00B94A8A">
            <w:rPr>
              <w:rFonts w:cs="Arial"/>
              <w:b/>
              <w:sz w:val="20"/>
              <w:szCs w:val="20"/>
              <w:lang w:val="en-CA"/>
            </w:rPr>
            <w:t>Pt Mining Claim K4032 and K4033 Being P</w:t>
          </w:r>
          <w:r w:rsidR="00B94A8A">
            <w:rPr>
              <w:rFonts w:cs="Arial"/>
              <w:b/>
              <w:sz w:val="20"/>
              <w:szCs w:val="20"/>
              <w:lang w:val="en-CA"/>
            </w:rPr>
            <w:t xml:space="preserve">art of </w:t>
          </w:r>
          <w:r w:rsidR="00B94A8A" w:rsidRPr="00B94A8A">
            <w:rPr>
              <w:rFonts w:cs="Arial"/>
              <w:b/>
              <w:sz w:val="20"/>
              <w:szCs w:val="20"/>
              <w:lang w:val="en-CA"/>
            </w:rPr>
            <w:t>Mining Location 225p</w:t>
          </w:r>
          <w:r w:rsidR="00B94A8A">
            <w:rPr>
              <w:rFonts w:cs="Arial"/>
              <w:b/>
              <w:sz w:val="20"/>
              <w:szCs w:val="20"/>
              <w:lang w:val="en-CA"/>
            </w:rPr>
            <w:t xml:space="preserve"> on Lake of the Woods, Bigstone Bay</w:t>
          </w:r>
        </w:p>
      </w:tc>
      <w:tc>
        <w:tcPr>
          <w:tcW w:w="2268" w:type="dxa"/>
        </w:tcPr>
        <w:p w14:paraId="7E074794" w14:textId="77777777" w:rsidR="00C07B60" w:rsidRPr="00250BC3" w:rsidRDefault="00C07B60" w:rsidP="00FC1657">
          <w:pPr>
            <w:rPr>
              <w:b/>
              <w:sz w:val="20"/>
            </w:rPr>
          </w:pPr>
        </w:p>
      </w:tc>
      <w:tc>
        <w:tcPr>
          <w:tcW w:w="2093" w:type="dxa"/>
        </w:tcPr>
        <w:p w14:paraId="7851FF09" w14:textId="77777777" w:rsidR="00C07B60" w:rsidRPr="00250BC3" w:rsidRDefault="00C07B60" w:rsidP="00FC1657">
          <w:pPr>
            <w:rPr>
              <w:b/>
              <w:sz w:val="20"/>
            </w:rPr>
          </w:pPr>
        </w:p>
      </w:tc>
    </w:tr>
  </w:tbl>
  <w:p w14:paraId="504FA0D0" w14:textId="77777777" w:rsidR="00A20977" w:rsidRDefault="00A20977" w:rsidP="00A20977">
    <w:pPr>
      <w:tabs>
        <w:tab w:val="left" w:pos="-1080"/>
        <w:tab w:val="left" w:pos="-720"/>
        <w:tab w:val="left" w:pos="0"/>
        <w:tab w:val="left" w:pos="720"/>
        <w:tab w:val="left" w:pos="1440"/>
        <w:tab w:val="left" w:pos="1800"/>
      </w:tabs>
      <w:rPr>
        <w:lang w:val="en-GB"/>
      </w:rPr>
    </w:pPr>
  </w:p>
  <w:p w14:paraId="19D918D1" w14:textId="77777777" w:rsidR="00726DBC" w:rsidRPr="00A20977" w:rsidRDefault="00712D1A" w:rsidP="00A2097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3019" w14:textId="77777777" w:rsidR="00712D1A" w:rsidRDefault="0071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F7029"/>
    <w:multiLevelType w:val="hybridMultilevel"/>
    <w:tmpl w:val="9B4E868C"/>
    <w:lvl w:ilvl="0" w:tplc="1009000F">
      <w:start w:val="1"/>
      <w:numFmt w:val="decimal"/>
      <w:lvlText w:val="%1."/>
      <w:lvlJc w:val="left"/>
      <w:pPr>
        <w:ind w:left="360" w:hanging="360"/>
      </w:pPr>
      <w:rPr>
        <w:rFonts w:hint="default"/>
      </w:rPr>
    </w:lvl>
    <w:lvl w:ilvl="1" w:tplc="06B238D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943A81"/>
    <w:multiLevelType w:val="hybridMultilevel"/>
    <w:tmpl w:val="7D7A57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9F716A"/>
    <w:multiLevelType w:val="hybridMultilevel"/>
    <w:tmpl w:val="461CF538"/>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160B8B"/>
    <w:multiLevelType w:val="hybridMultilevel"/>
    <w:tmpl w:val="0658AAB8"/>
    <w:lvl w:ilvl="0" w:tplc="640C8212">
      <w:start w:val="5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897632"/>
    <w:multiLevelType w:val="hybridMultilevel"/>
    <w:tmpl w:val="C106A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5339A9"/>
    <w:multiLevelType w:val="hybridMultilevel"/>
    <w:tmpl w:val="6BB8F4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7672C47"/>
    <w:multiLevelType w:val="hybridMultilevel"/>
    <w:tmpl w:val="4D5E99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86541B"/>
    <w:multiLevelType w:val="hybridMultilevel"/>
    <w:tmpl w:val="A4CCC31E"/>
    <w:lvl w:ilvl="0" w:tplc="264EFD72">
      <w:start w:val="1"/>
      <w:numFmt w:val="lowerLetter"/>
      <w:lvlText w:val="(%1)"/>
      <w:lvlJc w:val="left"/>
      <w:pPr>
        <w:tabs>
          <w:tab w:val="num" w:pos="1080"/>
        </w:tabs>
        <w:ind w:left="1080" w:hanging="360"/>
      </w:pPr>
      <w:rPr>
        <w:rFonts w:hint="default"/>
        <w:u w:val="none"/>
      </w:rPr>
    </w:lvl>
    <w:lvl w:ilvl="1" w:tplc="32820D94">
      <w:start w:val="1"/>
      <w:numFmt w:val="lowerLetter"/>
      <w:lvlText w:val="%2)"/>
      <w:lvlJc w:val="left"/>
      <w:pPr>
        <w:tabs>
          <w:tab w:val="num" w:pos="1440"/>
        </w:tabs>
        <w:ind w:left="1440" w:hanging="360"/>
      </w:pPr>
      <w:rPr>
        <w:rFonts w:hint="default"/>
        <w:u w:val="none"/>
      </w:rPr>
    </w:lvl>
    <w:lvl w:ilvl="2" w:tplc="1009001B">
      <w:start w:val="1"/>
      <w:numFmt w:val="lowerRoman"/>
      <w:lvlText w:val="%3."/>
      <w:lvlJc w:val="right"/>
      <w:pPr>
        <w:tabs>
          <w:tab w:val="num" w:pos="2160"/>
        </w:tabs>
        <w:ind w:left="2160" w:hanging="180"/>
      </w:pPr>
      <w:rPr>
        <w:rFonts w:hint="default"/>
        <w:u w:val="none"/>
      </w:rPr>
    </w:lvl>
    <w:lvl w:ilvl="3" w:tplc="1009000F">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3D313183"/>
    <w:multiLevelType w:val="hybridMultilevel"/>
    <w:tmpl w:val="947494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D912B00"/>
    <w:multiLevelType w:val="hybridMultilevel"/>
    <w:tmpl w:val="9E5A6F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481696"/>
    <w:multiLevelType w:val="hybridMultilevel"/>
    <w:tmpl w:val="464E852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79B43B9"/>
    <w:multiLevelType w:val="hybridMultilevel"/>
    <w:tmpl w:val="E1286E20"/>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4" w15:restartNumberingAfterBreak="0">
    <w:nsid w:val="4B455D28"/>
    <w:multiLevelType w:val="hybridMultilevel"/>
    <w:tmpl w:val="323211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413248B"/>
    <w:multiLevelType w:val="hybridMultilevel"/>
    <w:tmpl w:val="9EE062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54691331"/>
    <w:multiLevelType w:val="hybridMultilevel"/>
    <w:tmpl w:val="2536CF7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005530"/>
    <w:multiLevelType w:val="hybridMultilevel"/>
    <w:tmpl w:val="059ECEC2"/>
    <w:lvl w:ilvl="0" w:tplc="640C8212">
      <w:start w:val="58"/>
      <w:numFmt w:val="bullet"/>
      <w:lvlText w:val="-"/>
      <w:lvlJc w:val="left"/>
      <w:pPr>
        <w:ind w:left="720" w:hanging="360"/>
      </w:pPr>
      <w:rPr>
        <w:rFonts w:ascii="Arial" w:eastAsia="Times New Roman" w:hAnsi="Arial" w:cs="Aria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5E305ED"/>
    <w:multiLevelType w:val="hybridMultilevel"/>
    <w:tmpl w:val="F9B0751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9" w15:restartNumberingAfterBreak="0">
    <w:nsid w:val="703A2DD3"/>
    <w:multiLevelType w:val="hybridMultilevel"/>
    <w:tmpl w:val="DF4ACEEC"/>
    <w:lvl w:ilvl="0" w:tplc="1009000F">
      <w:start w:val="1"/>
      <w:numFmt w:val="decimal"/>
      <w:lvlText w:val="%1."/>
      <w:lvlJc w:val="left"/>
      <w:pPr>
        <w:tabs>
          <w:tab w:val="num" w:pos="810"/>
        </w:tabs>
        <w:ind w:left="810" w:hanging="360"/>
      </w:pPr>
      <w:rPr>
        <w:rFonts w:hint="default"/>
      </w:rPr>
    </w:lvl>
    <w:lvl w:ilvl="1" w:tplc="10090019" w:tentative="1">
      <w:start w:val="1"/>
      <w:numFmt w:val="lowerLetter"/>
      <w:lvlText w:val="%2."/>
      <w:lvlJc w:val="left"/>
      <w:pPr>
        <w:tabs>
          <w:tab w:val="num" w:pos="1506"/>
        </w:tabs>
        <w:ind w:left="1506" w:hanging="360"/>
      </w:pPr>
    </w:lvl>
    <w:lvl w:ilvl="2" w:tplc="1009001B" w:tentative="1">
      <w:start w:val="1"/>
      <w:numFmt w:val="lowerRoman"/>
      <w:lvlText w:val="%3."/>
      <w:lvlJc w:val="right"/>
      <w:pPr>
        <w:tabs>
          <w:tab w:val="num" w:pos="2226"/>
        </w:tabs>
        <w:ind w:left="2226" w:hanging="180"/>
      </w:pPr>
    </w:lvl>
    <w:lvl w:ilvl="3" w:tplc="1009000F" w:tentative="1">
      <w:start w:val="1"/>
      <w:numFmt w:val="decimal"/>
      <w:lvlText w:val="%4."/>
      <w:lvlJc w:val="left"/>
      <w:pPr>
        <w:tabs>
          <w:tab w:val="num" w:pos="2946"/>
        </w:tabs>
        <w:ind w:left="2946" w:hanging="360"/>
      </w:pPr>
    </w:lvl>
    <w:lvl w:ilvl="4" w:tplc="10090019" w:tentative="1">
      <w:start w:val="1"/>
      <w:numFmt w:val="lowerLetter"/>
      <w:lvlText w:val="%5."/>
      <w:lvlJc w:val="left"/>
      <w:pPr>
        <w:tabs>
          <w:tab w:val="num" w:pos="3666"/>
        </w:tabs>
        <w:ind w:left="3666" w:hanging="360"/>
      </w:pPr>
    </w:lvl>
    <w:lvl w:ilvl="5" w:tplc="1009001B" w:tentative="1">
      <w:start w:val="1"/>
      <w:numFmt w:val="lowerRoman"/>
      <w:lvlText w:val="%6."/>
      <w:lvlJc w:val="right"/>
      <w:pPr>
        <w:tabs>
          <w:tab w:val="num" w:pos="4386"/>
        </w:tabs>
        <w:ind w:left="4386" w:hanging="180"/>
      </w:pPr>
    </w:lvl>
    <w:lvl w:ilvl="6" w:tplc="1009000F" w:tentative="1">
      <w:start w:val="1"/>
      <w:numFmt w:val="decimal"/>
      <w:lvlText w:val="%7."/>
      <w:lvlJc w:val="left"/>
      <w:pPr>
        <w:tabs>
          <w:tab w:val="num" w:pos="5106"/>
        </w:tabs>
        <w:ind w:left="5106" w:hanging="360"/>
      </w:pPr>
    </w:lvl>
    <w:lvl w:ilvl="7" w:tplc="10090019" w:tentative="1">
      <w:start w:val="1"/>
      <w:numFmt w:val="lowerLetter"/>
      <w:lvlText w:val="%8."/>
      <w:lvlJc w:val="left"/>
      <w:pPr>
        <w:tabs>
          <w:tab w:val="num" w:pos="5826"/>
        </w:tabs>
        <w:ind w:left="5826" w:hanging="360"/>
      </w:pPr>
    </w:lvl>
    <w:lvl w:ilvl="8" w:tplc="1009001B" w:tentative="1">
      <w:start w:val="1"/>
      <w:numFmt w:val="lowerRoman"/>
      <w:lvlText w:val="%9."/>
      <w:lvlJc w:val="right"/>
      <w:pPr>
        <w:tabs>
          <w:tab w:val="num" w:pos="6546"/>
        </w:tabs>
        <w:ind w:left="6546" w:hanging="180"/>
      </w:pPr>
    </w:lvl>
  </w:abstractNum>
  <w:abstractNum w:abstractNumId="20" w15:restartNumberingAfterBreak="0">
    <w:nsid w:val="71785CF0"/>
    <w:multiLevelType w:val="hybridMultilevel"/>
    <w:tmpl w:val="6C961644"/>
    <w:lvl w:ilvl="0" w:tplc="1009000F">
      <w:start w:val="1"/>
      <w:numFmt w:val="decimal"/>
      <w:lvlText w:val="%1."/>
      <w:lvlJc w:val="left"/>
      <w:pPr>
        <w:ind w:left="1069" w:hanging="360"/>
      </w:pPr>
      <w:rPr>
        <w:rFonts w:hint="default"/>
      </w:rPr>
    </w:lvl>
    <w:lvl w:ilvl="1" w:tplc="1009001B">
      <w:start w:val="1"/>
      <w:numFmt w:val="lowerRoman"/>
      <w:lvlText w:val="%2."/>
      <w:lvlJc w:val="right"/>
      <w:pPr>
        <w:ind w:left="1789" w:hanging="360"/>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1" w15:restartNumberingAfterBreak="0">
    <w:nsid w:val="732A5FE3"/>
    <w:multiLevelType w:val="hybridMultilevel"/>
    <w:tmpl w:val="84BEF62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744C57C7"/>
    <w:multiLevelType w:val="hybridMultilevel"/>
    <w:tmpl w:val="6CF0A8D4"/>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F134C0"/>
    <w:multiLevelType w:val="hybridMultilevel"/>
    <w:tmpl w:val="EB863A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AD4784F"/>
    <w:multiLevelType w:val="hybridMultilevel"/>
    <w:tmpl w:val="91C0F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5"/>
  </w:num>
  <w:num w:numId="3">
    <w:abstractNumId w:val="19"/>
  </w:num>
  <w:num w:numId="4">
    <w:abstractNumId w:val="17"/>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21"/>
  </w:num>
  <w:num w:numId="7">
    <w:abstractNumId w:val="2"/>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num>
  <w:num w:numId="12">
    <w:abstractNumId w:val="4"/>
  </w:num>
  <w:num w:numId="13">
    <w:abstractNumId w:val="22"/>
  </w:num>
  <w:num w:numId="14">
    <w:abstractNumId w:val="7"/>
  </w:num>
  <w:num w:numId="15">
    <w:abstractNumId w:val="24"/>
  </w:num>
  <w:num w:numId="16">
    <w:abstractNumId w:val="5"/>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0C"/>
    <w:rsid w:val="00034EC5"/>
    <w:rsid w:val="00076277"/>
    <w:rsid w:val="000A6161"/>
    <w:rsid w:val="000C6DD9"/>
    <w:rsid w:val="000F1CA7"/>
    <w:rsid w:val="00103326"/>
    <w:rsid w:val="00113324"/>
    <w:rsid w:val="001366F3"/>
    <w:rsid w:val="00142BE1"/>
    <w:rsid w:val="00147CBE"/>
    <w:rsid w:val="00151220"/>
    <w:rsid w:val="00171F03"/>
    <w:rsid w:val="00173B1D"/>
    <w:rsid w:val="001754CA"/>
    <w:rsid w:val="00182990"/>
    <w:rsid w:val="00191042"/>
    <w:rsid w:val="001F5D19"/>
    <w:rsid w:val="00201BCC"/>
    <w:rsid w:val="00221A82"/>
    <w:rsid w:val="002302EB"/>
    <w:rsid w:val="00266C2B"/>
    <w:rsid w:val="002812BD"/>
    <w:rsid w:val="002815BC"/>
    <w:rsid w:val="0028644B"/>
    <w:rsid w:val="00287E11"/>
    <w:rsid w:val="00294895"/>
    <w:rsid w:val="002A4DC0"/>
    <w:rsid w:val="002C1ED7"/>
    <w:rsid w:val="002D4AE3"/>
    <w:rsid w:val="002D4F5E"/>
    <w:rsid w:val="002E2789"/>
    <w:rsid w:val="00300859"/>
    <w:rsid w:val="00346271"/>
    <w:rsid w:val="003525F2"/>
    <w:rsid w:val="0035300C"/>
    <w:rsid w:val="00360B0C"/>
    <w:rsid w:val="003A00D3"/>
    <w:rsid w:val="003B7991"/>
    <w:rsid w:val="004012AA"/>
    <w:rsid w:val="00414B7F"/>
    <w:rsid w:val="00437FF8"/>
    <w:rsid w:val="00456488"/>
    <w:rsid w:val="00457A34"/>
    <w:rsid w:val="0048515D"/>
    <w:rsid w:val="004B0748"/>
    <w:rsid w:val="004E7961"/>
    <w:rsid w:val="004F07C4"/>
    <w:rsid w:val="004F09D7"/>
    <w:rsid w:val="005515B8"/>
    <w:rsid w:val="005777F0"/>
    <w:rsid w:val="00581487"/>
    <w:rsid w:val="005814CF"/>
    <w:rsid w:val="00590CCB"/>
    <w:rsid w:val="00597AE6"/>
    <w:rsid w:val="005B1047"/>
    <w:rsid w:val="005B32C1"/>
    <w:rsid w:val="005B4E67"/>
    <w:rsid w:val="005C1E8E"/>
    <w:rsid w:val="005C6E34"/>
    <w:rsid w:val="0061152B"/>
    <w:rsid w:val="00634521"/>
    <w:rsid w:val="00637458"/>
    <w:rsid w:val="00643252"/>
    <w:rsid w:val="00646781"/>
    <w:rsid w:val="0066158E"/>
    <w:rsid w:val="00664864"/>
    <w:rsid w:val="006A13F3"/>
    <w:rsid w:val="006B7FB4"/>
    <w:rsid w:val="00702B48"/>
    <w:rsid w:val="00712D1A"/>
    <w:rsid w:val="00723705"/>
    <w:rsid w:val="00734AA5"/>
    <w:rsid w:val="00737E5D"/>
    <w:rsid w:val="00740569"/>
    <w:rsid w:val="00742078"/>
    <w:rsid w:val="00751CC8"/>
    <w:rsid w:val="007605BD"/>
    <w:rsid w:val="00770962"/>
    <w:rsid w:val="007775A9"/>
    <w:rsid w:val="007B7879"/>
    <w:rsid w:val="007C04E9"/>
    <w:rsid w:val="007C0EB0"/>
    <w:rsid w:val="007C46A3"/>
    <w:rsid w:val="007C7369"/>
    <w:rsid w:val="008409BC"/>
    <w:rsid w:val="00866FB2"/>
    <w:rsid w:val="008707EB"/>
    <w:rsid w:val="00881F7C"/>
    <w:rsid w:val="008A53C2"/>
    <w:rsid w:val="008C43AF"/>
    <w:rsid w:val="008D41C7"/>
    <w:rsid w:val="008D6166"/>
    <w:rsid w:val="008D6CAC"/>
    <w:rsid w:val="008E4023"/>
    <w:rsid w:val="00905A37"/>
    <w:rsid w:val="00913538"/>
    <w:rsid w:val="00916147"/>
    <w:rsid w:val="00926B65"/>
    <w:rsid w:val="00942315"/>
    <w:rsid w:val="00964578"/>
    <w:rsid w:val="009A1AF3"/>
    <w:rsid w:val="009B0A9F"/>
    <w:rsid w:val="009B1818"/>
    <w:rsid w:val="009D1B89"/>
    <w:rsid w:val="009E1BE1"/>
    <w:rsid w:val="009F3074"/>
    <w:rsid w:val="00A20977"/>
    <w:rsid w:val="00A40551"/>
    <w:rsid w:val="00A70B21"/>
    <w:rsid w:val="00A913B5"/>
    <w:rsid w:val="00AA7B24"/>
    <w:rsid w:val="00AC3209"/>
    <w:rsid w:val="00AC494C"/>
    <w:rsid w:val="00AC6695"/>
    <w:rsid w:val="00B20FC4"/>
    <w:rsid w:val="00B429AB"/>
    <w:rsid w:val="00B77724"/>
    <w:rsid w:val="00B94A8A"/>
    <w:rsid w:val="00BB18D1"/>
    <w:rsid w:val="00BC30E3"/>
    <w:rsid w:val="00BC6209"/>
    <w:rsid w:val="00C07B60"/>
    <w:rsid w:val="00C21C94"/>
    <w:rsid w:val="00C30A15"/>
    <w:rsid w:val="00C45BDF"/>
    <w:rsid w:val="00C7028E"/>
    <w:rsid w:val="00C93747"/>
    <w:rsid w:val="00CA7919"/>
    <w:rsid w:val="00CC3961"/>
    <w:rsid w:val="00CC5099"/>
    <w:rsid w:val="00CD1E9C"/>
    <w:rsid w:val="00D07C42"/>
    <w:rsid w:val="00D1726A"/>
    <w:rsid w:val="00D314B2"/>
    <w:rsid w:val="00D510B1"/>
    <w:rsid w:val="00D60241"/>
    <w:rsid w:val="00D978C5"/>
    <w:rsid w:val="00DD144D"/>
    <w:rsid w:val="00DD4B7C"/>
    <w:rsid w:val="00E04994"/>
    <w:rsid w:val="00E06F9A"/>
    <w:rsid w:val="00E255B3"/>
    <w:rsid w:val="00E634D1"/>
    <w:rsid w:val="00E811B6"/>
    <w:rsid w:val="00E86410"/>
    <w:rsid w:val="00E868F2"/>
    <w:rsid w:val="00EC1412"/>
    <w:rsid w:val="00EC2089"/>
    <w:rsid w:val="00EC35AE"/>
    <w:rsid w:val="00EC36A6"/>
    <w:rsid w:val="00ED5EB7"/>
    <w:rsid w:val="00EE0439"/>
    <w:rsid w:val="00EF3BD4"/>
    <w:rsid w:val="00F3386E"/>
    <w:rsid w:val="00F9713E"/>
    <w:rsid w:val="00FC6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A1040F4"/>
  <w15:docId w15:val="{D6BBDE5D-8F2C-486A-99B2-89042992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0C"/>
    <w:pPr>
      <w:widowControl w:val="0"/>
      <w:autoSpaceDE w:val="0"/>
      <w:autoSpaceDN w:val="0"/>
      <w:adjustRightInd w:val="0"/>
      <w:spacing w:after="0" w:line="240" w:lineRule="auto"/>
    </w:pPr>
    <w:rPr>
      <w:rFonts w:ascii="Arial" w:eastAsia="Times New Roman" w:hAnsi="Arial"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5300C"/>
    <w:pPr>
      <w:outlineLvl w:val="0"/>
    </w:pPr>
  </w:style>
  <w:style w:type="character" w:styleId="Hyperlink">
    <w:name w:val="Hyperlink"/>
    <w:uiPriority w:val="99"/>
    <w:rsid w:val="0035300C"/>
    <w:rPr>
      <w:color w:val="0000FF"/>
      <w:u w:val="single"/>
    </w:rPr>
  </w:style>
  <w:style w:type="paragraph" w:styleId="ListParagraph">
    <w:name w:val="List Paragraph"/>
    <w:basedOn w:val="Normal"/>
    <w:uiPriority w:val="34"/>
    <w:qFormat/>
    <w:rsid w:val="0035300C"/>
    <w:pPr>
      <w:ind w:left="720"/>
      <w:contextualSpacing/>
    </w:pPr>
  </w:style>
  <w:style w:type="paragraph" w:styleId="Header">
    <w:name w:val="header"/>
    <w:basedOn w:val="Normal"/>
    <w:link w:val="HeaderChar"/>
    <w:uiPriority w:val="99"/>
    <w:unhideWhenUsed/>
    <w:rsid w:val="004F07C4"/>
    <w:pPr>
      <w:tabs>
        <w:tab w:val="center" w:pos="4680"/>
        <w:tab w:val="right" w:pos="9360"/>
      </w:tabs>
    </w:pPr>
  </w:style>
  <w:style w:type="character" w:customStyle="1" w:styleId="HeaderChar">
    <w:name w:val="Header Char"/>
    <w:basedOn w:val="DefaultParagraphFont"/>
    <w:link w:val="Header"/>
    <w:uiPriority w:val="99"/>
    <w:rsid w:val="004F07C4"/>
    <w:rPr>
      <w:rFonts w:ascii="Arial" w:eastAsia="Times New Roman" w:hAnsi="Arial" w:cs="Times New Roman"/>
      <w:sz w:val="24"/>
      <w:szCs w:val="24"/>
      <w:lang w:val="en-US" w:eastAsia="en-CA"/>
    </w:rPr>
  </w:style>
  <w:style w:type="paragraph" w:styleId="Footer">
    <w:name w:val="footer"/>
    <w:basedOn w:val="Normal"/>
    <w:link w:val="FooterChar"/>
    <w:uiPriority w:val="99"/>
    <w:unhideWhenUsed/>
    <w:rsid w:val="004F07C4"/>
    <w:pPr>
      <w:tabs>
        <w:tab w:val="center" w:pos="4680"/>
        <w:tab w:val="right" w:pos="9360"/>
      </w:tabs>
    </w:pPr>
  </w:style>
  <w:style w:type="character" w:customStyle="1" w:styleId="FooterChar">
    <w:name w:val="Footer Char"/>
    <w:basedOn w:val="DefaultParagraphFont"/>
    <w:link w:val="Footer"/>
    <w:uiPriority w:val="99"/>
    <w:rsid w:val="004F07C4"/>
    <w:rPr>
      <w:rFonts w:ascii="Arial" w:eastAsia="Times New Roman" w:hAnsi="Arial" w:cs="Times New Roman"/>
      <w:sz w:val="24"/>
      <w:szCs w:val="24"/>
      <w:lang w:val="en-US" w:eastAsia="en-CA"/>
    </w:rPr>
  </w:style>
  <w:style w:type="paragraph" w:customStyle="1" w:styleId="Level3">
    <w:name w:val="Level 3"/>
    <w:basedOn w:val="Normal"/>
    <w:uiPriority w:val="99"/>
    <w:rsid w:val="00D1726A"/>
    <w:pPr>
      <w:numPr>
        <w:ilvl w:val="2"/>
        <w:numId w:val="5"/>
      </w:numPr>
      <w:ind w:left="1440" w:hanging="720"/>
      <w:outlineLvl w:val="2"/>
    </w:pPr>
    <w:rPr>
      <w:rFonts w:cs="Arial"/>
      <w:lang w:val="en-CA"/>
    </w:rPr>
  </w:style>
  <w:style w:type="paragraph" w:styleId="BalloonText">
    <w:name w:val="Balloon Text"/>
    <w:basedOn w:val="Normal"/>
    <w:link w:val="BalloonTextChar"/>
    <w:uiPriority w:val="99"/>
    <w:semiHidden/>
    <w:unhideWhenUsed/>
    <w:rsid w:val="00B77724"/>
    <w:rPr>
      <w:rFonts w:ascii="Tahoma" w:hAnsi="Tahoma" w:cs="Tahoma"/>
      <w:sz w:val="16"/>
      <w:szCs w:val="16"/>
    </w:rPr>
  </w:style>
  <w:style w:type="character" w:customStyle="1" w:styleId="BalloonTextChar">
    <w:name w:val="Balloon Text Char"/>
    <w:basedOn w:val="DefaultParagraphFont"/>
    <w:link w:val="BalloonText"/>
    <w:uiPriority w:val="99"/>
    <w:semiHidden/>
    <w:rsid w:val="00B77724"/>
    <w:rPr>
      <w:rFonts w:ascii="Tahoma" w:eastAsia="Times New Roman" w:hAnsi="Tahoma" w:cs="Tahoma"/>
      <w:sz w:val="16"/>
      <w:szCs w:val="16"/>
      <w:lang w:val="en-US" w:eastAsia="en-CA"/>
    </w:rPr>
  </w:style>
  <w:style w:type="table" w:styleId="TableGrid">
    <w:name w:val="Table Grid"/>
    <w:basedOn w:val="TableNormal"/>
    <w:uiPriority w:val="59"/>
    <w:rsid w:val="00A2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CBE"/>
    <w:rPr>
      <w:color w:val="605E5C"/>
      <w:shd w:val="clear" w:color="auto" w:fill="E1DFDD"/>
    </w:rPr>
  </w:style>
  <w:style w:type="character" w:styleId="FollowedHyperlink">
    <w:name w:val="FollowedHyperlink"/>
    <w:basedOn w:val="DefaultParagraphFont"/>
    <w:uiPriority w:val="99"/>
    <w:semiHidden/>
    <w:unhideWhenUsed/>
    <w:rsid w:val="00034EC5"/>
    <w:rPr>
      <w:color w:val="800080" w:themeColor="followedHyperlink"/>
      <w:u w:val="single"/>
    </w:rPr>
  </w:style>
  <w:style w:type="character" w:styleId="CommentReference">
    <w:name w:val="annotation reference"/>
    <w:basedOn w:val="DefaultParagraphFont"/>
    <w:uiPriority w:val="99"/>
    <w:semiHidden/>
    <w:unhideWhenUsed/>
    <w:rsid w:val="00034EC5"/>
    <w:rPr>
      <w:sz w:val="16"/>
      <w:szCs w:val="16"/>
    </w:rPr>
  </w:style>
  <w:style w:type="paragraph" w:styleId="CommentText">
    <w:name w:val="annotation text"/>
    <w:basedOn w:val="Normal"/>
    <w:link w:val="CommentTextChar"/>
    <w:uiPriority w:val="99"/>
    <w:semiHidden/>
    <w:unhideWhenUsed/>
    <w:rsid w:val="00034EC5"/>
    <w:rPr>
      <w:sz w:val="20"/>
      <w:szCs w:val="20"/>
    </w:rPr>
  </w:style>
  <w:style w:type="character" w:customStyle="1" w:styleId="CommentTextChar">
    <w:name w:val="Comment Text Char"/>
    <w:basedOn w:val="DefaultParagraphFont"/>
    <w:link w:val="CommentText"/>
    <w:uiPriority w:val="99"/>
    <w:semiHidden/>
    <w:rsid w:val="00034EC5"/>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uiPriority w:val="99"/>
    <w:semiHidden/>
    <w:unhideWhenUsed/>
    <w:rsid w:val="00034EC5"/>
    <w:rPr>
      <w:b/>
      <w:bCs/>
    </w:rPr>
  </w:style>
  <w:style w:type="character" w:customStyle="1" w:styleId="CommentSubjectChar">
    <w:name w:val="Comment Subject Char"/>
    <w:basedOn w:val="CommentTextChar"/>
    <w:link w:val="CommentSubject"/>
    <w:uiPriority w:val="99"/>
    <w:semiHidden/>
    <w:rsid w:val="00034EC5"/>
    <w:rPr>
      <w:rFonts w:ascii="Arial" w:eastAsia="Times New Roman" w:hAnsi="Arial" w:cs="Times New Roman"/>
      <w:b/>
      <w:bCs/>
      <w:sz w:val="20"/>
      <w:szCs w:val="20"/>
      <w:lang w:val="en-US" w:eastAsia="en-CA"/>
    </w:rPr>
  </w:style>
  <w:style w:type="paragraph" w:styleId="BodyText">
    <w:name w:val="Body Text"/>
    <w:basedOn w:val="Normal"/>
    <w:link w:val="BodyTextChar"/>
    <w:uiPriority w:val="99"/>
    <w:unhideWhenUsed/>
    <w:rsid w:val="00734AA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Arial"/>
      <w:sz w:val="20"/>
      <w:szCs w:val="20"/>
      <w:lang w:val="en-GB"/>
    </w:rPr>
  </w:style>
  <w:style w:type="character" w:customStyle="1" w:styleId="BodyTextChar">
    <w:name w:val="Body Text Char"/>
    <w:basedOn w:val="DefaultParagraphFont"/>
    <w:link w:val="BodyText"/>
    <w:uiPriority w:val="99"/>
    <w:rsid w:val="00734AA5"/>
    <w:rPr>
      <w:rFonts w:ascii="Arial" w:eastAsia="Times New Roman" w:hAnsi="Arial" w:cs="Arial"/>
      <w:sz w:val="20"/>
      <w:szCs w:val="20"/>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0648">
      <w:bodyDiv w:val="1"/>
      <w:marLeft w:val="0"/>
      <w:marRight w:val="0"/>
      <w:marTop w:val="0"/>
      <w:marBottom w:val="0"/>
      <w:divBdr>
        <w:top w:val="none" w:sz="0" w:space="0" w:color="auto"/>
        <w:left w:val="none" w:sz="0" w:space="0" w:color="auto"/>
        <w:bottom w:val="none" w:sz="0" w:space="0" w:color="auto"/>
        <w:right w:val="none" w:sz="0" w:space="0" w:color="auto"/>
      </w:divBdr>
    </w:div>
    <w:div w:id="123425294">
      <w:bodyDiv w:val="1"/>
      <w:marLeft w:val="0"/>
      <w:marRight w:val="0"/>
      <w:marTop w:val="0"/>
      <w:marBottom w:val="0"/>
      <w:divBdr>
        <w:top w:val="none" w:sz="0" w:space="0" w:color="auto"/>
        <w:left w:val="none" w:sz="0" w:space="0" w:color="auto"/>
        <w:bottom w:val="none" w:sz="0" w:space="0" w:color="auto"/>
        <w:right w:val="none" w:sz="0" w:space="0" w:color="auto"/>
      </w:divBdr>
    </w:div>
    <w:div w:id="195121561">
      <w:bodyDiv w:val="1"/>
      <w:marLeft w:val="0"/>
      <w:marRight w:val="0"/>
      <w:marTop w:val="0"/>
      <w:marBottom w:val="0"/>
      <w:divBdr>
        <w:top w:val="none" w:sz="0" w:space="0" w:color="auto"/>
        <w:left w:val="none" w:sz="0" w:space="0" w:color="auto"/>
        <w:bottom w:val="none" w:sz="0" w:space="0" w:color="auto"/>
        <w:right w:val="none" w:sz="0" w:space="0" w:color="auto"/>
      </w:divBdr>
    </w:div>
    <w:div w:id="296691203">
      <w:bodyDiv w:val="1"/>
      <w:marLeft w:val="0"/>
      <w:marRight w:val="0"/>
      <w:marTop w:val="0"/>
      <w:marBottom w:val="0"/>
      <w:divBdr>
        <w:top w:val="none" w:sz="0" w:space="0" w:color="auto"/>
        <w:left w:val="none" w:sz="0" w:space="0" w:color="auto"/>
        <w:bottom w:val="none" w:sz="0" w:space="0" w:color="auto"/>
        <w:right w:val="none" w:sz="0" w:space="0" w:color="auto"/>
      </w:divBdr>
    </w:div>
    <w:div w:id="413093966">
      <w:bodyDiv w:val="1"/>
      <w:marLeft w:val="0"/>
      <w:marRight w:val="0"/>
      <w:marTop w:val="0"/>
      <w:marBottom w:val="0"/>
      <w:divBdr>
        <w:top w:val="none" w:sz="0" w:space="0" w:color="auto"/>
        <w:left w:val="none" w:sz="0" w:space="0" w:color="auto"/>
        <w:bottom w:val="none" w:sz="0" w:space="0" w:color="auto"/>
        <w:right w:val="none" w:sz="0" w:space="0" w:color="auto"/>
      </w:divBdr>
    </w:div>
    <w:div w:id="577253383">
      <w:bodyDiv w:val="1"/>
      <w:marLeft w:val="0"/>
      <w:marRight w:val="0"/>
      <w:marTop w:val="0"/>
      <w:marBottom w:val="0"/>
      <w:divBdr>
        <w:top w:val="none" w:sz="0" w:space="0" w:color="auto"/>
        <w:left w:val="none" w:sz="0" w:space="0" w:color="auto"/>
        <w:bottom w:val="none" w:sz="0" w:space="0" w:color="auto"/>
        <w:right w:val="none" w:sz="0" w:space="0" w:color="auto"/>
      </w:divBdr>
    </w:div>
    <w:div w:id="660237022">
      <w:bodyDiv w:val="1"/>
      <w:marLeft w:val="0"/>
      <w:marRight w:val="0"/>
      <w:marTop w:val="0"/>
      <w:marBottom w:val="0"/>
      <w:divBdr>
        <w:top w:val="none" w:sz="0" w:space="0" w:color="auto"/>
        <w:left w:val="none" w:sz="0" w:space="0" w:color="auto"/>
        <w:bottom w:val="none" w:sz="0" w:space="0" w:color="auto"/>
        <w:right w:val="none" w:sz="0" w:space="0" w:color="auto"/>
      </w:divBdr>
    </w:div>
    <w:div w:id="970400963">
      <w:bodyDiv w:val="1"/>
      <w:marLeft w:val="0"/>
      <w:marRight w:val="0"/>
      <w:marTop w:val="0"/>
      <w:marBottom w:val="0"/>
      <w:divBdr>
        <w:top w:val="none" w:sz="0" w:space="0" w:color="auto"/>
        <w:left w:val="none" w:sz="0" w:space="0" w:color="auto"/>
        <w:bottom w:val="none" w:sz="0" w:space="0" w:color="auto"/>
        <w:right w:val="none" w:sz="0" w:space="0" w:color="auto"/>
      </w:divBdr>
    </w:div>
    <w:div w:id="1117061595">
      <w:bodyDiv w:val="1"/>
      <w:marLeft w:val="0"/>
      <w:marRight w:val="0"/>
      <w:marTop w:val="0"/>
      <w:marBottom w:val="0"/>
      <w:divBdr>
        <w:top w:val="none" w:sz="0" w:space="0" w:color="auto"/>
        <w:left w:val="none" w:sz="0" w:space="0" w:color="auto"/>
        <w:bottom w:val="none" w:sz="0" w:space="0" w:color="auto"/>
        <w:right w:val="none" w:sz="0" w:space="0" w:color="auto"/>
      </w:divBdr>
    </w:div>
    <w:div w:id="1120147932">
      <w:bodyDiv w:val="1"/>
      <w:marLeft w:val="0"/>
      <w:marRight w:val="0"/>
      <w:marTop w:val="0"/>
      <w:marBottom w:val="0"/>
      <w:divBdr>
        <w:top w:val="none" w:sz="0" w:space="0" w:color="auto"/>
        <w:left w:val="none" w:sz="0" w:space="0" w:color="auto"/>
        <w:bottom w:val="none" w:sz="0" w:space="0" w:color="auto"/>
        <w:right w:val="none" w:sz="0" w:space="0" w:color="auto"/>
      </w:divBdr>
    </w:div>
    <w:div w:id="1265188032">
      <w:bodyDiv w:val="1"/>
      <w:marLeft w:val="0"/>
      <w:marRight w:val="0"/>
      <w:marTop w:val="0"/>
      <w:marBottom w:val="0"/>
      <w:divBdr>
        <w:top w:val="none" w:sz="0" w:space="0" w:color="auto"/>
        <w:left w:val="none" w:sz="0" w:space="0" w:color="auto"/>
        <w:bottom w:val="none" w:sz="0" w:space="0" w:color="auto"/>
        <w:right w:val="none" w:sz="0" w:space="0" w:color="auto"/>
      </w:divBdr>
    </w:div>
    <w:div w:id="1287354813">
      <w:bodyDiv w:val="1"/>
      <w:marLeft w:val="0"/>
      <w:marRight w:val="0"/>
      <w:marTop w:val="0"/>
      <w:marBottom w:val="0"/>
      <w:divBdr>
        <w:top w:val="none" w:sz="0" w:space="0" w:color="auto"/>
        <w:left w:val="none" w:sz="0" w:space="0" w:color="auto"/>
        <w:bottom w:val="none" w:sz="0" w:space="0" w:color="auto"/>
        <w:right w:val="none" w:sz="0" w:space="0" w:color="auto"/>
      </w:divBdr>
    </w:div>
    <w:div w:id="1291129629">
      <w:bodyDiv w:val="1"/>
      <w:marLeft w:val="0"/>
      <w:marRight w:val="0"/>
      <w:marTop w:val="0"/>
      <w:marBottom w:val="0"/>
      <w:divBdr>
        <w:top w:val="none" w:sz="0" w:space="0" w:color="auto"/>
        <w:left w:val="none" w:sz="0" w:space="0" w:color="auto"/>
        <w:bottom w:val="none" w:sz="0" w:space="0" w:color="auto"/>
        <w:right w:val="none" w:sz="0" w:space="0" w:color="auto"/>
      </w:divBdr>
    </w:div>
    <w:div w:id="1334793307">
      <w:bodyDiv w:val="1"/>
      <w:marLeft w:val="0"/>
      <w:marRight w:val="0"/>
      <w:marTop w:val="0"/>
      <w:marBottom w:val="0"/>
      <w:divBdr>
        <w:top w:val="none" w:sz="0" w:space="0" w:color="auto"/>
        <w:left w:val="none" w:sz="0" w:space="0" w:color="auto"/>
        <w:bottom w:val="none" w:sz="0" w:space="0" w:color="auto"/>
        <w:right w:val="none" w:sz="0" w:space="0" w:color="auto"/>
      </w:divBdr>
    </w:div>
    <w:div w:id="1522236375">
      <w:bodyDiv w:val="1"/>
      <w:marLeft w:val="0"/>
      <w:marRight w:val="0"/>
      <w:marTop w:val="0"/>
      <w:marBottom w:val="0"/>
      <w:divBdr>
        <w:top w:val="none" w:sz="0" w:space="0" w:color="auto"/>
        <w:left w:val="none" w:sz="0" w:space="0" w:color="auto"/>
        <w:bottom w:val="none" w:sz="0" w:space="0" w:color="auto"/>
        <w:right w:val="none" w:sz="0" w:space="0" w:color="auto"/>
      </w:divBdr>
    </w:div>
    <w:div w:id="1523739056">
      <w:bodyDiv w:val="1"/>
      <w:marLeft w:val="0"/>
      <w:marRight w:val="0"/>
      <w:marTop w:val="0"/>
      <w:marBottom w:val="0"/>
      <w:divBdr>
        <w:top w:val="none" w:sz="0" w:space="0" w:color="auto"/>
        <w:left w:val="none" w:sz="0" w:space="0" w:color="auto"/>
        <w:bottom w:val="none" w:sz="0" w:space="0" w:color="auto"/>
        <w:right w:val="none" w:sz="0" w:space="0" w:color="auto"/>
      </w:divBdr>
    </w:div>
    <w:div w:id="1543245162">
      <w:bodyDiv w:val="1"/>
      <w:marLeft w:val="0"/>
      <w:marRight w:val="0"/>
      <w:marTop w:val="0"/>
      <w:marBottom w:val="0"/>
      <w:divBdr>
        <w:top w:val="none" w:sz="0" w:space="0" w:color="auto"/>
        <w:left w:val="none" w:sz="0" w:space="0" w:color="auto"/>
        <w:bottom w:val="none" w:sz="0" w:space="0" w:color="auto"/>
        <w:right w:val="none" w:sz="0" w:space="0" w:color="auto"/>
      </w:divBdr>
    </w:div>
    <w:div w:id="1543395626">
      <w:bodyDiv w:val="1"/>
      <w:marLeft w:val="0"/>
      <w:marRight w:val="0"/>
      <w:marTop w:val="0"/>
      <w:marBottom w:val="0"/>
      <w:divBdr>
        <w:top w:val="none" w:sz="0" w:space="0" w:color="auto"/>
        <w:left w:val="none" w:sz="0" w:space="0" w:color="auto"/>
        <w:bottom w:val="none" w:sz="0" w:space="0" w:color="auto"/>
        <w:right w:val="none" w:sz="0" w:space="0" w:color="auto"/>
      </w:divBdr>
    </w:div>
    <w:div w:id="1633288234">
      <w:bodyDiv w:val="1"/>
      <w:marLeft w:val="0"/>
      <w:marRight w:val="0"/>
      <w:marTop w:val="0"/>
      <w:marBottom w:val="0"/>
      <w:divBdr>
        <w:top w:val="none" w:sz="0" w:space="0" w:color="auto"/>
        <w:left w:val="none" w:sz="0" w:space="0" w:color="auto"/>
        <w:bottom w:val="none" w:sz="0" w:space="0" w:color="auto"/>
        <w:right w:val="none" w:sz="0" w:space="0" w:color="auto"/>
      </w:divBdr>
    </w:div>
    <w:div w:id="1665086547">
      <w:bodyDiv w:val="1"/>
      <w:marLeft w:val="0"/>
      <w:marRight w:val="0"/>
      <w:marTop w:val="0"/>
      <w:marBottom w:val="0"/>
      <w:divBdr>
        <w:top w:val="none" w:sz="0" w:space="0" w:color="auto"/>
        <w:left w:val="none" w:sz="0" w:space="0" w:color="auto"/>
        <w:bottom w:val="none" w:sz="0" w:space="0" w:color="auto"/>
        <w:right w:val="none" w:sz="0" w:space="0" w:color="auto"/>
      </w:divBdr>
    </w:div>
    <w:div w:id="19086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ontario.ca/page/how-get-endangered-species-act-permit-or-authorization" TargetMode="External"/><Relationship Id="rId3" Type="http://schemas.openxmlformats.org/officeDocument/2006/relationships/customXml" Target="../customXml/item3.xml"/><Relationship Id="rId21" Type="http://schemas.openxmlformats.org/officeDocument/2006/relationships/hyperlink" Target="http://www.lwcb.ca/beforeyoubuil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AROntario@ontario.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secretariat@lwcb.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codeinfo@ontari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archaeology@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99DB2D947214F9E863F305EC08C1B" ma:contentTypeVersion="13" ma:contentTypeDescription="Create a new document." ma:contentTypeScope="" ma:versionID="48b111d1637be60508482dc46f4c6f1a">
  <xsd:schema xmlns:xsd="http://www.w3.org/2001/XMLSchema" xmlns:xs="http://www.w3.org/2001/XMLSchema" xmlns:p="http://schemas.microsoft.com/office/2006/metadata/properties" xmlns:ns3="30c01e68-14db-4401-8e4f-ff0255d87a51" xmlns:ns4="687cc0b3-4bb5-466e-b035-8a4277d42a41" targetNamespace="http://schemas.microsoft.com/office/2006/metadata/properties" ma:root="true" ma:fieldsID="7a62883aaf707813f17d105b2d0c6c96" ns3:_="" ns4:_="">
    <xsd:import namespace="30c01e68-14db-4401-8e4f-ff0255d87a51"/>
    <xsd:import namespace="687cc0b3-4bb5-466e-b035-8a4277d42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01e68-14db-4401-8e4f-ff0255d8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cc0b3-4bb5-466e-b035-8a4277d42a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CD43E-E998-45BD-A593-CB799A7534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D0E4E-DEF2-44BC-8D94-DDA32C7C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01e68-14db-4401-8e4f-ff0255d87a51"/>
    <ds:schemaRef ds:uri="687cc0b3-4bb5-466e-b035-8a4277d4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503CE-4603-4C12-BB5A-9BD5BDC45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Tulloch, Loralea (MAH)</dc:creator>
  <cp:lastModifiedBy>Oulton, Sylvie (MMAH)</cp:lastModifiedBy>
  <cp:revision>5</cp:revision>
  <cp:lastPrinted>2019-06-06T15:17:00Z</cp:lastPrinted>
  <dcterms:created xsi:type="dcterms:W3CDTF">2021-10-22T19:36:00Z</dcterms:created>
  <dcterms:modified xsi:type="dcterms:W3CDTF">2021-10-22T20:44:00Z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0x010100FA599DB2D947214F9E863F305EC08C1B</vt:lpwstr>
  </property>
  <property fmtid="{D5CDD505-2E9C-101B-9397-08002B2CF9AE}" pid="3" name="MSIP_Label_034a106e-6316-442c-ad35-738afd673d2b_Enabled">
    <vt:lpwstr>true</vt:lpwstr>
  </property>
  <property fmtid="{D5CDD505-2E9C-101B-9397-08002B2CF9AE}" pid="4" name="MSIP_Label_034a106e-6316-442c-ad35-738afd673d2b_SetDate">
    <vt:lpwstr>2021-10-19T14:12:50Z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