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8C1D0" w14:textId="77777777" w:rsidR="00084BA0" w:rsidRDefault="00BB3992" w:rsidP="00725A66">
      <w:pPr>
        <w:jc w:val="right"/>
        <w:rPr>
          <w:b/>
          <w:sz w:val="28"/>
          <w:szCs w:val="28"/>
        </w:rPr>
      </w:pPr>
      <w:r>
        <w:rPr>
          <w:b/>
          <w:sz w:val="28"/>
          <w:szCs w:val="28"/>
        </w:rPr>
        <w:t xml:space="preserve">                                          </w:t>
      </w:r>
      <w:r w:rsidR="00827661">
        <w:rPr>
          <w:b/>
          <w:sz w:val="28"/>
          <w:szCs w:val="28"/>
        </w:rPr>
        <w:t xml:space="preserve"> </w:t>
      </w:r>
    </w:p>
    <w:p w14:paraId="7F7591EE" w14:textId="68E88E96" w:rsidR="00827661" w:rsidRDefault="00827661" w:rsidP="00725A66">
      <w:pPr>
        <w:jc w:val="right"/>
        <w:rPr>
          <w:b/>
          <w:sz w:val="28"/>
          <w:szCs w:val="28"/>
        </w:rPr>
      </w:pPr>
      <w:r w:rsidRPr="0058364A">
        <w:rPr>
          <w:b/>
          <w:sz w:val="28"/>
          <w:szCs w:val="28"/>
        </w:rPr>
        <w:t>Ministry of</w:t>
      </w:r>
      <w:r w:rsidR="003E6971">
        <w:rPr>
          <w:b/>
          <w:sz w:val="28"/>
          <w:szCs w:val="28"/>
          <w:lang w:val="frc-Latn"/>
        </w:rPr>
        <w:t xml:space="preserve"> </w:t>
      </w:r>
      <w:r w:rsidRPr="0058364A">
        <w:rPr>
          <w:b/>
          <w:sz w:val="28"/>
          <w:szCs w:val="28"/>
        </w:rPr>
        <w:t>Mines</w:t>
      </w:r>
    </w:p>
    <w:p w14:paraId="5C6C5770" w14:textId="77777777" w:rsidR="00827661" w:rsidRDefault="00827661" w:rsidP="00827661">
      <w:pPr>
        <w:jc w:val="right"/>
        <w:rPr>
          <w:b/>
          <w:sz w:val="28"/>
          <w:szCs w:val="28"/>
        </w:rPr>
      </w:pPr>
    </w:p>
    <w:p w14:paraId="3D62F231" w14:textId="77777777" w:rsidR="00FD0BAD" w:rsidRDefault="00FD0BAD" w:rsidP="00371092">
      <w:pPr>
        <w:rPr>
          <w:b/>
          <w:sz w:val="48"/>
          <w:szCs w:val="48"/>
        </w:rPr>
      </w:pPr>
    </w:p>
    <w:p w14:paraId="3AFC1834" w14:textId="77777777" w:rsidR="00FD0BAD" w:rsidRDefault="00FD0BAD" w:rsidP="00371092">
      <w:pPr>
        <w:rPr>
          <w:b/>
          <w:sz w:val="48"/>
          <w:szCs w:val="48"/>
        </w:rPr>
      </w:pPr>
    </w:p>
    <w:p w14:paraId="436346D1" w14:textId="6AA2BEF2" w:rsidR="00827661" w:rsidRDefault="00FD0BAD" w:rsidP="00371092">
      <w:pPr>
        <w:rPr>
          <w:b/>
          <w:sz w:val="48"/>
          <w:szCs w:val="48"/>
          <w:u w:val="single"/>
        </w:rPr>
      </w:pPr>
      <w:r>
        <w:rPr>
          <w:b/>
          <w:sz w:val="48"/>
          <w:szCs w:val="48"/>
        </w:rPr>
        <w:t>A</w:t>
      </w:r>
      <w:r w:rsidR="00827661" w:rsidRPr="00844041">
        <w:rPr>
          <w:b/>
          <w:sz w:val="48"/>
          <w:szCs w:val="48"/>
        </w:rPr>
        <w:t xml:space="preserve">ssessment Work </w:t>
      </w:r>
      <w:r w:rsidR="00730188" w:rsidRPr="00844041">
        <w:rPr>
          <w:b/>
          <w:sz w:val="48"/>
          <w:szCs w:val="48"/>
        </w:rPr>
        <w:t xml:space="preserve">– </w:t>
      </w:r>
      <w:r w:rsidR="000A6FD2" w:rsidRPr="00844041">
        <w:rPr>
          <w:b/>
          <w:sz w:val="48"/>
          <w:szCs w:val="48"/>
        </w:rPr>
        <w:t>Allocating</w:t>
      </w:r>
      <w:r w:rsidR="00A73D4E">
        <w:rPr>
          <w:b/>
          <w:sz w:val="48"/>
          <w:szCs w:val="48"/>
        </w:rPr>
        <w:t xml:space="preserve"> </w:t>
      </w:r>
      <w:r w:rsidR="00A81F90">
        <w:rPr>
          <w:b/>
          <w:sz w:val="48"/>
          <w:szCs w:val="48"/>
        </w:rPr>
        <w:t>Credits</w:t>
      </w:r>
      <w:r w:rsidR="00A73D4E">
        <w:rPr>
          <w:b/>
          <w:sz w:val="48"/>
          <w:szCs w:val="48"/>
        </w:rPr>
        <w:t>,</w:t>
      </w:r>
      <w:r w:rsidR="003B4F35" w:rsidRPr="00844041">
        <w:rPr>
          <w:b/>
          <w:sz w:val="48"/>
          <w:szCs w:val="48"/>
        </w:rPr>
        <w:t xml:space="preserve"> Applying </w:t>
      </w:r>
      <w:r w:rsidR="00A81F90">
        <w:rPr>
          <w:b/>
          <w:sz w:val="48"/>
          <w:szCs w:val="48"/>
        </w:rPr>
        <w:t>Credits</w:t>
      </w:r>
      <w:r w:rsidR="002B2156">
        <w:rPr>
          <w:b/>
          <w:sz w:val="48"/>
          <w:szCs w:val="48"/>
        </w:rPr>
        <w:t xml:space="preserve"> and Making Payment in Place</w:t>
      </w:r>
    </w:p>
    <w:p w14:paraId="52A0A5AD" w14:textId="6588F58B" w:rsidR="00827661" w:rsidRDefault="0014500E" w:rsidP="00827661">
      <w:pPr>
        <w:jc w:val="right"/>
        <w:rPr>
          <w:b/>
          <w:sz w:val="48"/>
          <w:szCs w:val="48"/>
        </w:rPr>
      </w:pPr>
      <w:r>
        <w:rPr>
          <w:b/>
          <w:sz w:val="48"/>
          <w:szCs w:val="48"/>
        </w:rPr>
        <w:t xml:space="preserve"> </w:t>
      </w:r>
    </w:p>
    <w:p w14:paraId="7800D14F" w14:textId="77777777" w:rsidR="00827661" w:rsidRDefault="00827661" w:rsidP="00827661">
      <w:pPr>
        <w:jc w:val="right"/>
        <w:rPr>
          <w:b/>
          <w:sz w:val="48"/>
          <w:szCs w:val="48"/>
        </w:rPr>
      </w:pPr>
    </w:p>
    <w:p w14:paraId="526AC061" w14:textId="77777777" w:rsidR="00827661" w:rsidRDefault="00827661" w:rsidP="00827661">
      <w:pPr>
        <w:jc w:val="right"/>
        <w:rPr>
          <w:b/>
          <w:sz w:val="48"/>
          <w:szCs w:val="48"/>
        </w:rPr>
      </w:pPr>
    </w:p>
    <w:p w14:paraId="2EE7AD67" w14:textId="77777777" w:rsidR="00FD0BAD" w:rsidRDefault="00FD0BAD" w:rsidP="00FD0BAD">
      <w:pPr>
        <w:rPr>
          <w:b/>
          <w:sz w:val="48"/>
          <w:szCs w:val="48"/>
        </w:rPr>
      </w:pPr>
    </w:p>
    <w:p w14:paraId="39C5C8F8" w14:textId="4A32B9A5" w:rsidR="00827661" w:rsidRDefault="00A64BCD" w:rsidP="000D557C">
      <w:pPr>
        <w:ind w:left="5760" w:firstLine="720"/>
        <w:rPr>
          <w:b/>
          <w:sz w:val="48"/>
          <w:szCs w:val="48"/>
        </w:rPr>
      </w:pPr>
      <w:r w:rsidRPr="00C07382">
        <w:rPr>
          <w:rFonts w:ascii="Times New Roman" w:eastAsia="Times New Roman" w:hAnsi="Times New Roman" w:cs="Times New Roman"/>
          <w:noProof/>
          <w:sz w:val="20"/>
          <w:szCs w:val="20"/>
          <w:lang w:val="en-GB"/>
        </w:rPr>
        <w:drawing>
          <wp:inline distT="0" distB="0" distL="0" distR="0" wp14:anchorId="1C87C930" wp14:editId="203DE8CB">
            <wp:extent cx="1817370" cy="45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7370" cy="459740"/>
                    </a:xfrm>
                    <a:prstGeom prst="rect">
                      <a:avLst/>
                    </a:prstGeom>
                    <a:noFill/>
                    <a:ln>
                      <a:noFill/>
                    </a:ln>
                  </pic:spPr>
                </pic:pic>
              </a:graphicData>
            </a:graphic>
          </wp:inline>
        </w:drawing>
      </w:r>
    </w:p>
    <w:p w14:paraId="02639A21" w14:textId="3E3F90CB" w:rsidR="00827661" w:rsidRDefault="00827661" w:rsidP="001C56B5">
      <w:pPr>
        <w:ind w:left="3101" w:firstLine="3379"/>
        <w:contextualSpacing/>
        <w:jc w:val="both"/>
        <w:rPr>
          <w:sz w:val="28"/>
          <w:szCs w:val="28"/>
        </w:rPr>
      </w:pPr>
      <w:r w:rsidRPr="0058364A">
        <w:rPr>
          <w:sz w:val="28"/>
          <w:szCs w:val="28"/>
        </w:rPr>
        <w:t>Mining</w:t>
      </w:r>
      <w:r>
        <w:rPr>
          <w:sz w:val="28"/>
          <w:szCs w:val="28"/>
        </w:rPr>
        <w:t xml:space="preserve"> </w:t>
      </w:r>
      <w:r w:rsidRPr="0058364A">
        <w:rPr>
          <w:sz w:val="28"/>
          <w:szCs w:val="28"/>
        </w:rPr>
        <w:t>Land</w:t>
      </w:r>
      <w:r>
        <w:rPr>
          <w:sz w:val="28"/>
          <w:szCs w:val="28"/>
        </w:rPr>
        <w:t xml:space="preserve">s </w:t>
      </w:r>
      <w:r w:rsidR="00821220">
        <w:rPr>
          <w:sz w:val="28"/>
          <w:szCs w:val="28"/>
        </w:rPr>
        <w:t>Section</w:t>
      </w:r>
    </w:p>
    <w:p w14:paraId="3DC566AA" w14:textId="5442600E" w:rsidR="00FD0BAD" w:rsidRPr="002C764A" w:rsidRDefault="00FD0BAD" w:rsidP="00C800E3">
      <w:pPr>
        <w:spacing w:after="0"/>
        <w:ind w:left="3821" w:firstLine="499"/>
        <w:contextualSpacing/>
        <w:jc w:val="both"/>
        <w:rPr>
          <w:sz w:val="28"/>
          <w:szCs w:val="28"/>
          <w:lang w:val="frc-Latn"/>
        </w:rPr>
      </w:pPr>
      <w:r>
        <w:rPr>
          <w:sz w:val="28"/>
          <w:szCs w:val="28"/>
        </w:rPr>
        <w:t xml:space="preserve">       </w:t>
      </w:r>
      <w:r w:rsidR="002C764A">
        <w:rPr>
          <w:sz w:val="28"/>
          <w:szCs w:val="28"/>
          <w:lang w:val="frc-Latn"/>
        </w:rPr>
        <w:t xml:space="preserve">            </w:t>
      </w:r>
      <w:r>
        <w:rPr>
          <w:sz w:val="28"/>
          <w:szCs w:val="28"/>
        </w:rPr>
        <w:t xml:space="preserve">  Policy Updated: </w:t>
      </w:r>
      <w:r w:rsidR="002C764A">
        <w:rPr>
          <w:sz w:val="28"/>
          <w:szCs w:val="28"/>
          <w:lang w:val="frc-Latn"/>
        </w:rPr>
        <w:t>July 2022</w:t>
      </w:r>
    </w:p>
    <w:p w14:paraId="7DC1B55B" w14:textId="7F0B79D6" w:rsidR="00D14438" w:rsidRDefault="00D14438" w:rsidP="00D14438">
      <w:pPr>
        <w:pStyle w:val="TOCHeading"/>
        <w:spacing w:before="0" w:line="240" w:lineRule="auto"/>
        <w:rPr>
          <w:rFonts w:ascii="Arial Black" w:eastAsiaTheme="minorHAnsi" w:hAnsi="Arial Black" w:cs="Arial"/>
          <w:b w:val="0"/>
          <w:bCs w:val="0"/>
          <w:sz w:val="22"/>
          <w:szCs w:val="22"/>
          <w:lang w:bidi="ar-SA"/>
        </w:rPr>
      </w:pPr>
    </w:p>
    <w:p w14:paraId="764E0C30" w14:textId="2B367A9C" w:rsidR="00FE3922" w:rsidRDefault="00FE3922" w:rsidP="00FE3922"/>
    <w:p w14:paraId="640A7F2C" w14:textId="01BDA649" w:rsidR="00FE3922" w:rsidRDefault="00FE3922" w:rsidP="00FE3922"/>
    <w:p w14:paraId="63A0F630" w14:textId="31118E12" w:rsidR="00FE3922" w:rsidRDefault="00FE3922" w:rsidP="00FE3922"/>
    <w:p w14:paraId="098411F9" w14:textId="77777777" w:rsidR="00FE3922" w:rsidRPr="00FE3922" w:rsidRDefault="00FE3922" w:rsidP="00FE3922"/>
    <w:sdt>
      <w:sdtPr>
        <w:rPr>
          <w:rFonts w:ascii="Arial Black" w:eastAsiaTheme="minorHAnsi" w:hAnsi="Arial Black" w:cs="Arial"/>
          <w:b w:val="0"/>
          <w:bCs w:val="0"/>
          <w:sz w:val="22"/>
          <w:szCs w:val="22"/>
          <w:lang w:bidi="ar-SA"/>
        </w:rPr>
        <w:id w:val="-17550306"/>
        <w:docPartObj>
          <w:docPartGallery w:val="Table of Contents"/>
          <w:docPartUnique/>
        </w:docPartObj>
      </w:sdtPr>
      <w:sdtEndPr>
        <w:rPr>
          <w:rFonts w:eastAsiaTheme="majorEastAsia"/>
          <w:b/>
          <w:bCs/>
          <w:noProof/>
          <w:sz w:val="36"/>
          <w:szCs w:val="28"/>
        </w:rPr>
      </w:sdtEndPr>
      <w:sdtContent>
        <w:p w14:paraId="3437AD19" w14:textId="77C28DAA" w:rsidR="00D14438" w:rsidRDefault="00827661" w:rsidP="00D14438">
          <w:pPr>
            <w:pStyle w:val="TOCHeading"/>
            <w:spacing w:before="0" w:line="240" w:lineRule="auto"/>
            <w:rPr>
              <w:rFonts w:ascii="Arial" w:hAnsi="Arial" w:cs="Arial"/>
              <w:sz w:val="28"/>
            </w:rPr>
          </w:pPr>
          <w:r w:rsidRPr="00FD0BAD">
            <w:rPr>
              <w:rFonts w:ascii="Arial" w:hAnsi="Arial" w:cs="Arial"/>
              <w:sz w:val="28"/>
            </w:rPr>
            <w:t>Table of Contents</w:t>
          </w:r>
        </w:p>
        <w:p w14:paraId="60FC3137" w14:textId="77777777" w:rsidR="00D14438" w:rsidRPr="00D14438" w:rsidRDefault="00D14438" w:rsidP="00D14438">
          <w:pPr>
            <w:spacing w:after="0" w:line="240" w:lineRule="auto"/>
            <w:rPr>
              <w:lang w:bidi="en-US"/>
            </w:rPr>
          </w:pPr>
        </w:p>
        <w:p w14:paraId="79A28B0A" w14:textId="7BCA7784" w:rsidR="004009C7" w:rsidRDefault="00827661">
          <w:pPr>
            <w:pStyle w:val="TOC2"/>
            <w:tabs>
              <w:tab w:val="right" w:leader="dot" w:pos="9350"/>
            </w:tabs>
            <w:rPr>
              <w:rFonts w:eastAsiaTheme="minorEastAsia"/>
              <w:noProof/>
              <w:lang w:eastAsia="en-CA"/>
            </w:rPr>
          </w:pPr>
          <w:r w:rsidRPr="00D30A0F">
            <w:rPr>
              <w:rFonts w:ascii="Arial Black" w:hAnsi="Arial Black" w:cs="Arial"/>
              <w:sz w:val="21"/>
              <w:szCs w:val="21"/>
            </w:rPr>
            <w:fldChar w:fldCharType="begin"/>
          </w:r>
          <w:r w:rsidRPr="00D30A0F">
            <w:rPr>
              <w:rFonts w:ascii="Arial Black" w:hAnsi="Arial Black" w:cs="Arial"/>
              <w:sz w:val="21"/>
              <w:szCs w:val="21"/>
            </w:rPr>
            <w:instrText xml:space="preserve"> TOC \o "1-3" \h \z \u </w:instrText>
          </w:r>
          <w:r w:rsidRPr="00D30A0F">
            <w:rPr>
              <w:rFonts w:ascii="Arial Black" w:hAnsi="Arial Black" w:cs="Arial"/>
              <w:sz w:val="21"/>
              <w:szCs w:val="21"/>
            </w:rPr>
            <w:fldChar w:fldCharType="separate"/>
          </w:r>
          <w:hyperlink w:anchor="_Toc92365365" w:history="1">
            <w:r w:rsidR="004009C7" w:rsidRPr="00E8467E">
              <w:rPr>
                <w:rStyle w:val="Hyperlink"/>
                <w:noProof/>
              </w:rPr>
              <w:t>Purpose</w:t>
            </w:r>
            <w:r w:rsidR="004009C7">
              <w:rPr>
                <w:noProof/>
                <w:webHidden/>
              </w:rPr>
              <w:tab/>
            </w:r>
            <w:r w:rsidR="004009C7">
              <w:rPr>
                <w:noProof/>
                <w:webHidden/>
              </w:rPr>
              <w:fldChar w:fldCharType="begin"/>
            </w:r>
            <w:r w:rsidR="004009C7">
              <w:rPr>
                <w:noProof/>
                <w:webHidden/>
              </w:rPr>
              <w:instrText xml:space="preserve"> PAGEREF _Toc92365365 \h </w:instrText>
            </w:r>
            <w:r w:rsidR="004009C7">
              <w:rPr>
                <w:noProof/>
                <w:webHidden/>
              </w:rPr>
            </w:r>
            <w:r w:rsidR="004009C7">
              <w:rPr>
                <w:noProof/>
                <w:webHidden/>
              </w:rPr>
              <w:fldChar w:fldCharType="separate"/>
            </w:r>
            <w:r w:rsidR="004009C7">
              <w:rPr>
                <w:noProof/>
                <w:webHidden/>
              </w:rPr>
              <w:t>3</w:t>
            </w:r>
            <w:r w:rsidR="004009C7">
              <w:rPr>
                <w:noProof/>
                <w:webHidden/>
              </w:rPr>
              <w:fldChar w:fldCharType="end"/>
            </w:r>
          </w:hyperlink>
        </w:p>
        <w:p w14:paraId="6BBCF3AB" w14:textId="2750D796" w:rsidR="004009C7" w:rsidRDefault="002C764A">
          <w:pPr>
            <w:pStyle w:val="TOC2"/>
            <w:tabs>
              <w:tab w:val="right" w:leader="dot" w:pos="9350"/>
            </w:tabs>
            <w:rPr>
              <w:rFonts w:eastAsiaTheme="minorEastAsia"/>
              <w:noProof/>
              <w:lang w:eastAsia="en-CA"/>
            </w:rPr>
          </w:pPr>
          <w:hyperlink w:anchor="_Toc92365366" w:history="1">
            <w:r w:rsidR="004009C7" w:rsidRPr="00E8467E">
              <w:rPr>
                <w:rStyle w:val="Hyperlink"/>
                <w:noProof/>
                <w:lang w:val="en" w:eastAsia="en-CA"/>
              </w:rPr>
              <w:t>Background</w:t>
            </w:r>
            <w:r w:rsidR="004009C7">
              <w:rPr>
                <w:noProof/>
                <w:webHidden/>
              </w:rPr>
              <w:tab/>
            </w:r>
            <w:r w:rsidR="004009C7">
              <w:rPr>
                <w:noProof/>
                <w:webHidden/>
              </w:rPr>
              <w:fldChar w:fldCharType="begin"/>
            </w:r>
            <w:r w:rsidR="004009C7">
              <w:rPr>
                <w:noProof/>
                <w:webHidden/>
              </w:rPr>
              <w:instrText xml:space="preserve"> PAGEREF _Toc92365366 \h </w:instrText>
            </w:r>
            <w:r w:rsidR="004009C7">
              <w:rPr>
                <w:noProof/>
                <w:webHidden/>
              </w:rPr>
            </w:r>
            <w:r w:rsidR="004009C7">
              <w:rPr>
                <w:noProof/>
                <w:webHidden/>
              </w:rPr>
              <w:fldChar w:fldCharType="separate"/>
            </w:r>
            <w:r w:rsidR="004009C7">
              <w:rPr>
                <w:noProof/>
                <w:webHidden/>
              </w:rPr>
              <w:t>3</w:t>
            </w:r>
            <w:r w:rsidR="004009C7">
              <w:rPr>
                <w:noProof/>
                <w:webHidden/>
              </w:rPr>
              <w:fldChar w:fldCharType="end"/>
            </w:r>
          </w:hyperlink>
        </w:p>
        <w:p w14:paraId="4ADCDCD5" w14:textId="32140F1E" w:rsidR="004009C7" w:rsidRDefault="002C764A">
          <w:pPr>
            <w:pStyle w:val="TOC2"/>
            <w:tabs>
              <w:tab w:val="right" w:leader="dot" w:pos="9350"/>
            </w:tabs>
            <w:rPr>
              <w:rFonts w:eastAsiaTheme="minorEastAsia"/>
              <w:noProof/>
              <w:lang w:eastAsia="en-CA"/>
            </w:rPr>
          </w:pPr>
          <w:hyperlink w:anchor="_Toc92365367" w:history="1">
            <w:r w:rsidR="004009C7" w:rsidRPr="00E8467E">
              <w:rPr>
                <w:rStyle w:val="Hyperlink"/>
                <w:noProof/>
              </w:rPr>
              <w:t>Limit on the Amount of Assessment Work Credits a Claim Can Receive</w:t>
            </w:r>
            <w:r w:rsidR="004009C7">
              <w:rPr>
                <w:noProof/>
                <w:webHidden/>
              </w:rPr>
              <w:tab/>
            </w:r>
            <w:r w:rsidR="004009C7">
              <w:rPr>
                <w:noProof/>
                <w:webHidden/>
              </w:rPr>
              <w:fldChar w:fldCharType="begin"/>
            </w:r>
            <w:r w:rsidR="004009C7">
              <w:rPr>
                <w:noProof/>
                <w:webHidden/>
              </w:rPr>
              <w:instrText xml:space="preserve"> PAGEREF _Toc92365367 \h </w:instrText>
            </w:r>
            <w:r w:rsidR="004009C7">
              <w:rPr>
                <w:noProof/>
                <w:webHidden/>
              </w:rPr>
            </w:r>
            <w:r w:rsidR="004009C7">
              <w:rPr>
                <w:noProof/>
                <w:webHidden/>
              </w:rPr>
              <w:fldChar w:fldCharType="separate"/>
            </w:r>
            <w:r w:rsidR="004009C7">
              <w:rPr>
                <w:noProof/>
                <w:webHidden/>
              </w:rPr>
              <w:t>4</w:t>
            </w:r>
            <w:r w:rsidR="004009C7">
              <w:rPr>
                <w:noProof/>
                <w:webHidden/>
              </w:rPr>
              <w:fldChar w:fldCharType="end"/>
            </w:r>
          </w:hyperlink>
        </w:p>
        <w:p w14:paraId="1610BF02" w14:textId="6479B181" w:rsidR="004009C7" w:rsidRDefault="002C764A">
          <w:pPr>
            <w:pStyle w:val="TOC2"/>
            <w:tabs>
              <w:tab w:val="right" w:leader="dot" w:pos="9350"/>
            </w:tabs>
            <w:rPr>
              <w:rFonts w:eastAsiaTheme="minorEastAsia"/>
              <w:noProof/>
              <w:lang w:eastAsia="en-CA"/>
            </w:rPr>
          </w:pPr>
          <w:hyperlink w:anchor="_Toc92365368" w:history="1">
            <w:r w:rsidR="004009C7" w:rsidRPr="00E8467E">
              <w:rPr>
                <w:rStyle w:val="Hyperlink"/>
                <w:noProof/>
                <w:lang w:val="en" w:eastAsia="en-CA"/>
              </w:rPr>
              <w:t>Limit on the Amount of Assessment Work Credits that Can Be Allocated from Mining Lands</w:t>
            </w:r>
            <w:r w:rsidR="004009C7">
              <w:rPr>
                <w:noProof/>
                <w:webHidden/>
              </w:rPr>
              <w:tab/>
            </w:r>
            <w:r w:rsidR="004009C7">
              <w:rPr>
                <w:noProof/>
                <w:webHidden/>
              </w:rPr>
              <w:fldChar w:fldCharType="begin"/>
            </w:r>
            <w:r w:rsidR="004009C7">
              <w:rPr>
                <w:noProof/>
                <w:webHidden/>
              </w:rPr>
              <w:instrText xml:space="preserve"> PAGEREF _Toc92365368 \h </w:instrText>
            </w:r>
            <w:r w:rsidR="004009C7">
              <w:rPr>
                <w:noProof/>
                <w:webHidden/>
              </w:rPr>
            </w:r>
            <w:r w:rsidR="004009C7">
              <w:rPr>
                <w:noProof/>
                <w:webHidden/>
              </w:rPr>
              <w:fldChar w:fldCharType="separate"/>
            </w:r>
            <w:r w:rsidR="004009C7">
              <w:rPr>
                <w:noProof/>
                <w:webHidden/>
              </w:rPr>
              <w:t>4</w:t>
            </w:r>
            <w:r w:rsidR="004009C7">
              <w:rPr>
                <w:noProof/>
                <w:webHidden/>
              </w:rPr>
              <w:fldChar w:fldCharType="end"/>
            </w:r>
          </w:hyperlink>
        </w:p>
        <w:p w14:paraId="1B7C6B39" w14:textId="05C0EF3A" w:rsidR="004009C7" w:rsidRDefault="002C764A">
          <w:pPr>
            <w:pStyle w:val="TOC2"/>
            <w:tabs>
              <w:tab w:val="right" w:leader="dot" w:pos="9350"/>
            </w:tabs>
            <w:rPr>
              <w:rFonts w:eastAsiaTheme="minorEastAsia"/>
              <w:noProof/>
              <w:lang w:eastAsia="en-CA"/>
            </w:rPr>
          </w:pPr>
          <w:hyperlink w:anchor="_Toc92365369" w:history="1">
            <w:r w:rsidR="004009C7" w:rsidRPr="00E8467E">
              <w:rPr>
                <w:rStyle w:val="Hyperlink"/>
                <w:rFonts w:eastAsia="Times New Roman"/>
                <w:noProof/>
                <w:lang w:val="en" w:eastAsia="en-CA"/>
              </w:rPr>
              <w:t>Ownership and Assessment Work Manager</w:t>
            </w:r>
            <w:r w:rsidR="004009C7">
              <w:rPr>
                <w:noProof/>
                <w:webHidden/>
              </w:rPr>
              <w:tab/>
            </w:r>
            <w:r w:rsidR="004009C7">
              <w:rPr>
                <w:noProof/>
                <w:webHidden/>
              </w:rPr>
              <w:fldChar w:fldCharType="begin"/>
            </w:r>
            <w:r w:rsidR="004009C7">
              <w:rPr>
                <w:noProof/>
                <w:webHidden/>
              </w:rPr>
              <w:instrText xml:space="preserve"> PAGEREF _Toc92365369 \h </w:instrText>
            </w:r>
            <w:r w:rsidR="004009C7">
              <w:rPr>
                <w:noProof/>
                <w:webHidden/>
              </w:rPr>
            </w:r>
            <w:r w:rsidR="004009C7">
              <w:rPr>
                <w:noProof/>
                <w:webHidden/>
              </w:rPr>
              <w:fldChar w:fldCharType="separate"/>
            </w:r>
            <w:r w:rsidR="004009C7">
              <w:rPr>
                <w:noProof/>
                <w:webHidden/>
              </w:rPr>
              <w:t>5</w:t>
            </w:r>
            <w:r w:rsidR="004009C7">
              <w:rPr>
                <w:noProof/>
                <w:webHidden/>
              </w:rPr>
              <w:fldChar w:fldCharType="end"/>
            </w:r>
          </w:hyperlink>
        </w:p>
        <w:p w14:paraId="0F2A25BA" w14:textId="6F26D799" w:rsidR="004009C7" w:rsidRDefault="002C764A">
          <w:pPr>
            <w:pStyle w:val="TOC2"/>
            <w:tabs>
              <w:tab w:val="right" w:leader="dot" w:pos="9350"/>
            </w:tabs>
            <w:rPr>
              <w:rFonts w:eastAsiaTheme="minorEastAsia"/>
              <w:noProof/>
              <w:lang w:eastAsia="en-CA"/>
            </w:rPr>
          </w:pPr>
          <w:hyperlink w:anchor="_Toc92365370" w:history="1">
            <w:r w:rsidR="004009C7" w:rsidRPr="00E8467E">
              <w:rPr>
                <w:rStyle w:val="Hyperlink"/>
                <w:noProof/>
                <w:lang w:val="en" w:eastAsia="en-CA"/>
              </w:rPr>
              <w:t>Contiguity of Mining Claims</w:t>
            </w:r>
            <w:r w:rsidR="004009C7">
              <w:rPr>
                <w:noProof/>
                <w:webHidden/>
              </w:rPr>
              <w:tab/>
            </w:r>
            <w:r w:rsidR="004009C7">
              <w:rPr>
                <w:noProof/>
                <w:webHidden/>
              </w:rPr>
              <w:fldChar w:fldCharType="begin"/>
            </w:r>
            <w:r w:rsidR="004009C7">
              <w:rPr>
                <w:noProof/>
                <w:webHidden/>
              </w:rPr>
              <w:instrText xml:space="preserve"> PAGEREF _Toc92365370 \h </w:instrText>
            </w:r>
            <w:r w:rsidR="004009C7">
              <w:rPr>
                <w:noProof/>
                <w:webHidden/>
              </w:rPr>
            </w:r>
            <w:r w:rsidR="004009C7">
              <w:rPr>
                <w:noProof/>
                <w:webHidden/>
              </w:rPr>
              <w:fldChar w:fldCharType="separate"/>
            </w:r>
            <w:r w:rsidR="004009C7">
              <w:rPr>
                <w:noProof/>
                <w:webHidden/>
              </w:rPr>
              <w:t>5</w:t>
            </w:r>
            <w:r w:rsidR="004009C7">
              <w:rPr>
                <w:noProof/>
                <w:webHidden/>
              </w:rPr>
              <w:fldChar w:fldCharType="end"/>
            </w:r>
          </w:hyperlink>
        </w:p>
        <w:p w14:paraId="5EF61700" w14:textId="3A35D5A2" w:rsidR="004009C7" w:rsidRDefault="002C764A">
          <w:pPr>
            <w:pStyle w:val="TOC2"/>
            <w:tabs>
              <w:tab w:val="right" w:leader="dot" w:pos="9350"/>
            </w:tabs>
            <w:rPr>
              <w:rFonts w:eastAsiaTheme="minorEastAsia"/>
              <w:noProof/>
              <w:lang w:eastAsia="en-CA"/>
            </w:rPr>
          </w:pPr>
          <w:hyperlink w:anchor="_Toc92365371" w:history="1">
            <w:r w:rsidR="004009C7" w:rsidRPr="00E8467E">
              <w:rPr>
                <w:rStyle w:val="Hyperlink"/>
                <w:noProof/>
                <w:lang w:val="en" w:eastAsia="en-CA"/>
              </w:rPr>
              <w:t>Contiguity of Mining Lands</w:t>
            </w:r>
            <w:r w:rsidR="004009C7">
              <w:rPr>
                <w:noProof/>
                <w:webHidden/>
              </w:rPr>
              <w:tab/>
            </w:r>
            <w:r w:rsidR="004009C7">
              <w:rPr>
                <w:noProof/>
                <w:webHidden/>
              </w:rPr>
              <w:fldChar w:fldCharType="begin"/>
            </w:r>
            <w:r w:rsidR="004009C7">
              <w:rPr>
                <w:noProof/>
                <w:webHidden/>
              </w:rPr>
              <w:instrText xml:space="preserve"> PAGEREF _Toc92365371 \h </w:instrText>
            </w:r>
            <w:r w:rsidR="004009C7">
              <w:rPr>
                <w:noProof/>
                <w:webHidden/>
              </w:rPr>
            </w:r>
            <w:r w:rsidR="004009C7">
              <w:rPr>
                <w:noProof/>
                <w:webHidden/>
              </w:rPr>
              <w:fldChar w:fldCharType="separate"/>
            </w:r>
            <w:r w:rsidR="004009C7">
              <w:rPr>
                <w:noProof/>
                <w:webHidden/>
              </w:rPr>
              <w:t>7</w:t>
            </w:r>
            <w:r w:rsidR="004009C7">
              <w:rPr>
                <w:noProof/>
                <w:webHidden/>
              </w:rPr>
              <w:fldChar w:fldCharType="end"/>
            </w:r>
          </w:hyperlink>
        </w:p>
        <w:p w14:paraId="21DD5150" w14:textId="2F129B4F" w:rsidR="004009C7" w:rsidRDefault="002C764A">
          <w:pPr>
            <w:pStyle w:val="TOC2"/>
            <w:tabs>
              <w:tab w:val="right" w:leader="dot" w:pos="9350"/>
            </w:tabs>
            <w:rPr>
              <w:rFonts w:eastAsiaTheme="minorEastAsia"/>
              <w:noProof/>
              <w:lang w:eastAsia="en-CA"/>
            </w:rPr>
          </w:pPr>
          <w:hyperlink w:anchor="_Toc92365372" w:history="1">
            <w:r w:rsidR="004009C7" w:rsidRPr="00E8467E">
              <w:rPr>
                <w:rStyle w:val="Hyperlink"/>
                <w:noProof/>
              </w:rPr>
              <w:t>Example of Complex Contiguity</w:t>
            </w:r>
            <w:r w:rsidR="004009C7">
              <w:rPr>
                <w:noProof/>
                <w:webHidden/>
              </w:rPr>
              <w:tab/>
            </w:r>
            <w:r w:rsidR="004009C7">
              <w:rPr>
                <w:noProof/>
                <w:webHidden/>
              </w:rPr>
              <w:fldChar w:fldCharType="begin"/>
            </w:r>
            <w:r w:rsidR="004009C7">
              <w:rPr>
                <w:noProof/>
                <w:webHidden/>
              </w:rPr>
              <w:instrText xml:space="preserve"> PAGEREF _Toc92365372 \h </w:instrText>
            </w:r>
            <w:r w:rsidR="004009C7">
              <w:rPr>
                <w:noProof/>
                <w:webHidden/>
              </w:rPr>
            </w:r>
            <w:r w:rsidR="004009C7">
              <w:rPr>
                <w:noProof/>
                <w:webHidden/>
              </w:rPr>
              <w:fldChar w:fldCharType="separate"/>
            </w:r>
            <w:r w:rsidR="004009C7">
              <w:rPr>
                <w:noProof/>
                <w:webHidden/>
              </w:rPr>
              <w:t>12</w:t>
            </w:r>
            <w:r w:rsidR="004009C7">
              <w:rPr>
                <w:noProof/>
                <w:webHidden/>
              </w:rPr>
              <w:fldChar w:fldCharType="end"/>
            </w:r>
          </w:hyperlink>
        </w:p>
        <w:p w14:paraId="42853CA2" w14:textId="69951263" w:rsidR="004009C7" w:rsidRDefault="002C764A">
          <w:pPr>
            <w:pStyle w:val="TOC2"/>
            <w:tabs>
              <w:tab w:val="right" w:leader="dot" w:pos="9350"/>
            </w:tabs>
            <w:rPr>
              <w:rFonts w:eastAsiaTheme="minorEastAsia"/>
              <w:noProof/>
              <w:lang w:eastAsia="en-CA"/>
            </w:rPr>
          </w:pPr>
          <w:hyperlink w:anchor="_Toc92365373" w:history="1">
            <w:r w:rsidR="004009C7" w:rsidRPr="00E8467E">
              <w:rPr>
                <w:rStyle w:val="Hyperlink"/>
                <w:noProof/>
              </w:rPr>
              <w:t>Payment in Place of Assessment Work</w:t>
            </w:r>
            <w:r w:rsidR="004009C7">
              <w:rPr>
                <w:noProof/>
                <w:webHidden/>
              </w:rPr>
              <w:tab/>
            </w:r>
            <w:r w:rsidR="004009C7">
              <w:rPr>
                <w:noProof/>
                <w:webHidden/>
              </w:rPr>
              <w:fldChar w:fldCharType="begin"/>
            </w:r>
            <w:r w:rsidR="004009C7">
              <w:rPr>
                <w:noProof/>
                <w:webHidden/>
              </w:rPr>
              <w:instrText xml:space="preserve"> PAGEREF _Toc92365373 \h </w:instrText>
            </w:r>
            <w:r w:rsidR="004009C7">
              <w:rPr>
                <w:noProof/>
                <w:webHidden/>
              </w:rPr>
            </w:r>
            <w:r w:rsidR="004009C7">
              <w:rPr>
                <w:noProof/>
                <w:webHidden/>
              </w:rPr>
              <w:fldChar w:fldCharType="separate"/>
            </w:r>
            <w:r w:rsidR="004009C7">
              <w:rPr>
                <w:noProof/>
                <w:webHidden/>
              </w:rPr>
              <w:t>12</w:t>
            </w:r>
            <w:r w:rsidR="004009C7">
              <w:rPr>
                <w:noProof/>
                <w:webHidden/>
              </w:rPr>
              <w:fldChar w:fldCharType="end"/>
            </w:r>
          </w:hyperlink>
        </w:p>
        <w:p w14:paraId="0C73F323" w14:textId="51F14A38" w:rsidR="004009C7" w:rsidRDefault="002C764A">
          <w:pPr>
            <w:pStyle w:val="TOC2"/>
            <w:tabs>
              <w:tab w:val="right" w:leader="dot" w:pos="9350"/>
            </w:tabs>
            <w:rPr>
              <w:rFonts w:eastAsiaTheme="minorEastAsia"/>
              <w:noProof/>
              <w:lang w:eastAsia="en-CA"/>
            </w:rPr>
          </w:pPr>
          <w:hyperlink w:anchor="_Toc92365374" w:history="1">
            <w:r w:rsidR="004009C7" w:rsidRPr="00E8467E">
              <w:rPr>
                <w:rStyle w:val="Hyperlink"/>
                <w:noProof/>
                <w:lang w:val="en"/>
              </w:rPr>
              <w:t>Contact Mining Lands Section</w:t>
            </w:r>
            <w:r w:rsidR="004009C7">
              <w:rPr>
                <w:noProof/>
                <w:webHidden/>
              </w:rPr>
              <w:tab/>
            </w:r>
            <w:r w:rsidR="004009C7">
              <w:rPr>
                <w:noProof/>
                <w:webHidden/>
              </w:rPr>
              <w:fldChar w:fldCharType="begin"/>
            </w:r>
            <w:r w:rsidR="004009C7">
              <w:rPr>
                <w:noProof/>
                <w:webHidden/>
              </w:rPr>
              <w:instrText xml:space="preserve"> PAGEREF _Toc92365374 \h </w:instrText>
            </w:r>
            <w:r w:rsidR="004009C7">
              <w:rPr>
                <w:noProof/>
                <w:webHidden/>
              </w:rPr>
            </w:r>
            <w:r w:rsidR="004009C7">
              <w:rPr>
                <w:noProof/>
                <w:webHidden/>
              </w:rPr>
              <w:fldChar w:fldCharType="separate"/>
            </w:r>
            <w:r w:rsidR="004009C7">
              <w:rPr>
                <w:noProof/>
                <w:webHidden/>
              </w:rPr>
              <w:t>13</w:t>
            </w:r>
            <w:r w:rsidR="004009C7">
              <w:rPr>
                <w:noProof/>
                <w:webHidden/>
              </w:rPr>
              <w:fldChar w:fldCharType="end"/>
            </w:r>
          </w:hyperlink>
        </w:p>
        <w:p w14:paraId="574348D9" w14:textId="6E3CE840" w:rsidR="004009C7" w:rsidRDefault="002C764A">
          <w:pPr>
            <w:pStyle w:val="TOC2"/>
            <w:tabs>
              <w:tab w:val="right" w:leader="dot" w:pos="9350"/>
            </w:tabs>
            <w:rPr>
              <w:rFonts w:eastAsiaTheme="minorEastAsia"/>
              <w:noProof/>
              <w:lang w:eastAsia="en-CA"/>
            </w:rPr>
          </w:pPr>
          <w:hyperlink w:anchor="_Toc92365375" w:history="1">
            <w:r w:rsidR="004009C7" w:rsidRPr="00E8467E">
              <w:rPr>
                <w:rStyle w:val="Hyperlink"/>
                <w:rFonts w:eastAsia="Times New Roman"/>
                <w:noProof/>
                <w:lang w:val="en" w:eastAsia="en-CA"/>
              </w:rPr>
              <w:t>Authority Detail</w:t>
            </w:r>
            <w:r w:rsidR="004009C7">
              <w:rPr>
                <w:noProof/>
                <w:webHidden/>
              </w:rPr>
              <w:tab/>
            </w:r>
            <w:r w:rsidR="004009C7">
              <w:rPr>
                <w:noProof/>
                <w:webHidden/>
              </w:rPr>
              <w:fldChar w:fldCharType="begin"/>
            </w:r>
            <w:r w:rsidR="004009C7">
              <w:rPr>
                <w:noProof/>
                <w:webHidden/>
              </w:rPr>
              <w:instrText xml:space="preserve"> PAGEREF _Toc92365375 \h </w:instrText>
            </w:r>
            <w:r w:rsidR="004009C7">
              <w:rPr>
                <w:noProof/>
                <w:webHidden/>
              </w:rPr>
            </w:r>
            <w:r w:rsidR="004009C7">
              <w:rPr>
                <w:noProof/>
                <w:webHidden/>
              </w:rPr>
              <w:fldChar w:fldCharType="separate"/>
            </w:r>
            <w:r w:rsidR="004009C7">
              <w:rPr>
                <w:noProof/>
                <w:webHidden/>
              </w:rPr>
              <w:t>14</w:t>
            </w:r>
            <w:r w:rsidR="004009C7">
              <w:rPr>
                <w:noProof/>
                <w:webHidden/>
              </w:rPr>
              <w:fldChar w:fldCharType="end"/>
            </w:r>
          </w:hyperlink>
        </w:p>
        <w:p w14:paraId="4B4EA371" w14:textId="734134C2" w:rsidR="004009C7" w:rsidRDefault="002C764A">
          <w:pPr>
            <w:pStyle w:val="TOC2"/>
            <w:tabs>
              <w:tab w:val="right" w:leader="dot" w:pos="9350"/>
            </w:tabs>
            <w:rPr>
              <w:rFonts w:eastAsiaTheme="minorEastAsia"/>
              <w:noProof/>
              <w:lang w:eastAsia="en-CA"/>
            </w:rPr>
          </w:pPr>
          <w:hyperlink w:anchor="_Toc92365376" w:history="1">
            <w:r w:rsidR="004009C7" w:rsidRPr="00E8467E">
              <w:rPr>
                <w:rStyle w:val="Hyperlink"/>
                <w:rFonts w:ascii="Arial" w:hAnsi="Arial" w:cs="Arial"/>
                <w:noProof/>
                <w:lang w:val="en" w:eastAsia="en-CA"/>
              </w:rPr>
              <w:t>Mining Act R.S.O. 1990 M. 14</w:t>
            </w:r>
            <w:r w:rsidR="004009C7">
              <w:rPr>
                <w:noProof/>
                <w:webHidden/>
              </w:rPr>
              <w:tab/>
            </w:r>
            <w:r w:rsidR="004009C7">
              <w:rPr>
                <w:noProof/>
                <w:webHidden/>
              </w:rPr>
              <w:fldChar w:fldCharType="begin"/>
            </w:r>
            <w:r w:rsidR="004009C7">
              <w:rPr>
                <w:noProof/>
                <w:webHidden/>
              </w:rPr>
              <w:instrText xml:space="preserve"> PAGEREF _Toc92365376 \h </w:instrText>
            </w:r>
            <w:r w:rsidR="004009C7">
              <w:rPr>
                <w:noProof/>
                <w:webHidden/>
              </w:rPr>
            </w:r>
            <w:r w:rsidR="004009C7">
              <w:rPr>
                <w:noProof/>
                <w:webHidden/>
              </w:rPr>
              <w:fldChar w:fldCharType="separate"/>
            </w:r>
            <w:r w:rsidR="004009C7">
              <w:rPr>
                <w:noProof/>
                <w:webHidden/>
              </w:rPr>
              <w:t>14</w:t>
            </w:r>
            <w:r w:rsidR="004009C7">
              <w:rPr>
                <w:noProof/>
                <w:webHidden/>
              </w:rPr>
              <w:fldChar w:fldCharType="end"/>
            </w:r>
          </w:hyperlink>
        </w:p>
        <w:p w14:paraId="22E1147F" w14:textId="42DD9708" w:rsidR="004009C7" w:rsidRDefault="002C764A">
          <w:pPr>
            <w:pStyle w:val="TOC2"/>
            <w:tabs>
              <w:tab w:val="right" w:leader="dot" w:pos="9350"/>
            </w:tabs>
            <w:rPr>
              <w:rFonts w:eastAsiaTheme="minorEastAsia"/>
              <w:noProof/>
              <w:lang w:eastAsia="en-CA"/>
            </w:rPr>
          </w:pPr>
          <w:hyperlink w:anchor="_Toc92365377" w:history="1">
            <w:r w:rsidR="004009C7" w:rsidRPr="00E8467E">
              <w:rPr>
                <w:rStyle w:val="Hyperlink"/>
                <w:noProof/>
                <w:lang w:eastAsia="en-CA"/>
              </w:rPr>
              <w:t>Work on mining lands</w:t>
            </w:r>
            <w:r w:rsidR="004009C7">
              <w:rPr>
                <w:noProof/>
                <w:webHidden/>
              </w:rPr>
              <w:tab/>
            </w:r>
            <w:r w:rsidR="004009C7">
              <w:rPr>
                <w:noProof/>
                <w:webHidden/>
              </w:rPr>
              <w:fldChar w:fldCharType="begin"/>
            </w:r>
            <w:r w:rsidR="004009C7">
              <w:rPr>
                <w:noProof/>
                <w:webHidden/>
              </w:rPr>
              <w:instrText xml:space="preserve"> PAGEREF _Toc92365377 \h </w:instrText>
            </w:r>
            <w:r w:rsidR="004009C7">
              <w:rPr>
                <w:noProof/>
                <w:webHidden/>
              </w:rPr>
            </w:r>
            <w:r w:rsidR="004009C7">
              <w:rPr>
                <w:noProof/>
                <w:webHidden/>
              </w:rPr>
              <w:fldChar w:fldCharType="separate"/>
            </w:r>
            <w:r w:rsidR="004009C7">
              <w:rPr>
                <w:noProof/>
                <w:webHidden/>
              </w:rPr>
              <w:t>14</w:t>
            </w:r>
            <w:r w:rsidR="004009C7">
              <w:rPr>
                <w:noProof/>
                <w:webHidden/>
              </w:rPr>
              <w:fldChar w:fldCharType="end"/>
            </w:r>
          </w:hyperlink>
        </w:p>
        <w:p w14:paraId="2FDC1BF0" w14:textId="0CD4DBEA" w:rsidR="004009C7" w:rsidRDefault="002C764A">
          <w:pPr>
            <w:pStyle w:val="TOC2"/>
            <w:tabs>
              <w:tab w:val="right" w:leader="dot" w:pos="9350"/>
            </w:tabs>
            <w:rPr>
              <w:rFonts w:eastAsiaTheme="minorEastAsia"/>
              <w:noProof/>
              <w:lang w:eastAsia="en-CA"/>
            </w:rPr>
          </w:pPr>
          <w:hyperlink w:anchor="_Toc92365378" w:history="1">
            <w:r w:rsidR="004009C7" w:rsidRPr="00E8467E">
              <w:rPr>
                <w:rStyle w:val="Hyperlink"/>
                <w:noProof/>
                <w:shd w:val="clear" w:color="auto" w:fill="FFFFFF"/>
              </w:rPr>
              <w:t>Ontario Regulation 65/18: Assessment Work</w:t>
            </w:r>
            <w:r w:rsidR="004009C7">
              <w:rPr>
                <w:noProof/>
                <w:webHidden/>
              </w:rPr>
              <w:tab/>
            </w:r>
            <w:r w:rsidR="004009C7">
              <w:rPr>
                <w:noProof/>
                <w:webHidden/>
              </w:rPr>
              <w:fldChar w:fldCharType="begin"/>
            </w:r>
            <w:r w:rsidR="004009C7">
              <w:rPr>
                <w:noProof/>
                <w:webHidden/>
              </w:rPr>
              <w:instrText xml:space="preserve"> PAGEREF _Toc92365378 \h </w:instrText>
            </w:r>
            <w:r w:rsidR="004009C7">
              <w:rPr>
                <w:noProof/>
                <w:webHidden/>
              </w:rPr>
            </w:r>
            <w:r w:rsidR="004009C7">
              <w:rPr>
                <w:noProof/>
                <w:webHidden/>
              </w:rPr>
              <w:fldChar w:fldCharType="separate"/>
            </w:r>
            <w:r w:rsidR="004009C7">
              <w:rPr>
                <w:noProof/>
                <w:webHidden/>
              </w:rPr>
              <w:t>14</w:t>
            </w:r>
            <w:r w:rsidR="004009C7">
              <w:rPr>
                <w:noProof/>
                <w:webHidden/>
              </w:rPr>
              <w:fldChar w:fldCharType="end"/>
            </w:r>
          </w:hyperlink>
        </w:p>
        <w:p w14:paraId="2A288AD3" w14:textId="292C8CC7" w:rsidR="004009C7" w:rsidRDefault="002C764A">
          <w:pPr>
            <w:pStyle w:val="TOC2"/>
            <w:tabs>
              <w:tab w:val="right" w:leader="dot" w:pos="9350"/>
            </w:tabs>
            <w:rPr>
              <w:rFonts w:eastAsiaTheme="minorEastAsia"/>
              <w:noProof/>
              <w:lang w:eastAsia="en-CA"/>
            </w:rPr>
          </w:pPr>
          <w:hyperlink w:anchor="_Toc92365379" w:history="1">
            <w:r w:rsidR="004009C7" w:rsidRPr="00E8467E">
              <w:rPr>
                <w:rStyle w:val="Hyperlink"/>
                <w:noProof/>
              </w:rPr>
              <w:t>System of assessment work credits</w:t>
            </w:r>
            <w:r w:rsidR="004009C7">
              <w:rPr>
                <w:noProof/>
                <w:webHidden/>
              </w:rPr>
              <w:tab/>
            </w:r>
            <w:r w:rsidR="004009C7">
              <w:rPr>
                <w:noProof/>
                <w:webHidden/>
              </w:rPr>
              <w:fldChar w:fldCharType="begin"/>
            </w:r>
            <w:r w:rsidR="004009C7">
              <w:rPr>
                <w:noProof/>
                <w:webHidden/>
              </w:rPr>
              <w:instrText xml:space="preserve"> PAGEREF _Toc92365379 \h </w:instrText>
            </w:r>
            <w:r w:rsidR="004009C7">
              <w:rPr>
                <w:noProof/>
                <w:webHidden/>
              </w:rPr>
            </w:r>
            <w:r w:rsidR="004009C7">
              <w:rPr>
                <w:noProof/>
                <w:webHidden/>
              </w:rPr>
              <w:fldChar w:fldCharType="separate"/>
            </w:r>
            <w:r w:rsidR="004009C7">
              <w:rPr>
                <w:noProof/>
                <w:webHidden/>
              </w:rPr>
              <w:t>14</w:t>
            </w:r>
            <w:r w:rsidR="004009C7">
              <w:rPr>
                <w:noProof/>
                <w:webHidden/>
              </w:rPr>
              <w:fldChar w:fldCharType="end"/>
            </w:r>
          </w:hyperlink>
        </w:p>
        <w:p w14:paraId="706282D0" w14:textId="4239E2AD" w:rsidR="004009C7" w:rsidRDefault="002C764A">
          <w:pPr>
            <w:pStyle w:val="TOC2"/>
            <w:tabs>
              <w:tab w:val="right" w:leader="dot" w:pos="9350"/>
            </w:tabs>
            <w:rPr>
              <w:rFonts w:eastAsiaTheme="minorEastAsia"/>
              <w:noProof/>
              <w:lang w:eastAsia="en-CA"/>
            </w:rPr>
          </w:pPr>
          <w:hyperlink w:anchor="_Toc92365380" w:history="1">
            <w:r w:rsidR="004009C7" w:rsidRPr="00E8467E">
              <w:rPr>
                <w:rStyle w:val="Hyperlink"/>
                <w:noProof/>
              </w:rPr>
              <w:t>How system works</w:t>
            </w:r>
            <w:r w:rsidR="004009C7">
              <w:rPr>
                <w:noProof/>
                <w:webHidden/>
              </w:rPr>
              <w:tab/>
            </w:r>
            <w:r w:rsidR="004009C7">
              <w:rPr>
                <w:noProof/>
                <w:webHidden/>
              </w:rPr>
              <w:fldChar w:fldCharType="begin"/>
            </w:r>
            <w:r w:rsidR="004009C7">
              <w:rPr>
                <w:noProof/>
                <w:webHidden/>
              </w:rPr>
              <w:instrText xml:space="preserve"> PAGEREF _Toc92365380 \h </w:instrText>
            </w:r>
            <w:r w:rsidR="004009C7">
              <w:rPr>
                <w:noProof/>
                <w:webHidden/>
              </w:rPr>
            </w:r>
            <w:r w:rsidR="004009C7">
              <w:rPr>
                <w:noProof/>
                <w:webHidden/>
              </w:rPr>
              <w:fldChar w:fldCharType="separate"/>
            </w:r>
            <w:r w:rsidR="004009C7">
              <w:rPr>
                <w:noProof/>
                <w:webHidden/>
              </w:rPr>
              <w:t>14</w:t>
            </w:r>
            <w:r w:rsidR="004009C7">
              <w:rPr>
                <w:noProof/>
                <w:webHidden/>
              </w:rPr>
              <w:fldChar w:fldCharType="end"/>
            </w:r>
          </w:hyperlink>
        </w:p>
        <w:p w14:paraId="0E414E51" w14:textId="7BEABB01" w:rsidR="004009C7" w:rsidRDefault="002C764A">
          <w:pPr>
            <w:pStyle w:val="TOC2"/>
            <w:tabs>
              <w:tab w:val="right" w:leader="dot" w:pos="9350"/>
            </w:tabs>
            <w:rPr>
              <w:rFonts w:eastAsiaTheme="minorEastAsia"/>
              <w:noProof/>
              <w:lang w:eastAsia="en-CA"/>
            </w:rPr>
          </w:pPr>
          <w:hyperlink w:anchor="_Toc92365381" w:history="1">
            <w:r w:rsidR="004009C7" w:rsidRPr="00E8467E">
              <w:rPr>
                <w:rStyle w:val="Hyperlink"/>
                <w:noProof/>
                <w:shd w:val="clear" w:color="auto" w:fill="FFFFFF"/>
              </w:rPr>
              <w:t>Distribution of assessment work credit</w:t>
            </w:r>
            <w:r w:rsidR="004009C7">
              <w:rPr>
                <w:noProof/>
                <w:webHidden/>
              </w:rPr>
              <w:tab/>
            </w:r>
            <w:r w:rsidR="004009C7">
              <w:rPr>
                <w:noProof/>
                <w:webHidden/>
              </w:rPr>
              <w:fldChar w:fldCharType="begin"/>
            </w:r>
            <w:r w:rsidR="004009C7">
              <w:rPr>
                <w:noProof/>
                <w:webHidden/>
              </w:rPr>
              <w:instrText xml:space="preserve"> PAGEREF _Toc92365381 \h </w:instrText>
            </w:r>
            <w:r w:rsidR="004009C7">
              <w:rPr>
                <w:noProof/>
                <w:webHidden/>
              </w:rPr>
            </w:r>
            <w:r w:rsidR="004009C7">
              <w:rPr>
                <w:noProof/>
                <w:webHidden/>
              </w:rPr>
              <w:fldChar w:fldCharType="separate"/>
            </w:r>
            <w:r w:rsidR="004009C7">
              <w:rPr>
                <w:noProof/>
                <w:webHidden/>
              </w:rPr>
              <w:t>15</w:t>
            </w:r>
            <w:r w:rsidR="004009C7">
              <w:rPr>
                <w:noProof/>
                <w:webHidden/>
              </w:rPr>
              <w:fldChar w:fldCharType="end"/>
            </w:r>
          </w:hyperlink>
        </w:p>
        <w:p w14:paraId="7A662A80" w14:textId="268F7B46" w:rsidR="004009C7" w:rsidRDefault="002C764A">
          <w:pPr>
            <w:pStyle w:val="TOC2"/>
            <w:tabs>
              <w:tab w:val="right" w:leader="dot" w:pos="9350"/>
            </w:tabs>
            <w:rPr>
              <w:rFonts w:eastAsiaTheme="minorEastAsia"/>
              <w:noProof/>
              <w:lang w:eastAsia="en-CA"/>
            </w:rPr>
          </w:pPr>
          <w:hyperlink w:anchor="_Toc92365382" w:history="1">
            <w:r w:rsidR="004009C7" w:rsidRPr="00E8467E">
              <w:rPr>
                <w:rStyle w:val="Hyperlink"/>
                <w:noProof/>
              </w:rPr>
              <w:t>Assessment work manager</w:t>
            </w:r>
            <w:r w:rsidR="004009C7">
              <w:rPr>
                <w:noProof/>
                <w:webHidden/>
              </w:rPr>
              <w:tab/>
            </w:r>
            <w:r w:rsidR="004009C7">
              <w:rPr>
                <w:noProof/>
                <w:webHidden/>
              </w:rPr>
              <w:fldChar w:fldCharType="begin"/>
            </w:r>
            <w:r w:rsidR="004009C7">
              <w:rPr>
                <w:noProof/>
                <w:webHidden/>
              </w:rPr>
              <w:instrText xml:space="preserve"> PAGEREF _Toc92365382 \h </w:instrText>
            </w:r>
            <w:r w:rsidR="004009C7">
              <w:rPr>
                <w:noProof/>
                <w:webHidden/>
              </w:rPr>
            </w:r>
            <w:r w:rsidR="004009C7">
              <w:rPr>
                <w:noProof/>
                <w:webHidden/>
              </w:rPr>
              <w:fldChar w:fldCharType="separate"/>
            </w:r>
            <w:r w:rsidR="004009C7">
              <w:rPr>
                <w:noProof/>
                <w:webHidden/>
              </w:rPr>
              <w:t>16</w:t>
            </w:r>
            <w:r w:rsidR="004009C7">
              <w:rPr>
                <w:noProof/>
                <w:webHidden/>
              </w:rPr>
              <w:fldChar w:fldCharType="end"/>
            </w:r>
          </w:hyperlink>
        </w:p>
        <w:p w14:paraId="3C796FBB" w14:textId="5826A92E" w:rsidR="004009C7" w:rsidRDefault="002C764A">
          <w:pPr>
            <w:pStyle w:val="TOC2"/>
            <w:tabs>
              <w:tab w:val="right" w:leader="dot" w:pos="9350"/>
            </w:tabs>
            <w:rPr>
              <w:rFonts w:eastAsiaTheme="minorEastAsia"/>
              <w:noProof/>
              <w:lang w:eastAsia="en-CA"/>
            </w:rPr>
          </w:pPr>
          <w:hyperlink w:anchor="_Toc92365383" w:history="1">
            <w:r w:rsidR="004009C7" w:rsidRPr="00E8467E">
              <w:rPr>
                <w:rStyle w:val="Hyperlink"/>
                <w:noProof/>
                <w:shd w:val="clear" w:color="auto" w:fill="FFFFFF"/>
              </w:rPr>
              <w:t>Limits on distribution of credits</w:t>
            </w:r>
            <w:r w:rsidR="004009C7">
              <w:rPr>
                <w:noProof/>
                <w:webHidden/>
              </w:rPr>
              <w:tab/>
            </w:r>
            <w:r w:rsidR="004009C7">
              <w:rPr>
                <w:noProof/>
                <w:webHidden/>
              </w:rPr>
              <w:fldChar w:fldCharType="begin"/>
            </w:r>
            <w:r w:rsidR="004009C7">
              <w:rPr>
                <w:noProof/>
                <w:webHidden/>
              </w:rPr>
              <w:instrText xml:space="preserve"> PAGEREF _Toc92365383 \h </w:instrText>
            </w:r>
            <w:r w:rsidR="004009C7">
              <w:rPr>
                <w:noProof/>
                <w:webHidden/>
              </w:rPr>
            </w:r>
            <w:r w:rsidR="004009C7">
              <w:rPr>
                <w:noProof/>
                <w:webHidden/>
              </w:rPr>
              <w:fldChar w:fldCharType="separate"/>
            </w:r>
            <w:r w:rsidR="004009C7">
              <w:rPr>
                <w:noProof/>
                <w:webHidden/>
              </w:rPr>
              <w:t>16</w:t>
            </w:r>
            <w:r w:rsidR="004009C7">
              <w:rPr>
                <w:noProof/>
                <w:webHidden/>
              </w:rPr>
              <w:fldChar w:fldCharType="end"/>
            </w:r>
          </w:hyperlink>
        </w:p>
        <w:p w14:paraId="5149F347" w14:textId="1E474261" w:rsidR="00A64BCD" w:rsidRDefault="00827661" w:rsidP="00C800E3">
          <w:pPr>
            <w:pStyle w:val="Heading1"/>
            <w:rPr>
              <w:rFonts w:ascii="Arial Black" w:hAnsi="Arial Black" w:cs="Arial"/>
              <w:noProof/>
            </w:rPr>
          </w:pPr>
          <w:r w:rsidRPr="00D30A0F">
            <w:rPr>
              <w:rFonts w:ascii="Arial Black" w:hAnsi="Arial Black" w:cs="Arial"/>
              <w:b w:val="0"/>
              <w:bCs w:val="0"/>
              <w:noProof/>
              <w:sz w:val="21"/>
              <w:szCs w:val="21"/>
            </w:rPr>
            <w:fldChar w:fldCharType="end"/>
          </w:r>
        </w:p>
      </w:sdtContent>
    </w:sdt>
    <w:p w14:paraId="1AD0E535" w14:textId="77777777" w:rsidR="00A64BCD" w:rsidRDefault="00A64BCD">
      <w:pPr>
        <w:rPr>
          <w:rFonts w:asciiTheme="majorHAnsi" w:eastAsiaTheme="majorEastAsia" w:hAnsiTheme="majorHAnsi" w:cstheme="majorHAnsi"/>
          <w:b/>
          <w:bCs/>
          <w:sz w:val="28"/>
          <w:szCs w:val="28"/>
        </w:rPr>
      </w:pPr>
      <w:r>
        <w:rPr>
          <w:rFonts w:cstheme="majorHAnsi"/>
          <w:sz w:val="28"/>
        </w:rPr>
        <w:br w:type="page"/>
      </w:r>
    </w:p>
    <w:p w14:paraId="2C877E69" w14:textId="6886EA21" w:rsidR="00827661" w:rsidRPr="00F0047D" w:rsidRDefault="00827661" w:rsidP="00F0047D">
      <w:pPr>
        <w:pStyle w:val="Heading2"/>
        <w:spacing w:after="240"/>
        <w:rPr>
          <w:sz w:val="28"/>
          <w:szCs w:val="24"/>
        </w:rPr>
      </w:pPr>
      <w:bookmarkStart w:id="0" w:name="_Toc92365365"/>
      <w:r w:rsidRPr="00F0047D">
        <w:rPr>
          <w:sz w:val="28"/>
          <w:szCs w:val="24"/>
        </w:rPr>
        <w:lastRenderedPageBreak/>
        <w:t>Purpose</w:t>
      </w:r>
      <w:bookmarkEnd w:id="0"/>
    </w:p>
    <w:p w14:paraId="4159C361" w14:textId="32DA0D77" w:rsidR="006B3F80" w:rsidRPr="001228DC" w:rsidRDefault="006B3F80" w:rsidP="001228DC">
      <w:pPr>
        <w:rPr>
          <w:rFonts w:ascii="Arial" w:hAnsi="Arial" w:cs="Arial"/>
          <w:b/>
          <w:bCs/>
          <w:sz w:val="24"/>
          <w:szCs w:val="24"/>
        </w:rPr>
      </w:pPr>
      <w:r w:rsidRPr="001228DC">
        <w:rPr>
          <w:rFonts w:ascii="Arial" w:hAnsi="Arial" w:cs="Arial"/>
          <w:sz w:val="24"/>
          <w:szCs w:val="24"/>
        </w:rPr>
        <w:t xml:space="preserve">The purpose of this policy is to provide direction to claim holders and </w:t>
      </w:r>
      <w:r w:rsidR="00C8250E" w:rsidRPr="001228DC">
        <w:rPr>
          <w:rFonts w:ascii="Arial" w:hAnsi="Arial" w:cs="Arial"/>
          <w:sz w:val="24"/>
          <w:szCs w:val="24"/>
        </w:rPr>
        <w:t xml:space="preserve">decision makers with respect </w:t>
      </w:r>
      <w:r w:rsidR="00A752CD" w:rsidRPr="001228DC">
        <w:rPr>
          <w:rFonts w:ascii="Arial" w:hAnsi="Arial" w:cs="Arial"/>
          <w:sz w:val="24"/>
          <w:szCs w:val="24"/>
        </w:rPr>
        <w:t xml:space="preserve">to their options for </w:t>
      </w:r>
      <w:r w:rsidR="002B2156" w:rsidRPr="001228DC">
        <w:rPr>
          <w:rFonts w:ascii="Arial" w:hAnsi="Arial" w:cs="Arial"/>
          <w:sz w:val="24"/>
          <w:szCs w:val="24"/>
        </w:rPr>
        <w:t>meeting their assessment work requirements</w:t>
      </w:r>
      <w:r w:rsidR="007F1FDC" w:rsidRPr="001228DC">
        <w:rPr>
          <w:rFonts w:ascii="Arial" w:hAnsi="Arial" w:cs="Arial"/>
          <w:sz w:val="24"/>
          <w:szCs w:val="24"/>
        </w:rPr>
        <w:t xml:space="preserve"> </w:t>
      </w:r>
      <w:r w:rsidR="00C8250E" w:rsidRPr="001228DC">
        <w:rPr>
          <w:rFonts w:ascii="Arial" w:hAnsi="Arial" w:cs="Arial"/>
          <w:sz w:val="24"/>
          <w:szCs w:val="24"/>
        </w:rPr>
        <w:t xml:space="preserve">pursuant to </w:t>
      </w:r>
      <w:r w:rsidR="0026603B" w:rsidRPr="001228DC">
        <w:rPr>
          <w:rFonts w:ascii="Arial" w:hAnsi="Arial" w:cs="Arial"/>
          <w:sz w:val="24"/>
          <w:szCs w:val="24"/>
        </w:rPr>
        <w:t>the Mining Act,</w:t>
      </w:r>
      <w:r w:rsidR="001A0E85" w:rsidRPr="001228DC">
        <w:rPr>
          <w:rFonts w:ascii="Arial" w:hAnsi="Arial" w:cs="Arial"/>
          <w:sz w:val="24"/>
          <w:szCs w:val="24"/>
        </w:rPr>
        <w:t xml:space="preserve"> </w:t>
      </w:r>
      <w:r w:rsidR="0026603B" w:rsidRPr="001228DC">
        <w:rPr>
          <w:rFonts w:ascii="Arial" w:hAnsi="Arial" w:cs="Arial"/>
          <w:sz w:val="24"/>
          <w:szCs w:val="24"/>
        </w:rPr>
        <w:t>R.S.O</w:t>
      </w:r>
      <w:r w:rsidR="001A0E85" w:rsidRPr="001228DC">
        <w:rPr>
          <w:rFonts w:ascii="Arial" w:hAnsi="Arial" w:cs="Arial"/>
          <w:sz w:val="24"/>
          <w:szCs w:val="24"/>
        </w:rPr>
        <w:t xml:space="preserve">. 1990 M.14 </w:t>
      </w:r>
      <w:r w:rsidR="00B46308" w:rsidRPr="001228DC">
        <w:rPr>
          <w:rFonts w:ascii="Arial" w:hAnsi="Arial" w:cs="Arial"/>
          <w:sz w:val="24"/>
          <w:szCs w:val="24"/>
        </w:rPr>
        <w:t>(</w:t>
      </w:r>
      <w:r w:rsidR="00C81DC7" w:rsidRPr="001228DC">
        <w:rPr>
          <w:rFonts w:ascii="Arial" w:hAnsi="Arial" w:cs="Arial"/>
          <w:sz w:val="24"/>
          <w:szCs w:val="24"/>
        </w:rPr>
        <w:t>t</w:t>
      </w:r>
      <w:r w:rsidR="0015683A" w:rsidRPr="001228DC">
        <w:rPr>
          <w:rFonts w:ascii="Arial" w:hAnsi="Arial" w:cs="Arial"/>
          <w:sz w:val="24"/>
          <w:szCs w:val="24"/>
        </w:rPr>
        <w:t xml:space="preserve">he Act) </w:t>
      </w:r>
      <w:r w:rsidR="001A0E85" w:rsidRPr="001228DC">
        <w:rPr>
          <w:rFonts w:ascii="Arial" w:hAnsi="Arial" w:cs="Arial"/>
          <w:sz w:val="24"/>
          <w:szCs w:val="24"/>
        </w:rPr>
        <w:t xml:space="preserve">and </w:t>
      </w:r>
      <w:r w:rsidR="00C8250E" w:rsidRPr="001228DC">
        <w:rPr>
          <w:rFonts w:ascii="Arial" w:hAnsi="Arial" w:cs="Arial"/>
          <w:sz w:val="24"/>
          <w:szCs w:val="24"/>
        </w:rPr>
        <w:t>Ontario Regulation 65/18 (the Regulation)</w:t>
      </w:r>
      <w:r w:rsidR="00605D99" w:rsidRPr="001228DC">
        <w:rPr>
          <w:rFonts w:ascii="Arial" w:hAnsi="Arial" w:cs="Arial"/>
          <w:sz w:val="24"/>
          <w:szCs w:val="24"/>
        </w:rPr>
        <w:t xml:space="preserve">. </w:t>
      </w:r>
      <w:r w:rsidR="008A4727" w:rsidRPr="001228DC">
        <w:rPr>
          <w:rFonts w:ascii="Arial" w:hAnsi="Arial" w:cs="Arial"/>
          <w:sz w:val="24"/>
          <w:szCs w:val="24"/>
        </w:rPr>
        <w:t xml:space="preserve"> Claim holders may </w:t>
      </w:r>
      <w:r w:rsidR="008A4727" w:rsidRPr="001228DC">
        <w:rPr>
          <w:rFonts w:ascii="Arial" w:hAnsi="Arial" w:cs="Arial"/>
          <w:b/>
          <w:bCs/>
          <w:sz w:val="24"/>
          <w:szCs w:val="24"/>
        </w:rPr>
        <w:t xml:space="preserve">allocate </w:t>
      </w:r>
      <w:r w:rsidR="00A81F90" w:rsidRPr="001228DC">
        <w:rPr>
          <w:rFonts w:ascii="Arial" w:hAnsi="Arial" w:cs="Arial"/>
          <w:b/>
          <w:bCs/>
          <w:sz w:val="24"/>
          <w:szCs w:val="24"/>
        </w:rPr>
        <w:t>credits</w:t>
      </w:r>
      <w:r w:rsidR="008A4727" w:rsidRPr="001228DC">
        <w:rPr>
          <w:rFonts w:ascii="Arial" w:hAnsi="Arial" w:cs="Arial"/>
          <w:sz w:val="24"/>
          <w:szCs w:val="24"/>
        </w:rPr>
        <w:t xml:space="preserve">, </w:t>
      </w:r>
      <w:r w:rsidR="008A4727" w:rsidRPr="001228DC">
        <w:rPr>
          <w:rFonts w:ascii="Arial" w:hAnsi="Arial" w:cs="Arial"/>
          <w:b/>
          <w:bCs/>
          <w:sz w:val="24"/>
          <w:szCs w:val="24"/>
        </w:rPr>
        <w:t xml:space="preserve">apply </w:t>
      </w:r>
      <w:r w:rsidR="00A81F90" w:rsidRPr="001228DC">
        <w:rPr>
          <w:rFonts w:ascii="Arial" w:hAnsi="Arial" w:cs="Arial"/>
          <w:b/>
          <w:bCs/>
          <w:sz w:val="24"/>
          <w:szCs w:val="24"/>
        </w:rPr>
        <w:t>credits,</w:t>
      </w:r>
      <w:r w:rsidR="008A4727" w:rsidRPr="001228DC">
        <w:rPr>
          <w:rFonts w:ascii="Arial" w:hAnsi="Arial" w:cs="Arial"/>
          <w:sz w:val="24"/>
          <w:szCs w:val="24"/>
        </w:rPr>
        <w:t xml:space="preserve"> or make </w:t>
      </w:r>
      <w:r w:rsidR="008A4727" w:rsidRPr="001228DC">
        <w:rPr>
          <w:rFonts w:ascii="Arial" w:hAnsi="Arial" w:cs="Arial"/>
          <w:b/>
          <w:bCs/>
          <w:sz w:val="24"/>
          <w:szCs w:val="24"/>
        </w:rPr>
        <w:t>payment in place.</w:t>
      </w:r>
      <w:r w:rsidR="00881852" w:rsidRPr="00881852">
        <w:rPr>
          <w:rFonts w:ascii="Arial" w:hAnsi="Arial" w:cs="Arial"/>
          <w:sz w:val="24"/>
          <w:szCs w:val="24"/>
        </w:rPr>
        <w:t xml:space="preserve"> </w:t>
      </w:r>
      <w:r w:rsidR="00881852">
        <w:rPr>
          <w:rStyle w:val="FootnoteReference"/>
          <w:rFonts w:ascii="Arial" w:hAnsi="Arial" w:cs="Arial"/>
          <w:sz w:val="24"/>
          <w:szCs w:val="24"/>
        </w:rPr>
        <w:footnoteReference w:id="2"/>
      </w:r>
    </w:p>
    <w:p w14:paraId="757E4EE4" w14:textId="056EA71D" w:rsidR="00B25DC0" w:rsidRPr="00506842" w:rsidRDefault="00B25DC0" w:rsidP="00506842">
      <w:pPr>
        <w:pStyle w:val="Heading2"/>
        <w:spacing w:after="240"/>
        <w:rPr>
          <w:rFonts w:eastAsiaTheme="minorEastAsia"/>
          <w:sz w:val="28"/>
          <w:szCs w:val="24"/>
          <w:lang w:val="en" w:eastAsia="en-CA"/>
        </w:rPr>
      </w:pPr>
      <w:bookmarkStart w:id="1" w:name="_Toc92365366"/>
      <w:r w:rsidRPr="00506842">
        <w:rPr>
          <w:rFonts w:eastAsiaTheme="minorEastAsia"/>
          <w:sz w:val="28"/>
          <w:szCs w:val="24"/>
          <w:lang w:val="en" w:eastAsia="en-CA"/>
        </w:rPr>
        <w:t>Background</w:t>
      </w:r>
      <w:bookmarkEnd w:id="1"/>
    </w:p>
    <w:p w14:paraId="63C4E356" w14:textId="3B44F3A7" w:rsidR="00B60485" w:rsidRPr="001228DC" w:rsidRDefault="00B25DC0" w:rsidP="001228DC">
      <w:pPr>
        <w:rPr>
          <w:rFonts w:ascii="Arial" w:hAnsi="Arial" w:cs="Arial"/>
          <w:sz w:val="24"/>
          <w:szCs w:val="24"/>
        </w:rPr>
      </w:pPr>
      <w:r w:rsidRPr="001228DC">
        <w:rPr>
          <w:rFonts w:ascii="Arial" w:hAnsi="Arial" w:cs="Arial"/>
          <w:sz w:val="24"/>
          <w:szCs w:val="24"/>
        </w:rPr>
        <w:t xml:space="preserve">Claim holders must satisfy </w:t>
      </w:r>
      <w:r w:rsidR="00A752CD" w:rsidRPr="001228DC">
        <w:rPr>
          <w:rFonts w:ascii="Arial" w:hAnsi="Arial" w:cs="Arial"/>
          <w:sz w:val="24"/>
          <w:szCs w:val="24"/>
        </w:rPr>
        <w:t xml:space="preserve">their </w:t>
      </w:r>
      <w:r w:rsidR="002B7F3A" w:rsidRPr="001228DC">
        <w:rPr>
          <w:rFonts w:ascii="Arial" w:hAnsi="Arial" w:cs="Arial"/>
          <w:sz w:val="24"/>
          <w:szCs w:val="24"/>
        </w:rPr>
        <w:t xml:space="preserve">required </w:t>
      </w:r>
      <w:r w:rsidRPr="001228DC">
        <w:rPr>
          <w:rFonts w:ascii="Arial" w:hAnsi="Arial" w:cs="Arial"/>
          <w:sz w:val="24"/>
          <w:szCs w:val="24"/>
        </w:rPr>
        <w:t xml:space="preserve">annual units of assessment work to keep their claims in good standing.  They must </w:t>
      </w:r>
      <w:r w:rsidR="00A21605" w:rsidRPr="001228DC">
        <w:rPr>
          <w:rFonts w:ascii="Arial" w:hAnsi="Arial" w:cs="Arial"/>
          <w:sz w:val="24"/>
          <w:szCs w:val="24"/>
        </w:rPr>
        <w:t xml:space="preserve">perform assessment work and </w:t>
      </w:r>
      <w:r w:rsidRPr="001228DC">
        <w:rPr>
          <w:rFonts w:ascii="Arial" w:hAnsi="Arial" w:cs="Arial"/>
          <w:sz w:val="24"/>
          <w:szCs w:val="24"/>
        </w:rPr>
        <w:t>submit an assessment work report</w:t>
      </w:r>
      <w:r w:rsidR="00415C86" w:rsidRPr="001228DC">
        <w:rPr>
          <w:rFonts w:ascii="Arial" w:hAnsi="Arial" w:cs="Arial"/>
          <w:sz w:val="24"/>
          <w:szCs w:val="24"/>
        </w:rPr>
        <w:t xml:space="preserve"> that co</w:t>
      </w:r>
      <w:r w:rsidR="0073782E" w:rsidRPr="001228DC">
        <w:rPr>
          <w:rFonts w:ascii="Arial" w:hAnsi="Arial" w:cs="Arial"/>
          <w:sz w:val="24"/>
          <w:szCs w:val="24"/>
        </w:rPr>
        <w:t xml:space="preserve">mplies with the </w:t>
      </w:r>
      <w:r w:rsidR="003B5893" w:rsidRPr="001228DC">
        <w:rPr>
          <w:rFonts w:ascii="Arial" w:hAnsi="Arial" w:cs="Arial"/>
          <w:sz w:val="24"/>
          <w:szCs w:val="24"/>
        </w:rPr>
        <w:t>T</w:t>
      </w:r>
      <w:r w:rsidR="0073782E" w:rsidRPr="001228DC">
        <w:rPr>
          <w:rFonts w:ascii="Arial" w:hAnsi="Arial" w:cs="Arial"/>
          <w:sz w:val="24"/>
          <w:szCs w:val="24"/>
        </w:rPr>
        <w:t xml:space="preserve">echnical </w:t>
      </w:r>
      <w:r w:rsidR="003B5893" w:rsidRPr="001228DC">
        <w:rPr>
          <w:rFonts w:ascii="Arial" w:hAnsi="Arial" w:cs="Arial"/>
          <w:sz w:val="24"/>
          <w:szCs w:val="24"/>
        </w:rPr>
        <w:t>S</w:t>
      </w:r>
      <w:r w:rsidR="0073782E" w:rsidRPr="001228DC">
        <w:rPr>
          <w:rFonts w:ascii="Arial" w:hAnsi="Arial" w:cs="Arial"/>
          <w:sz w:val="24"/>
          <w:szCs w:val="24"/>
        </w:rPr>
        <w:t>tandards</w:t>
      </w:r>
      <w:r w:rsidR="00F97148" w:rsidRPr="001228DC">
        <w:rPr>
          <w:rFonts w:ascii="Arial" w:hAnsi="Arial" w:cs="Arial"/>
          <w:sz w:val="24"/>
          <w:szCs w:val="24"/>
        </w:rPr>
        <w:t xml:space="preserve"> for Reporting Assessment Work</w:t>
      </w:r>
      <w:r w:rsidRPr="001228DC">
        <w:rPr>
          <w:rFonts w:ascii="Arial" w:hAnsi="Arial" w:cs="Arial"/>
          <w:sz w:val="24"/>
          <w:szCs w:val="24"/>
        </w:rPr>
        <w:t xml:space="preserve"> through the Mining Lands Administration System (MLAS).  The Minister reviews the report and assigns assessment work </w:t>
      </w:r>
      <w:r w:rsidR="00A81F90" w:rsidRPr="001228DC">
        <w:rPr>
          <w:rFonts w:ascii="Arial" w:hAnsi="Arial" w:cs="Arial"/>
          <w:sz w:val="24"/>
          <w:szCs w:val="24"/>
        </w:rPr>
        <w:t>credits</w:t>
      </w:r>
      <w:r w:rsidRPr="001228DC">
        <w:rPr>
          <w:rFonts w:ascii="Arial" w:hAnsi="Arial" w:cs="Arial"/>
          <w:sz w:val="24"/>
          <w:szCs w:val="24"/>
        </w:rPr>
        <w:t xml:space="preserve"> as set out in</w:t>
      </w:r>
      <w:r w:rsidR="00F84325" w:rsidRPr="001228DC">
        <w:rPr>
          <w:rFonts w:ascii="Arial" w:hAnsi="Arial" w:cs="Arial"/>
          <w:sz w:val="24"/>
          <w:szCs w:val="24"/>
        </w:rPr>
        <w:t xml:space="preserve"> the Regulation</w:t>
      </w:r>
      <w:r w:rsidRPr="001228DC">
        <w:rPr>
          <w:rFonts w:ascii="Arial" w:hAnsi="Arial" w:cs="Arial"/>
          <w:sz w:val="24"/>
          <w:szCs w:val="24"/>
        </w:rPr>
        <w:t xml:space="preserve">.  </w:t>
      </w:r>
      <w:r w:rsidR="00B60485" w:rsidRPr="001228DC">
        <w:rPr>
          <w:rFonts w:ascii="Arial" w:hAnsi="Arial" w:cs="Arial"/>
          <w:sz w:val="24"/>
          <w:szCs w:val="24"/>
        </w:rPr>
        <w:t xml:space="preserve">The assessment work </w:t>
      </w:r>
      <w:r w:rsidR="00A81F90" w:rsidRPr="001228DC">
        <w:rPr>
          <w:rFonts w:ascii="Arial" w:hAnsi="Arial" w:cs="Arial"/>
          <w:sz w:val="24"/>
          <w:szCs w:val="24"/>
        </w:rPr>
        <w:t>credits</w:t>
      </w:r>
      <w:r w:rsidR="00B60485" w:rsidRPr="001228DC">
        <w:rPr>
          <w:rFonts w:ascii="Arial" w:hAnsi="Arial" w:cs="Arial"/>
          <w:sz w:val="24"/>
          <w:szCs w:val="24"/>
        </w:rPr>
        <w:t xml:space="preserve"> are then placed in the reserve of the </w:t>
      </w:r>
      <w:r w:rsidR="00A21605" w:rsidRPr="001228DC">
        <w:rPr>
          <w:rFonts w:ascii="Arial" w:hAnsi="Arial" w:cs="Arial"/>
          <w:sz w:val="24"/>
          <w:szCs w:val="24"/>
        </w:rPr>
        <w:t xml:space="preserve">mining </w:t>
      </w:r>
      <w:r w:rsidR="00B60485" w:rsidRPr="001228DC">
        <w:rPr>
          <w:rFonts w:ascii="Arial" w:hAnsi="Arial" w:cs="Arial"/>
          <w:sz w:val="24"/>
          <w:szCs w:val="24"/>
        </w:rPr>
        <w:t>lands on which the work was performed.</w:t>
      </w:r>
    </w:p>
    <w:p w14:paraId="4A90506B" w14:textId="637B247A" w:rsidR="00B60485" w:rsidRPr="001228DC" w:rsidRDefault="00B60485" w:rsidP="001228DC">
      <w:pPr>
        <w:rPr>
          <w:rFonts w:ascii="Arial" w:hAnsi="Arial" w:cs="Arial"/>
          <w:sz w:val="24"/>
          <w:szCs w:val="24"/>
        </w:rPr>
      </w:pPr>
      <w:r w:rsidRPr="001228DC">
        <w:rPr>
          <w:rFonts w:ascii="Arial" w:hAnsi="Arial" w:cs="Arial"/>
          <w:sz w:val="24"/>
          <w:szCs w:val="24"/>
        </w:rPr>
        <w:t>Assessment work</w:t>
      </w:r>
      <w:r w:rsidR="00A81F90" w:rsidRPr="001228DC">
        <w:rPr>
          <w:rFonts w:ascii="Arial" w:hAnsi="Arial" w:cs="Arial"/>
          <w:sz w:val="24"/>
          <w:szCs w:val="24"/>
        </w:rPr>
        <w:t xml:space="preserve"> credits</w:t>
      </w:r>
      <w:r w:rsidRPr="001228DC">
        <w:rPr>
          <w:rFonts w:ascii="Arial" w:hAnsi="Arial" w:cs="Arial"/>
          <w:sz w:val="24"/>
          <w:szCs w:val="24"/>
        </w:rPr>
        <w:t xml:space="preserve"> in the reserve for mining lands can then be distributed to a mining claim to satisfy the claim’s annual assessment work requirements.  There are two types of distribution</w:t>
      </w:r>
      <w:r w:rsidR="00A21605" w:rsidRPr="001228DC">
        <w:rPr>
          <w:rFonts w:ascii="Arial" w:hAnsi="Arial" w:cs="Arial"/>
          <w:sz w:val="24"/>
          <w:szCs w:val="24"/>
        </w:rPr>
        <w:t xml:space="preserve"> of assessment work </w:t>
      </w:r>
      <w:r w:rsidR="00A81F90" w:rsidRPr="001228DC">
        <w:rPr>
          <w:rFonts w:ascii="Arial" w:hAnsi="Arial" w:cs="Arial"/>
          <w:sz w:val="24"/>
          <w:szCs w:val="24"/>
        </w:rPr>
        <w:t>credits</w:t>
      </w:r>
      <w:r w:rsidRPr="001228DC">
        <w:rPr>
          <w:rFonts w:ascii="Arial" w:hAnsi="Arial" w:cs="Arial"/>
          <w:sz w:val="24"/>
          <w:szCs w:val="24"/>
        </w:rPr>
        <w:t>:</w:t>
      </w:r>
    </w:p>
    <w:p w14:paraId="500B9076" w14:textId="77777777" w:rsidR="00085B14" w:rsidRDefault="00B60485" w:rsidP="001228DC">
      <w:pPr>
        <w:pStyle w:val="ListParagraph"/>
        <w:numPr>
          <w:ilvl w:val="0"/>
          <w:numId w:val="6"/>
        </w:numPr>
        <w:rPr>
          <w:rFonts w:ascii="Arial" w:hAnsi="Arial" w:cs="Arial"/>
          <w:sz w:val="24"/>
          <w:szCs w:val="24"/>
        </w:rPr>
      </w:pPr>
      <w:r w:rsidRPr="007D23AA">
        <w:rPr>
          <w:rFonts w:ascii="Arial" w:hAnsi="Arial" w:cs="Arial"/>
          <w:sz w:val="24"/>
          <w:szCs w:val="24"/>
        </w:rPr>
        <w:t xml:space="preserve">Assessment work </w:t>
      </w:r>
      <w:r w:rsidR="00A81F90" w:rsidRPr="007D23AA">
        <w:rPr>
          <w:rFonts w:ascii="Arial" w:hAnsi="Arial" w:cs="Arial"/>
          <w:sz w:val="24"/>
          <w:szCs w:val="24"/>
        </w:rPr>
        <w:t xml:space="preserve">credits </w:t>
      </w:r>
      <w:r w:rsidRPr="007D23AA">
        <w:rPr>
          <w:rFonts w:ascii="Arial" w:hAnsi="Arial" w:cs="Arial"/>
          <w:sz w:val="24"/>
          <w:szCs w:val="24"/>
        </w:rPr>
        <w:t xml:space="preserve">can be </w:t>
      </w:r>
      <w:r w:rsidRPr="007D23AA">
        <w:rPr>
          <w:rFonts w:ascii="Arial" w:hAnsi="Arial" w:cs="Arial"/>
          <w:b/>
          <w:bCs/>
          <w:i/>
          <w:iCs/>
          <w:sz w:val="24"/>
          <w:szCs w:val="24"/>
        </w:rPr>
        <w:t>applied</w:t>
      </w:r>
      <w:r w:rsidRPr="007D23AA">
        <w:rPr>
          <w:rFonts w:ascii="Arial" w:hAnsi="Arial" w:cs="Arial"/>
          <w:sz w:val="24"/>
          <w:szCs w:val="24"/>
        </w:rPr>
        <w:t xml:space="preserve"> from the reserve of a mining claim to satisfy the annual units of assessment work required for that claim; o</w:t>
      </w:r>
      <w:r w:rsidR="00085B14">
        <w:rPr>
          <w:rFonts w:ascii="Arial" w:hAnsi="Arial" w:cs="Arial"/>
          <w:sz w:val="24"/>
          <w:szCs w:val="24"/>
        </w:rPr>
        <w:t>r</w:t>
      </w:r>
    </w:p>
    <w:p w14:paraId="2A1C2BCC" w14:textId="6379BB19" w:rsidR="00B60485" w:rsidRPr="007D23AA" w:rsidRDefault="00B60485" w:rsidP="001228DC">
      <w:pPr>
        <w:pStyle w:val="ListParagraph"/>
        <w:numPr>
          <w:ilvl w:val="0"/>
          <w:numId w:val="6"/>
        </w:numPr>
        <w:rPr>
          <w:rFonts w:ascii="Arial" w:hAnsi="Arial" w:cs="Arial"/>
          <w:sz w:val="24"/>
          <w:szCs w:val="24"/>
        </w:rPr>
      </w:pPr>
      <w:r w:rsidRPr="007D23AA">
        <w:rPr>
          <w:rFonts w:ascii="Arial" w:hAnsi="Arial" w:cs="Arial"/>
          <w:sz w:val="24"/>
          <w:szCs w:val="24"/>
        </w:rPr>
        <w:t xml:space="preserve">Assessment work </w:t>
      </w:r>
      <w:r w:rsidR="00A81F90" w:rsidRPr="007D23AA">
        <w:rPr>
          <w:rFonts w:ascii="Arial" w:hAnsi="Arial" w:cs="Arial"/>
          <w:sz w:val="24"/>
          <w:szCs w:val="24"/>
        </w:rPr>
        <w:t>credits</w:t>
      </w:r>
      <w:r w:rsidRPr="007D23AA">
        <w:rPr>
          <w:rFonts w:ascii="Arial" w:hAnsi="Arial" w:cs="Arial"/>
          <w:sz w:val="24"/>
          <w:szCs w:val="24"/>
        </w:rPr>
        <w:t xml:space="preserve"> can be </w:t>
      </w:r>
      <w:r w:rsidRPr="007D23AA">
        <w:rPr>
          <w:rFonts w:ascii="Arial" w:hAnsi="Arial" w:cs="Arial"/>
          <w:b/>
          <w:bCs/>
          <w:i/>
          <w:iCs/>
          <w:sz w:val="24"/>
          <w:szCs w:val="24"/>
        </w:rPr>
        <w:t>allocated</w:t>
      </w:r>
      <w:r w:rsidRPr="007D23AA">
        <w:rPr>
          <w:rFonts w:ascii="Arial" w:hAnsi="Arial" w:cs="Arial"/>
          <w:sz w:val="24"/>
          <w:szCs w:val="24"/>
        </w:rPr>
        <w:t xml:space="preserve"> from the reserve of </w:t>
      </w:r>
      <w:r w:rsidR="00A21605" w:rsidRPr="007D23AA">
        <w:rPr>
          <w:rFonts w:ascii="Arial" w:hAnsi="Arial" w:cs="Arial"/>
          <w:sz w:val="24"/>
          <w:szCs w:val="24"/>
        </w:rPr>
        <w:t xml:space="preserve">any </w:t>
      </w:r>
      <w:r w:rsidRPr="007D23AA">
        <w:rPr>
          <w:rFonts w:ascii="Arial" w:hAnsi="Arial" w:cs="Arial"/>
          <w:sz w:val="24"/>
          <w:szCs w:val="24"/>
        </w:rPr>
        <w:t>mining lands (be the lands a mining claim, or another type of mining land) to satisfy the annual units of assessment work required for a contiguous mining claim.</w:t>
      </w:r>
    </w:p>
    <w:p w14:paraId="0BE3CE29" w14:textId="72648CB8" w:rsidR="008C73C3" w:rsidRPr="001228DC" w:rsidRDefault="005617CD" w:rsidP="001228DC">
      <w:pPr>
        <w:rPr>
          <w:rFonts w:ascii="Arial" w:hAnsi="Arial" w:cs="Arial"/>
          <w:sz w:val="24"/>
          <w:szCs w:val="24"/>
        </w:rPr>
      </w:pPr>
      <w:r w:rsidRPr="001228DC">
        <w:rPr>
          <w:rFonts w:ascii="Arial" w:hAnsi="Arial" w:cs="Arial"/>
          <w:sz w:val="24"/>
          <w:szCs w:val="24"/>
        </w:rPr>
        <w:t>The</w:t>
      </w:r>
      <w:r w:rsidR="00132737" w:rsidRPr="001228DC">
        <w:rPr>
          <w:rFonts w:ascii="Arial" w:hAnsi="Arial" w:cs="Arial"/>
          <w:sz w:val="24"/>
          <w:szCs w:val="24"/>
        </w:rPr>
        <w:t xml:space="preserve"> MLAS application </w:t>
      </w:r>
      <w:r w:rsidRPr="001228DC">
        <w:rPr>
          <w:rFonts w:ascii="Arial" w:hAnsi="Arial" w:cs="Arial"/>
          <w:sz w:val="24"/>
          <w:szCs w:val="24"/>
        </w:rPr>
        <w:t xml:space="preserve">shall be used </w:t>
      </w:r>
      <w:r w:rsidR="00132737" w:rsidRPr="001228DC">
        <w:rPr>
          <w:rFonts w:ascii="Arial" w:hAnsi="Arial" w:cs="Arial"/>
          <w:sz w:val="24"/>
          <w:szCs w:val="24"/>
        </w:rPr>
        <w:t xml:space="preserve">to </w:t>
      </w:r>
      <w:r w:rsidR="00B60485" w:rsidRPr="001228DC">
        <w:rPr>
          <w:rFonts w:ascii="Arial" w:hAnsi="Arial" w:cs="Arial"/>
          <w:sz w:val="24"/>
          <w:szCs w:val="24"/>
        </w:rPr>
        <w:t>distribute</w:t>
      </w:r>
      <w:r w:rsidR="008C73C3" w:rsidRPr="001228DC">
        <w:rPr>
          <w:rFonts w:ascii="Arial" w:hAnsi="Arial" w:cs="Arial"/>
          <w:sz w:val="24"/>
          <w:szCs w:val="24"/>
        </w:rPr>
        <w:t xml:space="preserve"> and apply </w:t>
      </w:r>
      <w:r w:rsidR="00132737" w:rsidRPr="001228DC">
        <w:rPr>
          <w:rFonts w:ascii="Arial" w:hAnsi="Arial" w:cs="Arial"/>
          <w:sz w:val="24"/>
          <w:szCs w:val="24"/>
        </w:rPr>
        <w:t xml:space="preserve">assessment work </w:t>
      </w:r>
      <w:r w:rsidR="00A81F90" w:rsidRPr="001228DC">
        <w:rPr>
          <w:rFonts w:ascii="Arial" w:hAnsi="Arial" w:cs="Arial"/>
          <w:sz w:val="24"/>
          <w:szCs w:val="24"/>
        </w:rPr>
        <w:t>credits</w:t>
      </w:r>
      <w:r w:rsidR="005505FD" w:rsidRPr="001228DC">
        <w:rPr>
          <w:rFonts w:ascii="Arial" w:hAnsi="Arial" w:cs="Arial"/>
          <w:sz w:val="24"/>
          <w:szCs w:val="24"/>
        </w:rPr>
        <w:t xml:space="preserve">. </w:t>
      </w:r>
      <w:r w:rsidR="00B80193" w:rsidRPr="001228DC">
        <w:rPr>
          <w:rFonts w:ascii="Arial" w:hAnsi="Arial" w:cs="Arial"/>
          <w:sz w:val="24"/>
          <w:szCs w:val="24"/>
        </w:rPr>
        <w:t xml:space="preserve"> </w:t>
      </w:r>
      <w:r w:rsidR="009E1832" w:rsidRPr="001228DC">
        <w:rPr>
          <w:rFonts w:ascii="Arial" w:hAnsi="Arial" w:cs="Arial"/>
          <w:sz w:val="24"/>
          <w:szCs w:val="24"/>
        </w:rPr>
        <w:t>The Ministry has prepared directive</w:t>
      </w:r>
      <w:r w:rsidR="00FD5E1A" w:rsidRPr="001228DC">
        <w:rPr>
          <w:rFonts w:ascii="Arial" w:hAnsi="Arial" w:cs="Arial"/>
          <w:sz w:val="24"/>
          <w:szCs w:val="24"/>
        </w:rPr>
        <w:t>s</w:t>
      </w:r>
      <w:r w:rsidR="009E1832" w:rsidRPr="001228DC">
        <w:rPr>
          <w:rFonts w:ascii="Arial" w:hAnsi="Arial" w:cs="Arial"/>
          <w:sz w:val="24"/>
          <w:szCs w:val="24"/>
        </w:rPr>
        <w:t xml:space="preserve"> pertaining to </w:t>
      </w:r>
      <w:r w:rsidR="00A21605" w:rsidRPr="001228DC">
        <w:rPr>
          <w:rFonts w:ascii="Arial" w:hAnsi="Arial" w:cs="Arial"/>
          <w:sz w:val="24"/>
          <w:szCs w:val="24"/>
        </w:rPr>
        <w:t xml:space="preserve">distributing </w:t>
      </w:r>
      <w:r w:rsidR="008C73C3" w:rsidRPr="001228DC">
        <w:rPr>
          <w:rFonts w:ascii="Arial" w:hAnsi="Arial" w:cs="Arial"/>
          <w:sz w:val="24"/>
          <w:szCs w:val="24"/>
        </w:rPr>
        <w:t xml:space="preserve">and applying </w:t>
      </w:r>
      <w:r w:rsidR="009E1832" w:rsidRPr="001228DC">
        <w:rPr>
          <w:rFonts w:ascii="Arial" w:hAnsi="Arial" w:cs="Arial"/>
          <w:sz w:val="24"/>
          <w:szCs w:val="24"/>
        </w:rPr>
        <w:t xml:space="preserve">assessment work </w:t>
      </w:r>
      <w:r w:rsidR="00A81F90" w:rsidRPr="001228DC">
        <w:rPr>
          <w:rFonts w:ascii="Arial" w:hAnsi="Arial" w:cs="Arial"/>
          <w:sz w:val="24"/>
          <w:szCs w:val="24"/>
        </w:rPr>
        <w:t>credits</w:t>
      </w:r>
      <w:r w:rsidR="009E1832" w:rsidRPr="001228DC">
        <w:rPr>
          <w:rFonts w:ascii="Arial" w:hAnsi="Arial" w:cs="Arial"/>
          <w:sz w:val="24"/>
          <w:szCs w:val="24"/>
        </w:rPr>
        <w:t>. The</w:t>
      </w:r>
      <w:r w:rsidR="00FD5E1A" w:rsidRPr="001228DC">
        <w:rPr>
          <w:rFonts w:ascii="Arial" w:hAnsi="Arial" w:cs="Arial"/>
          <w:sz w:val="24"/>
          <w:szCs w:val="24"/>
        </w:rPr>
        <w:t xml:space="preserve"> do</w:t>
      </w:r>
      <w:r w:rsidR="009E1832" w:rsidRPr="001228DC">
        <w:rPr>
          <w:rFonts w:ascii="Arial" w:hAnsi="Arial" w:cs="Arial"/>
          <w:sz w:val="24"/>
          <w:szCs w:val="24"/>
        </w:rPr>
        <w:t>cument</w:t>
      </w:r>
      <w:r w:rsidR="00844041" w:rsidRPr="001228DC">
        <w:rPr>
          <w:rFonts w:ascii="Arial" w:hAnsi="Arial" w:cs="Arial"/>
          <w:sz w:val="24"/>
          <w:szCs w:val="24"/>
        </w:rPr>
        <w:t>s</w:t>
      </w:r>
      <w:r w:rsidR="009E1832" w:rsidRPr="001228DC">
        <w:rPr>
          <w:rFonts w:ascii="Arial" w:hAnsi="Arial" w:cs="Arial"/>
          <w:sz w:val="24"/>
          <w:szCs w:val="24"/>
        </w:rPr>
        <w:t xml:space="preserve"> </w:t>
      </w:r>
      <w:r w:rsidR="00FD5E1A" w:rsidRPr="001228DC">
        <w:rPr>
          <w:rFonts w:ascii="Arial" w:hAnsi="Arial" w:cs="Arial"/>
          <w:sz w:val="24"/>
          <w:szCs w:val="24"/>
        </w:rPr>
        <w:t>are</w:t>
      </w:r>
      <w:r w:rsidR="009E1832" w:rsidRPr="001228DC">
        <w:rPr>
          <w:rFonts w:ascii="Arial" w:hAnsi="Arial" w:cs="Arial"/>
          <w:sz w:val="24"/>
          <w:szCs w:val="24"/>
        </w:rPr>
        <w:t xml:space="preserve"> available through the Ministry’s website</w:t>
      </w:r>
      <w:r w:rsidR="005C6A7B" w:rsidRPr="001228DC">
        <w:rPr>
          <w:rFonts w:ascii="Arial" w:hAnsi="Arial" w:cs="Arial"/>
          <w:sz w:val="24"/>
          <w:szCs w:val="24"/>
        </w:rPr>
        <w:t xml:space="preserve">: </w:t>
      </w:r>
      <w:hyperlink r:id="rId12" w:history="1">
        <w:r w:rsidR="00124B6E" w:rsidRPr="001228DC">
          <w:rPr>
            <w:rStyle w:val="Hyperlink"/>
            <w:rFonts w:ascii="Arial" w:hAnsi="Arial" w:cs="Arial"/>
            <w:sz w:val="24"/>
            <w:szCs w:val="24"/>
          </w:rPr>
          <w:t>Distribute Approved Credit</w:t>
        </w:r>
      </w:hyperlink>
      <w:r w:rsidR="00124B6E" w:rsidRPr="001228DC">
        <w:rPr>
          <w:rFonts w:ascii="Arial" w:hAnsi="Arial" w:cs="Arial"/>
          <w:color w:val="0070C0"/>
          <w:sz w:val="24"/>
          <w:szCs w:val="24"/>
        </w:rPr>
        <w:t xml:space="preserve">, </w:t>
      </w:r>
      <w:hyperlink r:id="rId13" w:history="1">
        <w:r w:rsidR="00FD5E1A" w:rsidRPr="001228DC">
          <w:rPr>
            <w:rStyle w:val="Hyperlink"/>
            <w:rFonts w:ascii="Arial" w:hAnsi="Arial" w:cs="Arial"/>
            <w:sz w:val="24"/>
            <w:szCs w:val="24"/>
          </w:rPr>
          <w:t>Submit a Pending Distribution</w:t>
        </w:r>
      </w:hyperlink>
      <w:r w:rsidR="00FD5E1A" w:rsidRPr="001228DC">
        <w:rPr>
          <w:rFonts w:ascii="Arial" w:hAnsi="Arial" w:cs="Arial"/>
          <w:sz w:val="24"/>
          <w:szCs w:val="24"/>
        </w:rPr>
        <w:t xml:space="preserve"> and </w:t>
      </w:r>
      <w:hyperlink r:id="rId14" w:history="1">
        <w:r w:rsidR="00FD5E1A" w:rsidRPr="001228DC">
          <w:rPr>
            <w:rStyle w:val="Hyperlink"/>
            <w:rFonts w:ascii="Arial" w:hAnsi="Arial" w:cs="Arial"/>
            <w:sz w:val="24"/>
            <w:szCs w:val="24"/>
          </w:rPr>
          <w:t>Revise Pending Distribution</w:t>
        </w:r>
      </w:hyperlink>
      <w:r w:rsidR="00FD5E1A" w:rsidRPr="001228DC">
        <w:rPr>
          <w:rFonts w:ascii="Arial" w:hAnsi="Arial" w:cs="Arial"/>
          <w:sz w:val="24"/>
          <w:szCs w:val="24"/>
        </w:rPr>
        <w:t>.</w:t>
      </w:r>
      <w:r w:rsidR="002B2156" w:rsidRPr="001228DC">
        <w:rPr>
          <w:rFonts w:ascii="Arial" w:hAnsi="Arial" w:cs="Arial"/>
          <w:sz w:val="24"/>
          <w:szCs w:val="24"/>
        </w:rPr>
        <w:t xml:space="preserve"> </w:t>
      </w:r>
      <w:r w:rsidR="008C73C3" w:rsidRPr="001228DC">
        <w:rPr>
          <w:rFonts w:ascii="Arial" w:hAnsi="Arial" w:cs="Arial"/>
          <w:sz w:val="24"/>
          <w:szCs w:val="24"/>
        </w:rPr>
        <w:t xml:space="preserve"> </w:t>
      </w:r>
    </w:p>
    <w:p w14:paraId="1AD92236" w14:textId="282F6979" w:rsidR="009E1832" w:rsidRPr="001228DC" w:rsidRDefault="008C73C3" w:rsidP="001228DC">
      <w:pPr>
        <w:rPr>
          <w:rFonts w:ascii="Arial" w:hAnsi="Arial" w:cs="Arial"/>
          <w:sz w:val="24"/>
          <w:szCs w:val="24"/>
        </w:rPr>
      </w:pPr>
      <w:r w:rsidRPr="001228DC">
        <w:rPr>
          <w:rFonts w:ascii="Arial" w:hAnsi="Arial" w:cs="Arial"/>
          <w:sz w:val="24"/>
          <w:szCs w:val="24"/>
        </w:rPr>
        <w:t xml:space="preserve">In certain circumstances, a claim holder may make </w:t>
      </w:r>
      <w:r w:rsidR="007220B3" w:rsidRPr="001228DC">
        <w:rPr>
          <w:rFonts w:ascii="Arial" w:hAnsi="Arial" w:cs="Arial"/>
          <w:sz w:val="24"/>
          <w:szCs w:val="24"/>
        </w:rPr>
        <w:t>a</w:t>
      </w:r>
      <w:r w:rsidR="00624942" w:rsidRPr="001228DC">
        <w:rPr>
          <w:rFonts w:ascii="Arial" w:hAnsi="Arial" w:cs="Arial"/>
          <w:sz w:val="24"/>
          <w:szCs w:val="24"/>
        </w:rPr>
        <w:t xml:space="preserve"> </w:t>
      </w:r>
      <w:r w:rsidR="007220B3" w:rsidRPr="001228DC">
        <w:rPr>
          <w:rFonts w:ascii="Arial" w:hAnsi="Arial" w:cs="Arial"/>
          <w:b/>
          <w:bCs/>
          <w:i/>
          <w:iCs/>
          <w:sz w:val="24"/>
          <w:szCs w:val="24"/>
        </w:rPr>
        <w:t>payment</w:t>
      </w:r>
      <w:r w:rsidRPr="001228DC">
        <w:rPr>
          <w:rFonts w:ascii="Arial" w:hAnsi="Arial" w:cs="Arial"/>
          <w:b/>
          <w:bCs/>
          <w:i/>
          <w:iCs/>
          <w:sz w:val="24"/>
          <w:szCs w:val="24"/>
        </w:rPr>
        <w:t xml:space="preserve"> in place</w:t>
      </w:r>
      <w:r w:rsidRPr="001228DC">
        <w:rPr>
          <w:rFonts w:ascii="Arial" w:hAnsi="Arial" w:cs="Arial"/>
          <w:sz w:val="24"/>
          <w:szCs w:val="24"/>
        </w:rPr>
        <w:t xml:space="preserve"> </w:t>
      </w:r>
      <w:r w:rsidRPr="001228DC">
        <w:rPr>
          <w:rFonts w:ascii="Arial" w:hAnsi="Arial" w:cs="Arial"/>
          <w:sz w:val="24"/>
          <w:szCs w:val="24"/>
          <w:shd w:val="clear" w:color="auto" w:fill="FFFFFF"/>
        </w:rPr>
        <w:t xml:space="preserve">of </w:t>
      </w:r>
      <w:r w:rsidR="007220B3" w:rsidRPr="001228DC">
        <w:rPr>
          <w:rFonts w:ascii="Arial" w:hAnsi="Arial" w:cs="Arial"/>
          <w:sz w:val="24"/>
          <w:szCs w:val="24"/>
          <w:shd w:val="clear" w:color="auto" w:fill="FFFFFF"/>
        </w:rPr>
        <w:t xml:space="preserve">performing </w:t>
      </w:r>
      <w:r w:rsidRPr="001228DC">
        <w:rPr>
          <w:rFonts w:ascii="Arial" w:hAnsi="Arial" w:cs="Arial"/>
          <w:sz w:val="24"/>
          <w:szCs w:val="24"/>
          <w:shd w:val="clear" w:color="auto" w:fill="FFFFFF"/>
        </w:rPr>
        <w:t xml:space="preserve">assessment work </w:t>
      </w:r>
      <w:r w:rsidR="007220B3" w:rsidRPr="001228DC">
        <w:rPr>
          <w:rFonts w:ascii="Arial" w:hAnsi="Arial" w:cs="Arial"/>
          <w:sz w:val="24"/>
          <w:szCs w:val="24"/>
        </w:rPr>
        <w:t>required for a mining claim.</w:t>
      </w:r>
      <w:r w:rsidRPr="001228DC">
        <w:rPr>
          <w:rFonts w:ascii="Arial" w:hAnsi="Arial" w:cs="Arial"/>
          <w:sz w:val="24"/>
          <w:szCs w:val="24"/>
        </w:rPr>
        <w:t xml:space="preserve"> A payment in place shall be made to the Minister on or before the due date of the mining claim.  </w:t>
      </w:r>
      <w:r w:rsidR="007220B3" w:rsidRPr="001228DC">
        <w:rPr>
          <w:rFonts w:ascii="Arial" w:hAnsi="Arial" w:cs="Arial"/>
          <w:sz w:val="24"/>
          <w:szCs w:val="24"/>
        </w:rPr>
        <w:t>Payment</w:t>
      </w:r>
      <w:r w:rsidR="00EA0355" w:rsidRPr="001228DC">
        <w:rPr>
          <w:rFonts w:ascii="Arial" w:hAnsi="Arial" w:cs="Arial"/>
          <w:sz w:val="24"/>
          <w:szCs w:val="24"/>
        </w:rPr>
        <w:t xml:space="preserve">s must be submitted via </w:t>
      </w:r>
      <w:r w:rsidRPr="001228DC">
        <w:rPr>
          <w:rFonts w:ascii="Arial" w:hAnsi="Arial" w:cs="Arial"/>
          <w:sz w:val="24"/>
          <w:szCs w:val="24"/>
        </w:rPr>
        <w:lastRenderedPageBreak/>
        <w:t>MLAS</w:t>
      </w:r>
      <w:r w:rsidR="00EA0355" w:rsidRPr="001228DC">
        <w:rPr>
          <w:rFonts w:ascii="Arial" w:hAnsi="Arial" w:cs="Arial"/>
          <w:sz w:val="24"/>
          <w:szCs w:val="24"/>
        </w:rPr>
        <w:t xml:space="preserve">; claim holders can reference the </w:t>
      </w:r>
      <w:hyperlink r:id="rId15" w:history="1">
        <w:r w:rsidR="007220B3" w:rsidRPr="001228DC">
          <w:rPr>
            <w:rStyle w:val="Hyperlink"/>
            <w:rFonts w:ascii="Arial" w:hAnsi="Arial" w:cs="Arial"/>
            <w:sz w:val="24"/>
            <w:szCs w:val="24"/>
          </w:rPr>
          <w:t>Payment</w:t>
        </w:r>
        <w:r w:rsidRPr="001228DC">
          <w:rPr>
            <w:rStyle w:val="Hyperlink"/>
            <w:rFonts w:ascii="Arial" w:hAnsi="Arial" w:cs="Arial"/>
            <w:sz w:val="24"/>
            <w:szCs w:val="24"/>
          </w:rPr>
          <w:t xml:space="preserve"> in Place</w:t>
        </w:r>
      </w:hyperlink>
      <w:r w:rsidRPr="001228DC">
        <w:rPr>
          <w:rFonts w:ascii="Arial" w:hAnsi="Arial" w:cs="Arial"/>
          <w:sz w:val="24"/>
          <w:szCs w:val="24"/>
        </w:rPr>
        <w:t xml:space="preserve"> directive available </w:t>
      </w:r>
      <w:r w:rsidR="00EA0355" w:rsidRPr="001228DC">
        <w:rPr>
          <w:rFonts w:ascii="Arial" w:hAnsi="Arial" w:cs="Arial"/>
          <w:sz w:val="24"/>
          <w:szCs w:val="24"/>
        </w:rPr>
        <w:t xml:space="preserve">on our website.  </w:t>
      </w:r>
    </w:p>
    <w:p w14:paraId="5F0D4457" w14:textId="78FC17E1" w:rsidR="00335BA6" w:rsidRPr="00506842" w:rsidRDefault="004B2415" w:rsidP="00506842">
      <w:pPr>
        <w:pStyle w:val="Heading2"/>
        <w:spacing w:after="240"/>
        <w:rPr>
          <w:sz w:val="28"/>
          <w:szCs w:val="24"/>
        </w:rPr>
      </w:pPr>
      <w:bookmarkStart w:id="2" w:name="_Toc92365367"/>
      <w:r w:rsidRPr="00506842">
        <w:rPr>
          <w:sz w:val="28"/>
          <w:szCs w:val="24"/>
        </w:rPr>
        <w:t xml:space="preserve">Limit on </w:t>
      </w:r>
      <w:r w:rsidR="00A21605" w:rsidRPr="00506842">
        <w:rPr>
          <w:sz w:val="28"/>
          <w:szCs w:val="24"/>
        </w:rPr>
        <w:t xml:space="preserve">the </w:t>
      </w:r>
      <w:r w:rsidR="00A752CD" w:rsidRPr="00506842">
        <w:rPr>
          <w:sz w:val="28"/>
          <w:szCs w:val="24"/>
        </w:rPr>
        <w:t>A</w:t>
      </w:r>
      <w:r w:rsidR="00A21605" w:rsidRPr="00506842">
        <w:rPr>
          <w:sz w:val="28"/>
          <w:szCs w:val="24"/>
        </w:rPr>
        <w:t xml:space="preserve">mount of Assessment Work </w:t>
      </w:r>
      <w:r w:rsidR="00A81F90" w:rsidRPr="00506842">
        <w:rPr>
          <w:sz w:val="28"/>
          <w:szCs w:val="24"/>
        </w:rPr>
        <w:t>Credits</w:t>
      </w:r>
      <w:r w:rsidR="00A21605" w:rsidRPr="00506842">
        <w:rPr>
          <w:sz w:val="28"/>
          <w:szCs w:val="24"/>
        </w:rPr>
        <w:t xml:space="preserve"> </w:t>
      </w:r>
      <w:r w:rsidR="0062351F" w:rsidRPr="00506842">
        <w:rPr>
          <w:sz w:val="28"/>
          <w:szCs w:val="24"/>
        </w:rPr>
        <w:t xml:space="preserve">a Claim </w:t>
      </w:r>
      <w:r w:rsidR="00A752CD" w:rsidRPr="00506842">
        <w:rPr>
          <w:sz w:val="28"/>
          <w:szCs w:val="24"/>
        </w:rPr>
        <w:t>C</w:t>
      </w:r>
      <w:r w:rsidR="0062351F" w:rsidRPr="00506842">
        <w:rPr>
          <w:sz w:val="28"/>
          <w:szCs w:val="24"/>
        </w:rPr>
        <w:t>an Receive</w:t>
      </w:r>
      <w:bookmarkEnd w:id="2"/>
    </w:p>
    <w:p w14:paraId="0E0E23F1" w14:textId="2E00F57B" w:rsidR="00C47763" w:rsidRPr="001228DC" w:rsidRDefault="009E028D" w:rsidP="001228DC">
      <w:pPr>
        <w:rPr>
          <w:rFonts w:ascii="Arial" w:hAnsi="Arial" w:cs="Arial"/>
          <w:sz w:val="24"/>
          <w:szCs w:val="24"/>
          <w:lang w:val="en" w:eastAsia="en-CA"/>
        </w:rPr>
      </w:pPr>
      <w:r w:rsidRPr="001228DC">
        <w:rPr>
          <w:rFonts w:ascii="Arial" w:hAnsi="Arial" w:cs="Arial"/>
          <w:sz w:val="24"/>
          <w:szCs w:val="24"/>
        </w:rPr>
        <w:t xml:space="preserve">The amount of assessment work </w:t>
      </w:r>
      <w:r w:rsidR="00A81F90" w:rsidRPr="001228DC">
        <w:rPr>
          <w:rFonts w:ascii="Arial" w:hAnsi="Arial" w:cs="Arial"/>
          <w:sz w:val="24"/>
          <w:szCs w:val="24"/>
        </w:rPr>
        <w:t>credits</w:t>
      </w:r>
      <w:r w:rsidRPr="001228DC">
        <w:rPr>
          <w:rFonts w:ascii="Arial" w:hAnsi="Arial" w:cs="Arial"/>
          <w:sz w:val="24"/>
          <w:szCs w:val="24"/>
        </w:rPr>
        <w:t xml:space="preserve"> that </w:t>
      </w:r>
      <w:r w:rsidR="00777FA6" w:rsidRPr="001228DC">
        <w:rPr>
          <w:rFonts w:ascii="Arial" w:hAnsi="Arial" w:cs="Arial"/>
          <w:sz w:val="24"/>
          <w:szCs w:val="24"/>
        </w:rPr>
        <w:t xml:space="preserve">a mining claim can receive is the amount </w:t>
      </w:r>
      <w:r w:rsidR="00D35DA8" w:rsidRPr="001228DC">
        <w:rPr>
          <w:rFonts w:ascii="Arial" w:hAnsi="Arial" w:cs="Arial"/>
          <w:sz w:val="24"/>
          <w:szCs w:val="24"/>
        </w:rPr>
        <w:t xml:space="preserve">required to satisfy </w:t>
      </w:r>
      <w:r w:rsidR="0051783A" w:rsidRPr="001228DC">
        <w:rPr>
          <w:rFonts w:ascii="Arial" w:hAnsi="Arial" w:cs="Arial"/>
          <w:sz w:val="24"/>
          <w:szCs w:val="24"/>
          <w:lang w:val="en" w:eastAsia="en-CA"/>
        </w:rPr>
        <w:t xml:space="preserve">the </w:t>
      </w:r>
      <w:r w:rsidR="00923E53" w:rsidRPr="001228DC">
        <w:rPr>
          <w:rFonts w:ascii="Arial" w:hAnsi="Arial" w:cs="Arial"/>
          <w:sz w:val="24"/>
          <w:szCs w:val="24"/>
          <w:lang w:val="en" w:eastAsia="en-CA"/>
        </w:rPr>
        <w:t xml:space="preserve">current </w:t>
      </w:r>
      <w:r w:rsidR="0051783A" w:rsidRPr="001228DC">
        <w:rPr>
          <w:rFonts w:ascii="Arial" w:hAnsi="Arial" w:cs="Arial"/>
          <w:sz w:val="24"/>
          <w:szCs w:val="24"/>
          <w:lang w:val="en" w:eastAsia="en-CA"/>
        </w:rPr>
        <w:t xml:space="preserve">annual unit of assessment work and the five subsequent </w:t>
      </w:r>
      <w:r w:rsidR="00923E53" w:rsidRPr="001228DC">
        <w:rPr>
          <w:rFonts w:ascii="Arial" w:hAnsi="Arial" w:cs="Arial"/>
          <w:sz w:val="24"/>
          <w:szCs w:val="24"/>
          <w:lang w:val="en" w:eastAsia="en-CA"/>
        </w:rPr>
        <w:t>annual units.</w:t>
      </w:r>
    </w:p>
    <w:p w14:paraId="6CCF0858" w14:textId="79B0ED23" w:rsidR="008F1D38" w:rsidRPr="00506842" w:rsidRDefault="009E028D" w:rsidP="00506842">
      <w:pPr>
        <w:pStyle w:val="Heading2"/>
        <w:spacing w:after="240"/>
        <w:rPr>
          <w:rFonts w:eastAsiaTheme="minorEastAsia"/>
          <w:sz w:val="28"/>
          <w:szCs w:val="24"/>
          <w:lang w:val="en" w:eastAsia="en-CA"/>
        </w:rPr>
      </w:pPr>
      <w:bookmarkStart w:id="3" w:name="_Toc92365368"/>
      <w:r w:rsidRPr="00506842">
        <w:rPr>
          <w:rFonts w:eastAsiaTheme="minorEastAsia"/>
          <w:sz w:val="28"/>
          <w:szCs w:val="24"/>
          <w:lang w:val="en" w:eastAsia="en-CA"/>
        </w:rPr>
        <w:t xml:space="preserve">Limit on the </w:t>
      </w:r>
      <w:r w:rsidR="00F652D9" w:rsidRPr="00506842">
        <w:rPr>
          <w:rFonts w:eastAsiaTheme="minorEastAsia"/>
          <w:sz w:val="28"/>
          <w:szCs w:val="24"/>
          <w:lang w:val="en" w:eastAsia="en-CA"/>
        </w:rPr>
        <w:t>A</w:t>
      </w:r>
      <w:r w:rsidRPr="00506842">
        <w:rPr>
          <w:rFonts w:eastAsiaTheme="minorEastAsia"/>
          <w:sz w:val="28"/>
          <w:szCs w:val="24"/>
          <w:lang w:val="en" w:eastAsia="en-CA"/>
        </w:rPr>
        <w:t xml:space="preserve">mount of Assessment Work </w:t>
      </w:r>
      <w:r w:rsidR="00A81F90" w:rsidRPr="00506842">
        <w:rPr>
          <w:rFonts w:eastAsiaTheme="minorEastAsia"/>
          <w:sz w:val="28"/>
          <w:szCs w:val="24"/>
          <w:lang w:val="en" w:eastAsia="en-CA"/>
        </w:rPr>
        <w:t>Credits</w:t>
      </w:r>
      <w:r w:rsidRPr="00506842">
        <w:rPr>
          <w:rFonts w:eastAsiaTheme="minorEastAsia"/>
          <w:sz w:val="28"/>
          <w:szCs w:val="24"/>
          <w:lang w:val="en" w:eastAsia="en-CA"/>
        </w:rPr>
        <w:t xml:space="preserve"> that </w:t>
      </w:r>
      <w:r w:rsidR="00F652D9" w:rsidRPr="00506842">
        <w:rPr>
          <w:rFonts w:eastAsiaTheme="minorEastAsia"/>
          <w:sz w:val="28"/>
          <w:szCs w:val="24"/>
          <w:lang w:val="en" w:eastAsia="en-CA"/>
        </w:rPr>
        <w:t>C</w:t>
      </w:r>
      <w:r w:rsidRPr="00506842">
        <w:rPr>
          <w:rFonts w:eastAsiaTheme="minorEastAsia"/>
          <w:sz w:val="28"/>
          <w:szCs w:val="24"/>
          <w:lang w:val="en" w:eastAsia="en-CA"/>
        </w:rPr>
        <w:t xml:space="preserve">an </w:t>
      </w:r>
      <w:r w:rsidR="00F652D9" w:rsidRPr="00506842">
        <w:rPr>
          <w:rFonts w:eastAsiaTheme="minorEastAsia"/>
          <w:sz w:val="28"/>
          <w:szCs w:val="24"/>
          <w:lang w:val="en" w:eastAsia="en-CA"/>
        </w:rPr>
        <w:t>B</w:t>
      </w:r>
      <w:r w:rsidRPr="00506842">
        <w:rPr>
          <w:rFonts w:eastAsiaTheme="minorEastAsia"/>
          <w:sz w:val="28"/>
          <w:szCs w:val="24"/>
          <w:lang w:val="en" w:eastAsia="en-CA"/>
        </w:rPr>
        <w:t xml:space="preserve">e </w:t>
      </w:r>
      <w:r w:rsidR="00A752CD" w:rsidRPr="00506842">
        <w:rPr>
          <w:rFonts w:eastAsiaTheme="minorEastAsia"/>
          <w:sz w:val="28"/>
          <w:szCs w:val="24"/>
          <w:lang w:val="en" w:eastAsia="en-CA"/>
        </w:rPr>
        <w:t>Allocated</w:t>
      </w:r>
      <w:r w:rsidRPr="00506842">
        <w:rPr>
          <w:rFonts w:eastAsiaTheme="minorEastAsia"/>
          <w:sz w:val="28"/>
          <w:szCs w:val="24"/>
          <w:lang w:val="en" w:eastAsia="en-CA"/>
        </w:rPr>
        <w:t xml:space="preserve"> from </w:t>
      </w:r>
      <w:r w:rsidR="00F652D9" w:rsidRPr="00506842">
        <w:rPr>
          <w:rFonts w:eastAsiaTheme="minorEastAsia"/>
          <w:sz w:val="28"/>
          <w:szCs w:val="24"/>
          <w:lang w:val="en" w:eastAsia="en-CA"/>
        </w:rPr>
        <w:t>M</w:t>
      </w:r>
      <w:r w:rsidRPr="00506842">
        <w:rPr>
          <w:rFonts w:eastAsiaTheme="minorEastAsia"/>
          <w:sz w:val="28"/>
          <w:szCs w:val="24"/>
          <w:lang w:val="en" w:eastAsia="en-CA"/>
        </w:rPr>
        <w:t xml:space="preserve">ining </w:t>
      </w:r>
      <w:r w:rsidR="00F652D9" w:rsidRPr="00506842">
        <w:rPr>
          <w:rFonts w:eastAsiaTheme="minorEastAsia"/>
          <w:sz w:val="28"/>
          <w:szCs w:val="24"/>
          <w:lang w:val="en" w:eastAsia="en-CA"/>
        </w:rPr>
        <w:t>L</w:t>
      </w:r>
      <w:r w:rsidRPr="00506842">
        <w:rPr>
          <w:rFonts w:eastAsiaTheme="minorEastAsia"/>
          <w:sz w:val="28"/>
          <w:szCs w:val="24"/>
          <w:lang w:val="en" w:eastAsia="en-CA"/>
        </w:rPr>
        <w:t>ands</w:t>
      </w:r>
      <w:bookmarkEnd w:id="3"/>
    </w:p>
    <w:p w14:paraId="7522B523" w14:textId="23F45890" w:rsidR="009E028D" w:rsidRPr="001228DC" w:rsidRDefault="001C0068" w:rsidP="001228DC">
      <w:pPr>
        <w:rPr>
          <w:rFonts w:ascii="Arial" w:hAnsi="Arial" w:cs="Arial"/>
          <w:sz w:val="24"/>
          <w:szCs w:val="24"/>
        </w:rPr>
      </w:pPr>
      <w:r w:rsidRPr="001228DC">
        <w:rPr>
          <w:rFonts w:ascii="Arial" w:hAnsi="Arial" w:cs="Arial"/>
          <w:sz w:val="24"/>
          <w:szCs w:val="24"/>
        </w:rPr>
        <w:t xml:space="preserve">The maximum amount of assessment work </w:t>
      </w:r>
      <w:r w:rsidR="00A81F90" w:rsidRPr="001228DC">
        <w:rPr>
          <w:rFonts w:ascii="Arial" w:hAnsi="Arial" w:cs="Arial"/>
          <w:sz w:val="24"/>
          <w:szCs w:val="24"/>
        </w:rPr>
        <w:t>credits</w:t>
      </w:r>
      <w:r w:rsidRPr="001228DC">
        <w:rPr>
          <w:rFonts w:ascii="Arial" w:hAnsi="Arial" w:cs="Arial"/>
          <w:sz w:val="24"/>
          <w:szCs w:val="24"/>
        </w:rPr>
        <w:t xml:space="preserve"> that may be </w:t>
      </w:r>
      <w:r w:rsidR="00A752CD" w:rsidRPr="001228DC">
        <w:rPr>
          <w:rFonts w:ascii="Arial" w:hAnsi="Arial" w:cs="Arial"/>
          <w:sz w:val="24"/>
          <w:szCs w:val="24"/>
        </w:rPr>
        <w:t>allocated</w:t>
      </w:r>
      <w:r w:rsidRPr="001228DC">
        <w:rPr>
          <w:rFonts w:ascii="Arial" w:hAnsi="Arial" w:cs="Arial"/>
          <w:sz w:val="24"/>
          <w:szCs w:val="24"/>
        </w:rPr>
        <w:t xml:space="preserve"> from the reserve of </w:t>
      </w:r>
      <w:r w:rsidR="009E028D" w:rsidRPr="001228DC">
        <w:rPr>
          <w:rFonts w:ascii="Arial" w:hAnsi="Arial" w:cs="Arial"/>
          <w:sz w:val="24"/>
          <w:szCs w:val="24"/>
        </w:rPr>
        <w:t>any mining lands are set based on the type of tenure involved, and the size of the mining lands.</w:t>
      </w:r>
    </w:p>
    <w:p w14:paraId="0409BF5F" w14:textId="2664A70D" w:rsidR="007321B4" w:rsidRPr="00A33E90" w:rsidRDefault="009E028D" w:rsidP="001228DC">
      <w:pPr>
        <w:rPr>
          <w:rFonts w:ascii="Arial" w:hAnsi="Arial" w:cs="Arial"/>
          <w:sz w:val="24"/>
          <w:szCs w:val="24"/>
        </w:rPr>
      </w:pPr>
      <w:r w:rsidRPr="001228DC">
        <w:rPr>
          <w:rFonts w:ascii="Arial" w:hAnsi="Arial" w:cs="Arial"/>
          <w:sz w:val="24"/>
          <w:szCs w:val="24"/>
        </w:rPr>
        <w:t xml:space="preserve">For mining claims, the maximum amount of assessment work </w:t>
      </w:r>
      <w:r w:rsidR="00A81F90" w:rsidRPr="001228DC">
        <w:rPr>
          <w:rFonts w:ascii="Arial" w:hAnsi="Arial" w:cs="Arial"/>
          <w:sz w:val="24"/>
          <w:szCs w:val="24"/>
        </w:rPr>
        <w:t>credits</w:t>
      </w:r>
      <w:r w:rsidRPr="001228DC">
        <w:rPr>
          <w:rFonts w:ascii="Arial" w:hAnsi="Arial" w:cs="Arial"/>
          <w:sz w:val="24"/>
          <w:szCs w:val="24"/>
        </w:rPr>
        <w:t xml:space="preserve"> that can be </w:t>
      </w:r>
      <w:r w:rsidR="00A752CD" w:rsidRPr="001228DC">
        <w:rPr>
          <w:rFonts w:ascii="Arial" w:hAnsi="Arial" w:cs="Arial"/>
          <w:sz w:val="24"/>
          <w:szCs w:val="24"/>
        </w:rPr>
        <w:t>allocated</w:t>
      </w:r>
      <w:r w:rsidRPr="001228DC">
        <w:rPr>
          <w:rFonts w:ascii="Arial" w:hAnsi="Arial" w:cs="Arial"/>
          <w:sz w:val="24"/>
          <w:szCs w:val="24"/>
        </w:rPr>
        <w:t xml:space="preserve"> from a reserve are as follows</w:t>
      </w:r>
      <w:r w:rsidR="001C0068" w:rsidRPr="001228DC">
        <w:rPr>
          <w:rFonts w:ascii="Arial" w:hAnsi="Arial" w:cs="Arial"/>
          <w:sz w:val="24"/>
          <w:szCs w:val="24"/>
        </w:rPr>
        <w:t>:</w:t>
      </w:r>
    </w:p>
    <w:tbl>
      <w:tblPr>
        <w:tblW w:w="9654" w:type="dxa"/>
        <w:tblCellSpacing w:w="15" w:type="dxa"/>
        <w:shd w:val="clear" w:color="auto" w:fill="FFFFFF"/>
        <w:tblCellMar>
          <w:left w:w="0" w:type="dxa"/>
          <w:right w:w="0" w:type="dxa"/>
        </w:tblCellMar>
        <w:tblLook w:val="04A0" w:firstRow="1" w:lastRow="0" w:firstColumn="1" w:lastColumn="0" w:noHBand="0" w:noVBand="1"/>
        <w:tblDescription w:val="Maximum distribution per assessment year by Claim size"/>
      </w:tblPr>
      <w:tblGrid>
        <w:gridCol w:w="2681"/>
        <w:gridCol w:w="6973"/>
      </w:tblGrid>
      <w:tr w:rsidR="001C0068" w:rsidRPr="001228DC" w14:paraId="355522BE" w14:textId="77777777" w:rsidTr="00A64BCD">
        <w:trPr>
          <w:trHeight w:val="180"/>
          <w:tblCellSpacing w:w="15" w:type="dxa"/>
        </w:trPr>
        <w:tc>
          <w:tcPr>
            <w:tcW w:w="0" w:type="auto"/>
            <w:tcBorders>
              <w:top w:val="nil"/>
              <w:left w:val="nil"/>
              <w:bottom w:val="nil"/>
              <w:right w:val="nil"/>
            </w:tcBorders>
            <w:shd w:val="clear" w:color="auto" w:fill="333333"/>
            <w:tcMar>
              <w:top w:w="120" w:type="dxa"/>
              <w:left w:w="120" w:type="dxa"/>
              <w:bottom w:w="120" w:type="dxa"/>
              <w:right w:w="120" w:type="dxa"/>
            </w:tcMar>
            <w:vAlign w:val="bottom"/>
            <w:hideMark/>
          </w:tcPr>
          <w:p w14:paraId="3C17B9B9" w14:textId="77777777" w:rsidR="001C0068" w:rsidRPr="001228DC" w:rsidRDefault="001C0068" w:rsidP="001228DC">
            <w:pPr>
              <w:rPr>
                <w:rFonts w:eastAsia="Times New Roman"/>
                <w:b/>
                <w:bCs/>
                <w:color w:val="FFFFFF"/>
                <w:lang w:eastAsia="en-CA"/>
              </w:rPr>
            </w:pPr>
            <w:r w:rsidRPr="001228DC">
              <w:rPr>
                <w:rFonts w:eastAsia="Times New Roman"/>
                <w:b/>
                <w:bCs/>
                <w:color w:val="FFFFFF"/>
                <w:lang w:eastAsia="en-CA"/>
              </w:rPr>
              <w:t>Claim Size</w:t>
            </w:r>
          </w:p>
        </w:tc>
        <w:tc>
          <w:tcPr>
            <w:tcW w:w="0" w:type="auto"/>
            <w:tcBorders>
              <w:top w:val="nil"/>
              <w:left w:val="nil"/>
              <w:bottom w:val="nil"/>
              <w:right w:val="nil"/>
            </w:tcBorders>
            <w:shd w:val="clear" w:color="auto" w:fill="333333"/>
            <w:tcMar>
              <w:top w:w="120" w:type="dxa"/>
              <w:left w:w="120" w:type="dxa"/>
              <w:bottom w:w="120" w:type="dxa"/>
              <w:right w:w="120" w:type="dxa"/>
            </w:tcMar>
            <w:vAlign w:val="bottom"/>
            <w:hideMark/>
          </w:tcPr>
          <w:p w14:paraId="753CB769" w14:textId="54F58770" w:rsidR="001C0068" w:rsidRPr="001228DC" w:rsidRDefault="001C0068" w:rsidP="001228DC">
            <w:pPr>
              <w:rPr>
                <w:rFonts w:eastAsia="Times New Roman"/>
                <w:b/>
                <w:bCs/>
                <w:color w:val="FFFFFF"/>
                <w:lang w:eastAsia="en-CA"/>
              </w:rPr>
            </w:pPr>
            <w:r w:rsidRPr="001228DC">
              <w:rPr>
                <w:rFonts w:eastAsia="Times New Roman"/>
                <w:b/>
                <w:bCs/>
                <w:color w:val="FFFFFF"/>
                <w:lang w:eastAsia="en-CA"/>
              </w:rPr>
              <w:t xml:space="preserve">Maximum </w:t>
            </w:r>
            <w:r w:rsidR="009E028D" w:rsidRPr="001228DC">
              <w:rPr>
                <w:rFonts w:eastAsia="Times New Roman"/>
                <w:b/>
                <w:bCs/>
                <w:color w:val="FFFFFF"/>
                <w:lang w:eastAsia="en-CA"/>
              </w:rPr>
              <w:t>Allocation</w:t>
            </w:r>
            <w:r w:rsidRPr="001228DC">
              <w:rPr>
                <w:rFonts w:eastAsia="Times New Roman"/>
                <w:b/>
                <w:bCs/>
                <w:color w:val="FFFFFF"/>
                <w:lang w:eastAsia="en-CA"/>
              </w:rPr>
              <w:t xml:space="preserve"> per assessment year</w:t>
            </w:r>
          </w:p>
        </w:tc>
      </w:tr>
      <w:tr w:rsidR="001C0068" w:rsidRPr="001228DC" w14:paraId="3375B094" w14:textId="77777777" w:rsidTr="00A64BCD">
        <w:trPr>
          <w:trHeight w:val="188"/>
          <w:tblCellSpacing w:w="15" w:type="dxa"/>
        </w:trPr>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1E22A692" w14:textId="77777777" w:rsidR="001C0068" w:rsidRPr="001228DC" w:rsidRDefault="001C0068" w:rsidP="001228DC">
            <w:pPr>
              <w:rPr>
                <w:rFonts w:eastAsia="Times New Roman"/>
                <w:color w:val="222222"/>
                <w:lang w:eastAsia="en-CA"/>
              </w:rPr>
            </w:pPr>
            <w:r w:rsidRPr="001228DC">
              <w:rPr>
                <w:rFonts w:eastAsia="Times New Roman"/>
                <w:color w:val="222222"/>
                <w:lang w:eastAsia="en-CA"/>
              </w:rPr>
              <w:t>Boundary claim</w:t>
            </w:r>
          </w:p>
        </w:tc>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325CF6D2" w14:textId="77777777" w:rsidR="001C0068" w:rsidRPr="001228DC" w:rsidRDefault="001C0068" w:rsidP="001228DC">
            <w:pPr>
              <w:rPr>
                <w:rFonts w:eastAsia="Times New Roman"/>
                <w:color w:val="222222"/>
                <w:lang w:eastAsia="en-CA"/>
              </w:rPr>
            </w:pPr>
            <w:r w:rsidRPr="001228DC">
              <w:rPr>
                <w:rFonts w:eastAsia="Times New Roman"/>
                <w:color w:val="222222"/>
                <w:lang w:eastAsia="en-CA"/>
              </w:rPr>
              <w:t>$50,000</w:t>
            </w:r>
          </w:p>
        </w:tc>
      </w:tr>
      <w:tr w:rsidR="001C0068" w:rsidRPr="001228DC" w14:paraId="14105577" w14:textId="77777777" w:rsidTr="00A64BCD">
        <w:trPr>
          <w:trHeight w:val="180"/>
          <w:tblCellSpacing w:w="15" w:type="dxa"/>
        </w:trPr>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4503F2E2" w14:textId="77777777" w:rsidR="001C0068" w:rsidRPr="001228DC" w:rsidRDefault="001C0068" w:rsidP="001228DC">
            <w:pPr>
              <w:rPr>
                <w:rFonts w:eastAsia="Times New Roman"/>
                <w:color w:val="222222"/>
                <w:lang w:eastAsia="en-CA"/>
              </w:rPr>
            </w:pPr>
            <w:r w:rsidRPr="001228DC">
              <w:rPr>
                <w:rFonts w:eastAsia="Times New Roman"/>
                <w:color w:val="222222"/>
                <w:lang w:eastAsia="en-CA"/>
              </w:rPr>
              <w:t>1 to 2 cells</w:t>
            </w:r>
          </w:p>
        </w:tc>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4389AF21" w14:textId="77777777" w:rsidR="001C0068" w:rsidRPr="001228DC" w:rsidRDefault="001C0068" w:rsidP="001228DC">
            <w:pPr>
              <w:rPr>
                <w:rFonts w:eastAsia="Times New Roman"/>
                <w:color w:val="222222"/>
                <w:lang w:eastAsia="en-CA"/>
              </w:rPr>
            </w:pPr>
            <w:r w:rsidRPr="001228DC">
              <w:rPr>
                <w:rFonts w:eastAsia="Times New Roman"/>
                <w:color w:val="222222"/>
                <w:lang w:eastAsia="en-CA"/>
              </w:rPr>
              <w:t>$50,000</w:t>
            </w:r>
          </w:p>
        </w:tc>
      </w:tr>
      <w:tr w:rsidR="001C0068" w:rsidRPr="001228DC" w14:paraId="010D8C66" w14:textId="77777777" w:rsidTr="00A64BCD">
        <w:trPr>
          <w:trHeight w:val="188"/>
          <w:tblCellSpacing w:w="15" w:type="dxa"/>
        </w:trPr>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51AB6CDA" w14:textId="77777777" w:rsidR="001C0068" w:rsidRPr="001228DC" w:rsidRDefault="001C0068" w:rsidP="001228DC">
            <w:pPr>
              <w:rPr>
                <w:rFonts w:eastAsia="Times New Roman"/>
                <w:color w:val="222222"/>
                <w:lang w:eastAsia="en-CA"/>
              </w:rPr>
            </w:pPr>
            <w:r w:rsidRPr="001228DC">
              <w:rPr>
                <w:rFonts w:eastAsia="Times New Roman"/>
                <w:color w:val="222222"/>
                <w:lang w:eastAsia="en-CA"/>
              </w:rPr>
              <w:t>3 to 5 cells</w:t>
            </w:r>
          </w:p>
        </w:tc>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387BD0FF" w14:textId="77777777" w:rsidR="001C0068" w:rsidRPr="001228DC" w:rsidRDefault="001C0068" w:rsidP="001228DC">
            <w:pPr>
              <w:rPr>
                <w:rFonts w:eastAsia="Times New Roman"/>
                <w:color w:val="222222"/>
                <w:lang w:eastAsia="en-CA"/>
              </w:rPr>
            </w:pPr>
            <w:r w:rsidRPr="001228DC">
              <w:rPr>
                <w:rFonts w:eastAsia="Times New Roman"/>
                <w:color w:val="222222"/>
                <w:lang w:eastAsia="en-CA"/>
              </w:rPr>
              <w:t>$100,000</w:t>
            </w:r>
          </w:p>
        </w:tc>
      </w:tr>
      <w:tr w:rsidR="001C0068" w:rsidRPr="001228DC" w14:paraId="097AC342" w14:textId="77777777" w:rsidTr="00A64BCD">
        <w:trPr>
          <w:trHeight w:val="180"/>
          <w:tblCellSpacing w:w="15" w:type="dxa"/>
        </w:trPr>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7FCFDCA6" w14:textId="77777777" w:rsidR="001C0068" w:rsidRPr="001228DC" w:rsidRDefault="001C0068" w:rsidP="001228DC">
            <w:pPr>
              <w:rPr>
                <w:rFonts w:eastAsia="Times New Roman"/>
                <w:color w:val="222222"/>
                <w:lang w:eastAsia="en-CA"/>
              </w:rPr>
            </w:pPr>
            <w:r w:rsidRPr="001228DC">
              <w:rPr>
                <w:rFonts w:eastAsia="Times New Roman"/>
                <w:color w:val="222222"/>
                <w:lang w:eastAsia="en-CA"/>
              </w:rPr>
              <w:t>6 to 25 cells</w:t>
            </w:r>
          </w:p>
        </w:tc>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6450C3F7" w14:textId="77777777" w:rsidR="001C0068" w:rsidRPr="001228DC" w:rsidRDefault="001C0068" w:rsidP="001228DC">
            <w:pPr>
              <w:rPr>
                <w:rFonts w:eastAsia="Times New Roman"/>
                <w:color w:val="222222"/>
                <w:lang w:eastAsia="en-CA"/>
              </w:rPr>
            </w:pPr>
            <w:r w:rsidRPr="001228DC">
              <w:rPr>
                <w:rFonts w:eastAsia="Times New Roman"/>
                <w:color w:val="222222"/>
                <w:lang w:eastAsia="en-CA"/>
              </w:rPr>
              <w:t>$150,000</w:t>
            </w:r>
          </w:p>
        </w:tc>
      </w:tr>
    </w:tbl>
    <w:p w14:paraId="45A17D5D" w14:textId="481DD298" w:rsidR="001C0068" w:rsidRDefault="001C0068" w:rsidP="001228DC">
      <w:pPr>
        <w:rPr>
          <w:rFonts w:ascii="Arial" w:hAnsi="Arial" w:cs="Arial"/>
          <w:sz w:val="24"/>
          <w:szCs w:val="24"/>
        </w:rPr>
      </w:pPr>
      <w:r w:rsidRPr="001228DC">
        <w:rPr>
          <w:rFonts w:eastAsia="Times New Roman"/>
          <w:color w:val="222222"/>
          <w:lang w:eastAsia="en-CA"/>
        </w:rPr>
        <w:br/>
      </w:r>
      <w:r w:rsidR="009E028D" w:rsidRPr="00A33E90">
        <w:rPr>
          <w:rFonts w:ascii="Arial" w:hAnsi="Arial" w:cs="Arial"/>
          <w:sz w:val="24"/>
          <w:szCs w:val="24"/>
        </w:rPr>
        <w:t xml:space="preserve">For mining lands other than mining claims, </w:t>
      </w:r>
      <w:r w:rsidR="00DB6475" w:rsidRPr="00A33E90">
        <w:rPr>
          <w:rFonts w:ascii="Arial" w:hAnsi="Arial" w:cs="Arial"/>
          <w:sz w:val="24"/>
          <w:szCs w:val="24"/>
        </w:rPr>
        <w:t>such as leases, patents</w:t>
      </w:r>
      <w:r w:rsidR="009E028D" w:rsidRPr="00A33E90">
        <w:rPr>
          <w:rFonts w:ascii="Arial" w:hAnsi="Arial" w:cs="Arial"/>
          <w:sz w:val="24"/>
          <w:szCs w:val="24"/>
        </w:rPr>
        <w:t xml:space="preserve"> or </w:t>
      </w:r>
      <w:r w:rsidR="00DB6475" w:rsidRPr="00A33E90">
        <w:rPr>
          <w:rFonts w:ascii="Arial" w:hAnsi="Arial" w:cs="Arial"/>
          <w:sz w:val="24"/>
          <w:szCs w:val="24"/>
        </w:rPr>
        <w:t>license</w:t>
      </w:r>
      <w:r w:rsidR="009E028D" w:rsidRPr="00A33E90">
        <w:rPr>
          <w:rFonts w:ascii="Arial" w:hAnsi="Arial" w:cs="Arial"/>
          <w:sz w:val="24"/>
          <w:szCs w:val="24"/>
        </w:rPr>
        <w:t>s</w:t>
      </w:r>
      <w:r w:rsidR="00DB6475" w:rsidRPr="00A33E90">
        <w:rPr>
          <w:rFonts w:ascii="Arial" w:hAnsi="Arial" w:cs="Arial"/>
          <w:sz w:val="24"/>
          <w:szCs w:val="24"/>
        </w:rPr>
        <w:t xml:space="preserve"> of occupation </w:t>
      </w:r>
      <w:r w:rsidR="009E028D" w:rsidRPr="00A33E90">
        <w:rPr>
          <w:rFonts w:ascii="Arial" w:hAnsi="Arial" w:cs="Arial"/>
          <w:sz w:val="24"/>
          <w:szCs w:val="24"/>
        </w:rPr>
        <w:t>(whether exploratory or mining)</w:t>
      </w:r>
      <w:r w:rsidR="00DB6475" w:rsidRPr="00A33E90">
        <w:rPr>
          <w:rFonts w:ascii="Arial" w:hAnsi="Arial" w:cs="Arial"/>
          <w:sz w:val="24"/>
          <w:szCs w:val="24"/>
        </w:rPr>
        <w:t xml:space="preserve"> </w:t>
      </w:r>
      <w:r w:rsidR="009E028D" w:rsidRPr="00A33E90">
        <w:rPr>
          <w:rFonts w:ascii="Arial" w:hAnsi="Arial" w:cs="Arial"/>
          <w:sz w:val="24"/>
          <w:szCs w:val="24"/>
        </w:rPr>
        <w:t xml:space="preserve">the maximum amount of assessment work </w:t>
      </w:r>
      <w:r w:rsidR="00A81F90" w:rsidRPr="00A33E90">
        <w:rPr>
          <w:rFonts w:ascii="Arial" w:hAnsi="Arial" w:cs="Arial"/>
          <w:sz w:val="24"/>
          <w:szCs w:val="24"/>
        </w:rPr>
        <w:t>credits</w:t>
      </w:r>
      <w:r w:rsidR="009E028D" w:rsidRPr="00A33E90">
        <w:rPr>
          <w:rFonts w:ascii="Arial" w:hAnsi="Arial" w:cs="Arial"/>
          <w:sz w:val="24"/>
          <w:szCs w:val="24"/>
        </w:rPr>
        <w:t xml:space="preserve"> that can be </w:t>
      </w:r>
      <w:r w:rsidR="00AD733A" w:rsidRPr="00A33E90">
        <w:rPr>
          <w:rFonts w:ascii="Arial" w:hAnsi="Arial" w:cs="Arial"/>
          <w:sz w:val="24"/>
          <w:szCs w:val="24"/>
        </w:rPr>
        <w:t>distr</w:t>
      </w:r>
      <w:r w:rsidR="00F04974" w:rsidRPr="00A33E90">
        <w:rPr>
          <w:rFonts w:ascii="Arial" w:hAnsi="Arial" w:cs="Arial"/>
          <w:sz w:val="24"/>
          <w:szCs w:val="24"/>
        </w:rPr>
        <w:t>ibuted</w:t>
      </w:r>
      <w:r w:rsidR="009E028D" w:rsidRPr="00A33E90">
        <w:rPr>
          <w:rFonts w:ascii="Arial" w:hAnsi="Arial" w:cs="Arial"/>
          <w:sz w:val="24"/>
          <w:szCs w:val="24"/>
        </w:rPr>
        <w:t xml:space="preserve"> from a reserve are as follows</w:t>
      </w:r>
      <w:r w:rsidR="00DB6475" w:rsidRPr="00A33E90">
        <w:rPr>
          <w:rFonts w:ascii="Arial" w:hAnsi="Arial" w:cs="Arial"/>
          <w:sz w:val="24"/>
          <w:szCs w:val="24"/>
        </w:rPr>
        <w:t>:</w:t>
      </w:r>
    </w:p>
    <w:p w14:paraId="3B24E451" w14:textId="1157BBC3" w:rsidR="00A33E90" w:rsidRDefault="00A33E90" w:rsidP="001228DC">
      <w:pPr>
        <w:rPr>
          <w:rFonts w:ascii="Arial" w:hAnsi="Arial" w:cs="Arial"/>
          <w:sz w:val="24"/>
          <w:szCs w:val="24"/>
        </w:rPr>
      </w:pPr>
    </w:p>
    <w:p w14:paraId="6DCAF47D" w14:textId="1E1258A6" w:rsidR="00A33E90" w:rsidRDefault="00A33E90" w:rsidP="001228DC">
      <w:pPr>
        <w:rPr>
          <w:rFonts w:ascii="Arial" w:hAnsi="Arial" w:cs="Arial"/>
          <w:sz w:val="24"/>
          <w:szCs w:val="24"/>
        </w:rPr>
      </w:pPr>
    </w:p>
    <w:p w14:paraId="1B767298" w14:textId="77777777" w:rsidR="00A33E90" w:rsidRPr="00A33E90" w:rsidRDefault="00A33E90" w:rsidP="001228DC">
      <w:pPr>
        <w:rPr>
          <w:rFonts w:ascii="Arial" w:hAnsi="Arial" w:cs="Arial"/>
          <w:sz w:val="24"/>
          <w:szCs w:val="24"/>
        </w:rPr>
      </w:pPr>
    </w:p>
    <w:tbl>
      <w:tblPr>
        <w:tblW w:w="9541" w:type="dxa"/>
        <w:tblCellSpacing w:w="15" w:type="dxa"/>
        <w:shd w:val="clear" w:color="auto" w:fill="FFFFFF"/>
        <w:tblCellMar>
          <w:left w:w="0" w:type="dxa"/>
          <w:right w:w="0" w:type="dxa"/>
        </w:tblCellMar>
        <w:tblLook w:val="04A0" w:firstRow="1" w:lastRow="0" w:firstColumn="1" w:lastColumn="0" w:noHBand="0" w:noVBand="1"/>
        <w:tblDescription w:val="Maximum distribution per calendar year by Area in hectares (ha)"/>
      </w:tblPr>
      <w:tblGrid>
        <w:gridCol w:w="2421"/>
        <w:gridCol w:w="7120"/>
      </w:tblGrid>
      <w:tr w:rsidR="009E57A4" w:rsidRPr="001228DC" w14:paraId="5A8D5C37" w14:textId="77777777" w:rsidTr="00A64BCD">
        <w:trPr>
          <w:trHeight w:val="408"/>
          <w:tblCellSpacing w:w="15" w:type="dxa"/>
        </w:trPr>
        <w:tc>
          <w:tcPr>
            <w:tcW w:w="0" w:type="auto"/>
            <w:tcBorders>
              <w:top w:val="nil"/>
              <w:left w:val="nil"/>
              <w:bottom w:val="nil"/>
              <w:right w:val="nil"/>
            </w:tcBorders>
            <w:shd w:val="clear" w:color="auto" w:fill="333333"/>
            <w:tcMar>
              <w:top w:w="120" w:type="dxa"/>
              <w:left w:w="120" w:type="dxa"/>
              <w:bottom w:w="120" w:type="dxa"/>
              <w:right w:w="120" w:type="dxa"/>
            </w:tcMar>
            <w:vAlign w:val="bottom"/>
            <w:hideMark/>
          </w:tcPr>
          <w:p w14:paraId="5F533013" w14:textId="77777777" w:rsidR="001C0068" w:rsidRPr="001228DC" w:rsidRDefault="001C0068" w:rsidP="001228DC">
            <w:pPr>
              <w:rPr>
                <w:rFonts w:eastAsia="Times New Roman"/>
                <w:b/>
                <w:bCs/>
                <w:color w:val="FFFFFF"/>
                <w:lang w:eastAsia="en-CA"/>
              </w:rPr>
            </w:pPr>
            <w:r w:rsidRPr="001228DC">
              <w:rPr>
                <w:rFonts w:eastAsia="Times New Roman"/>
                <w:b/>
                <w:bCs/>
                <w:color w:val="FFFFFF"/>
                <w:lang w:eastAsia="en-CA"/>
              </w:rPr>
              <w:lastRenderedPageBreak/>
              <w:t>Area (ha)</w:t>
            </w:r>
          </w:p>
        </w:tc>
        <w:tc>
          <w:tcPr>
            <w:tcW w:w="0" w:type="auto"/>
            <w:tcBorders>
              <w:top w:val="nil"/>
              <w:left w:val="nil"/>
              <w:bottom w:val="nil"/>
              <w:right w:val="nil"/>
            </w:tcBorders>
            <w:shd w:val="clear" w:color="auto" w:fill="333333"/>
            <w:tcMar>
              <w:top w:w="120" w:type="dxa"/>
              <w:left w:w="120" w:type="dxa"/>
              <w:bottom w:w="120" w:type="dxa"/>
              <w:right w:w="120" w:type="dxa"/>
            </w:tcMar>
            <w:vAlign w:val="bottom"/>
            <w:hideMark/>
          </w:tcPr>
          <w:p w14:paraId="15683A32" w14:textId="20B8F27E" w:rsidR="001C0068" w:rsidRPr="001228DC" w:rsidRDefault="001C0068" w:rsidP="001228DC">
            <w:pPr>
              <w:rPr>
                <w:rFonts w:eastAsia="Times New Roman"/>
                <w:b/>
                <w:bCs/>
                <w:color w:val="FFFFFF"/>
                <w:lang w:eastAsia="en-CA"/>
              </w:rPr>
            </w:pPr>
            <w:r w:rsidRPr="001228DC">
              <w:rPr>
                <w:rFonts w:eastAsia="Times New Roman"/>
                <w:b/>
                <w:bCs/>
                <w:color w:val="FFFFFF"/>
                <w:lang w:eastAsia="en-CA"/>
              </w:rPr>
              <w:t xml:space="preserve">Maximum </w:t>
            </w:r>
            <w:r w:rsidR="009E028D" w:rsidRPr="001228DC">
              <w:rPr>
                <w:rFonts w:eastAsia="Times New Roman"/>
                <w:b/>
                <w:bCs/>
                <w:color w:val="FFFFFF"/>
                <w:lang w:eastAsia="en-CA"/>
              </w:rPr>
              <w:t>Allocated</w:t>
            </w:r>
            <w:r w:rsidRPr="001228DC">
              <w:rPr>
                <w:rFonts w:eastAsia="Times New Roman"/>
                <w:b/>
                <w:bCs/>
                <w:color w:val="FFFFFF"/>
                <w:lang w:eastAsia="en-CA"/>
              </w:rPr>
              <w:t xml:space="preserve"> per calendar year</w:t>
            </w:r>
          </w:p>
        </w:tc>
      </w:tr>
      <w:tr w:rsidR="009E57A4" w:rsidRPr="001228DC" w14:paraId="21BA7063" w14:textId="77777777" w:rsidTr="00A64BCD">
        <w:trPr>
          <w:trHeight w:val="423"/>
          <w:tblCellSpacing w:w="15" w:type="dxa"/>
        </w:trPr>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7C1791D4" w14:textId="77777777" w:rsidR="001C0068" w:rsidRPr="001228DC" w:rsidRDefault="001C0068" w:rsidP="001228DC">
            <w:pPr>
              <w:rPr>
                <w:rFonts w:eastAsia="Times New Roman"/>
                <w:color w:val="222222"/>
                <w:lang w:eastAsia="en-CA"/>
              </w:rPr>
            </w:pPr>
            <w:r w:rsidRPr="001228DC">
              <w:rPr>
                <w:rFonts w:eastAsia="Times New Roman"/>
                <w:color w:val="222222"/>
                <w:lang w:eastAsia="en-CA"/>
              </w:rPr>
              <w:t>≤25</w:t>
            </w:r>
          </w:p>
        </w:tc>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2F4268C7" w14:textId="77777777" w:rsidR="001C0068" w:rsidRPr="001228DC" w:rsidRDefault="001C0068" w:rsidP="001228DC">
            <w:pPr>
              <w:rPr>
                <w:rFonts w:eastAsia="Times New Roman"/>
                <w:color w:val="222222"/>
                <w:lang w:eastAsia="en-CA"/>
              </w:rPr>
            </w:pPr>
            <w:r w:rsidRPr="001228DC">
              <w:rPr>
                <w:rFonts w:eastAsia="Times New Roman"/>
                <w:color w:val="222222"/>
                <w:lang w:eastAsia="en-CA"/>
              </w:rPr>
              <w:t>$50,000</w:t>
            </w:r>
          </w:p>
        </w:tc>
      </w:tr>
      <w:tr w:rsidR="009E57A4" w:rsidRPr="001228DC" w14:paraId="54AA6620" w14:textId="77777777" w:rsidTr="00A64BCD">
        <w:trPr>
          <w:trHeight w:val="408"/>
          <w:tblCellSpacing w:w="15" w:type="dxa"/>
        </w:trPr>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0876547E" w14:textId="77777777" w:rsidR="001C0068" w:rsidRPr="001228DC" w:rsidRDefault="001C0068" w:rsidP="001228DC">
            <w:pPr>
              <w:rPr>
                <w:rFonts w:eastAsia="Times New Roman"/>
                <w:color w:val="222222"/>
                <w:lang w:eastAsia="en-CA"/>
              </w:rPr>
            </w:pPr>
            <w:r w:rsidRPr="001228DC">
              <w:rPr>
                <w:rFonts w:eastAsia="Times New Roman"/>
                <w:color w:val="222222"/>
                <w:lang w:eastAsia="en-CA"/>
              </w:rPr>
              <w:t>&gt;25 to ≤100</w:t>
            </w:r>
          </w:p>
        </w:tc>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3E942709" w14:textId="77777777" w:rsidR="001C0068" w:rsidRPr="001228DC" w:rsidRDefault="001C0068" w:rsidP="001228DC">
            <w:pPr>
              <w:rPr>
                <w:rFonts w:eastAsia="Times New Roman"/>
                <w:color w:val="222222"/>
                <w:lang w:eastAsia="en-CA"/>
              </w:rPr>
            </w:pPr>
            <w:r w:rsidRPr="001228DC">
              <w:rPr>
                <w:rFonts w:eastAsia="Times New Roman"/>
                <w:color w:val="222222"/>
                <w:lang w:eastAsia="en-CA"/>
              </w:rPr>
              <w:t>$100,000</w:t>
            </w:r>
          </w:p>
        </w:tc>
      </w:tr>
      <w:tr w:rsidR="009E57A4" w:rsidRPr="001228DC" w14:paraId="590077D8" w14:textId="77777777" w:rsidTr="00A64BCD">
        <w:trPr>
          <w:trHeight w:val="408"/>
          <w:tblCellSpacing w:w="15" w:type="dxa"/>
        </w:trPr>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281CBC02" w14:textId="77777777" w:rsidR="001C0068" w:rsidRPr="001228DC" w:rsidRDefault="001C0068" w:rsidP="001228DC">
            <w:pPr>
              <w:rPr>
                <w:rFonts w:eastAsia="Times New Roman"/>
                <w:color w:val="222222"/>
                <w:lang w:eastAsia="en-CA"/>
              </w:rPr>
            </w:pPr>
            <w:r w:rsidRPr="001228DC">
              <w:rPr>
                <w:rFonts w:eastAsia="Times New Roman"/>
                <w:color w:val="222222"/>
                <w:lang w:eastAsia="en-CA"/>
              </w:rPr>
              <w:t>&gt;100</w:t>
            </w:r>
          </w:p>
        </w:tc>
        <w:tc>
          <w:tcPr>
            <w:tcW w:w="0" w:type="auto"/>
            <w:tcBorders>
              <w:top w:val="single" w:sz="12" w:space="0" w:color="CFD3BC"/>
              <w:left w:val="nil"/>
              <w:bottom w:val="nil"/>
              <w:right w:val="nil"/>
            </w:tcBorders>
            <w:shd w:val="clear" w:color="auto" w:fill="F2F2ED"/>
            <w:tcMar>
              <w:top w:w="120" w:type="dxa"/>
              <w:left w:w="120" w:type="dxa"/>
              <w:bottom w:w="120" w:type="dxa"/>
              <w:right w:w="120" w:type="dxa"/>
            </w:tcMar>
            <w:vAlign w:val="bottom"/>
            <w:hideMark/>
          </w:tcPr>
          <w:p w14:paraId="71655F28" w14:textId="77777777" w:rsidR="001C0068" w:rsidRPr="001228DC" w:rsidRDefault="001C0068" w:rsidP="001228DC">
            <w:pPr>
              <w:rPr>
                <w:rFonts w:eastAsia="Times New Roman"/>
                <w:color w:val="222222"/>
                <w:lang w:eastAsia="en-CA"/>
              </w:rPr>
            </w:pPr>
            <w:r w:rsidRPr="001228DC">
              <w:rPr>
                <w:rFonts w:eastAsia="Times New Roman"/>
                <w:color w:val="222222"/>
                <w:lang w:eastAsia="en-CA"/>
              </w:rPr>
              <w:t>$150,000</w:t>
            </w:r>
          </w:p>
        </w:tc>
      </w:tr>
    </w:tbl>
    <w:p w14:paraId="177C0218" w14:textId="77777777" w:rsidR="00331976" w:rsidRPr="001228DC" w:rsidRDefault="00331976" w:rsidP="001228DC"/>
    <w:p w14:paraId="2B0BA019" w14:textId="77777777" w:rsidR="002B3B3F" w:rsidRPr="00506842" w:rsidRDefault="002B3B3F" w:rsidP="00506842">
      <w:pPr>
        <w:pStyle w:val="Heading2"/>
        <w:spacing w:after="240"/>
        <w:rPr>
          <w:rFonts w:eastAsia="Times New Roman"/>
          <w:sz w:val="28"/>
          <w:szCs w:val="24"/>
          <w:lang w:val="en" w:eastAsia="en-CA"/>
        </w:rPr>
      </w:pPr>
      <w:bookmarkStart w:id="4" w:name="_Toc92365369"/>
      <w:r w:rsidRPr="00506842">
        <w:rPr>
          <w:rFonts w:eastAsia="Times New Roman"/>
          <w:sz w:val="28"/>
          <w:szCs w:val="24"/>
          <w:lang w:val="en" w:eastAsia="en-CA"/>
        </w:rPr>
        <w:t>Ownership and Assessment Work Manager</w:t>
      </w:r>
      <w:bookmarkEnd w:id="4"/>
    </w:p>
    <w:p w14:paraId="234DDDDB" w14:textId="04C07EB5" w:rsidR="002B3B3F" w:rsidRPr="00A33E90" w:rsidRDefault="002B3B3F" w:rsidP="001228DC">
      <w:pPr>
        <w:rPr>
          <w:rFonts w:ascii="Arial" w:hAnsi="Arial" w:cs="Arial"/>
          <w:sz w:val="24"/>
          <w:szCs w:val="24"/>
        </w:rPr>
      </w:pPr>
      <w:r w:rsidRPr="00A33E90">
        <w:rPr>
          <w:rFonts w:ascii="Arial" w:hAnsi="Arial" w:cs="Arial"/>
          <w:sz w:val="24"/>
          <w:szCs w:val="24"/>
        </w:rPr>
        <w:t xml:space="preserve">Assessment work </w:t>
      </w:r>
      <w:r w:rsidR="00A81F90" w:rsidRPr="00A33E90">
        <w:rPr>
          <w:rFonts w:ascii="Arial" w:hAnsi="Arial" w:cs="Arial"/>
          <w:sz w:val="24"/>
          <w:szCs w:val="24"/>
        </w:rPr>
        <w:t>credits</w:t>
      </w:r>
      <w:r w:rsidRPr="00A33E90">
        <w:rPr>
          <w:rFonts w:ascii="Arial" w:hAnsi="Arial" w:cs="Arial"/>
          <w:sz w:val="24"/>
          <w:szCs w:val="24"/>
        </w:rPr>
        <w:t xml:space="preserve"> from the reserve of the mining lands can not be distributed to a contiguous mining claim unless the lands are:</w:t>
      </w:r>
    </w:p>
    <w:p w14:paraId="7D44D646" w14:textId="77777777" w:rsidR="002B3B3F" w:rsidRPr="00000B11" w:rsidRDefault="002B3B3F" w:rsidP="00913B77">
      <w:pPr>
        <w:pStyle w:val="ListParagraph"/>
        <w:numPr>
          <w:ilvl w:val="0"/>
          <w:numId w:val="2"/>
        </w:numPr>
        <w:rPr>
          <w:rFonts w:ascii="Arial" w:eastAsia="Times New Roman" w:hAnsi="Arial" w:cs="Arial"/>
          <w:sz w:val="24"/>
          <w:szCs w:val="24"/>
          <w:lang w:val="en" w:eastAsia="en-CA"/>
        </w:rPr>
      </w:pPr>
      <w:r w:rsidRPr="00000B11">
        <w:rPr>
          <w:rFonts w:ascii="Arial" w:hAnsi="Arial" w:cs="Arial"/>
          <w:sz w:val="24"/>
          <w:szCs w:val="24"/>
        </w:rPr>
        <w:t xml:space="preserve">owned or held by the same person, </w:t>
      </w:r>
    </w:p>
    <w:p w14:paraId="54DD32B7" w14:textId="77777777" w:rsidR="002B3B3F" w:rsidRPr="00000B11" w:rsidRDefault="002B3B3F" w:rsidP="00913B77">
      <w:pPr>
        <w:pStyle w:val="ListParagraph"/>
        <w:numPr>
          <w:ilvl w:val="0"/>
          <w:numId w:val="2"/>
        </w:numPr>
        <w:rPr>
          <w:rFonts w:ascii="Arial" w:eastAsia="Times New Roman" w:hAnsi="Arial" w:cs="Arial"/>
          <w:sz w:val="24"/>
          <w:szCs w:val="24"/>
          <w:lang w:val="en" w:eastAsia="en-CA"/>
        </w:rPr>
      </w:pPr>
      <w:r w:rsidRPr="00000B11">
        <w:rPr>
          <w:rFonts w:ascii="Arial" w:hAnsi="Arial" w:cs="Arial"/>
          <w:sz w:val="24"/>
          <w:szCs w:val="24"/>
        </w:rPr>
        <w:t xml:space="preserve">or where the claims or lands are owned or held by a group of persons, have at least one holder or owner in common, or </w:t>
      </w:r>
    </w:p>
    <w:p w14:paraId="44EF76EA" w14:textId="77777777" w:rsidR="002B3B3F" w:rsidRPr="00000B11" w:rsidRDefault="002B3B3F" w:rsidP="00913B77">
      <w:pPr>
        <w:pStyle w:val="ListParagraph"/>
        <w:numPr>
          <w:ilvl w:val="0"/>
          <w:numId w:val="2"/>
        </w:numPr>
        <w:rPr>
          <w:rFonts w:ascii="Arial" w:eastAsia="Times New Roman" w:hAnsi="Arial" w:cs="Arial"/>
          <w:sz w:val="24"/>
          <w:szCs w:val="24"/>
          <w:lang w:val="en" w:eastAsia="en-CA"/>
        </w:rPr>
      </w:pPr>
      <w:r w:rsidRPr="00000B11">
        <w:rPr>
          <w:rFonts w:ascii="Arial" w:hAnsi="Arial" w:cs="Arial"/>
          <w:sz w:val="24"/>
          <w:szCs w:val="24"/>
        </w:rPr>
        <w:t>have a common assessment work manager appointed.</w:t>
      </w:r>
    </w:p>
    <w:p w14:paraId="2433B050" w14:textId="285F5B0C" w:rsidR="007321B4" w:rsidRPr="00506842" w:rsidRDefault="007321B4" w:rsidP="00506842">
      <w:pPr>
        <w:pStyle w:val="Heading2"/>
        <w:spacing w:after="240"/>
        <w:rPr>
          <w:rFonts w:eastAsiaTheme="minorEastAsia"/>
          <w:sz w:val="28"/>
          <w:szCs w:val="24"/>
          <w:lang w:val="en" w:eastAsia="en-CA"/>
        </w:rPr>
      </w:pPr>
      <w:bookmarkStart w:id="5" w:name="_Toc92365370"/>
      <w:r w:rsidRPr="00506842">
        <w:rPr>
          <w:rFonts w:eastAsiaTheme="minorEastAsia"/>
          <w:sz w:val="28"/>
          <w:szCs w:val="24"/>
          <w:lang w:val="en" w:eastAsia="en-CA"/>
        </w:rPr>
        <w:t xml:space="preserve">Contiguity </w:t>
      </w:r>
      <w:r w:rsidR="00C448A4" w:rsidRPr="00506842">
        <w:rPr>
          <w:rFonts w:eastAsiaTheme="minorEastAsia"/>
          <w:sz w:val="28"/>
          <w:szCs w:val="24"/>
          <w:lang w:val="en" w:eastAsia="en-CA"/>
        </w:rPr>
        <w:t xml:space="preserve">of </w:t>
      </w:r>
      <w:r w:rsidRPr="00506842">
        <w:rPr>
          <w:rFonts w:eastAsiaTheme="minorEastAsia"/>
          <w:sz w:val="28"/>
          <w:szCs w:val="24"/>
          <w:lang w:val="en" w:eastAsia="en-CA"/>
        </w:rPr>
        <w:t>Mining Claims</w:t>
      </w:r>
      <w:bookmarkEnd w:id="5"/>
      <w:r w:rsidRPr="00506842">
        <w:rPr>
          <w:rFonts w:eastAsiaTheme="minorEastAsia"/>
          <w:sz w:val="28"/>
          <w:szCs w:val="24"/>
          <w:lang w:val="en" w:eastAsia="en-CA"/>
        </w:rPr>
        <w:t xml:space="preserve"> </w:t>
      </w:r>
    </w:p>
    <w:p w14:paraId="6DFFB72A" w14:textId="5C63FCB7" w:rsidR="007321B4" w:rsidRPr="00A33E90" w:rsidRDefault="007321B4" w:rsidP="001228DC">
      <w:pPr>
        <w:rPr>
          <w:rFonts w:ascii="Arial" w:hAnsi="Arial" w:cs="Arial"/>
          <w:sz w:val="24"/>
          <w:szCs w:val="24"/>
          <w:lang w:val="en" w:eastAsia="en-CA"/>
        </w:rPr>
      </w:pPr>
      <w:r w:rsidRPr="00A33E90">
        <w:rPr>
          <w:rFonts w:ascii="Arial" w:hAnsi="Arial" w:cs="Arial"/>
          <w:sz w:val="24"/>
          <w:szCs w:val="24"/>
          <w:shd w:val="clear" w:color="auto" w:fill="FFFFFF"/>
        </w:rPr>
        <w:t>Mining claims are contiguous to one another if the cells on the provincial grid in which the mining claims are located are contiguous to one another</w:t>
      </w:r>
      <w:r w:rsidR="00F0171C" w:rsidRPr="00A33E90">
        <w:rPr>
          <w:rFonts w:ascii="Arial" w:hAnsi="Arial" w:cs="Arial"/>
          <w:sz w:val="24"/>
          <w:szCs w:val="24"/>
          <w:shd w:val="clear" w:color="auto" w:fill="FFFFFF"/>
        </w:rPr>
        <w:t xml:space="preserve"> </w:t>
      </w:r>
      <w:bookmarkStart w:id="6" w:name="_Hlk57624651"/>
      <w:r w:rsidR="00F0171C" w:rsidRPr="00A33E90">
        <w:rPr>
          <w:rFonts w:ascii="Arial" w:hAnsi="Arial" w:cs="Arial"/>
          <w:sz w:val="24"/>
          <w:szCs w:val="24"/>
          <w:shd w:val="clear" w:color="auto" w:fill="FFFFFF"/>
        </w:rPr>
        <w:t>as defined in section 17(4) of the Regulation</w:t>
      </w:r>
      <w:r w:rsidRPr="00A33E90">
        <w:rPr>
          <w:rFonts w:ascii="Arial" w:hAnsi="Arial" w:cs="Arial"/>
          <w:sz w:val="24"/>
          <w:szCs w:val="24"/>
          <w:shd w:val="clear" w:color="auto" w:fill="FFFFFF"/>
        </w:rPr>
        <w:t>.</w:t>
      </w:r>
      <w:r w:rsidRPr="00A33E90">
        <w:rPr>
          <w:rFonts w:ascii="Arial" w:eastAsiaTheme="minorEastAsia" w:hAnsi="Arial" w:cs="Arial"/>
          <w:b/>
          <w:sz w:val="24"/>
          <w:szCs w:val="24"/>
          <w:lang w:val="en" w:eastAsia="en-CA"/>
        </w:rPr>
        <w:t xml:space="preserve">               </w:t>
      </w:r>
    </w:p>
    <w:bookmarkEnd w:id="6"/>
    <w:p w14:paraId="5427408B" w14:textId="703BC725" w:rsidR="00952A00" w:rsidRPr="00A33E90" w:rsidRDefault="00952A00" w:rsidP="001228DC">
      <w:pPr>
        <w:rPr>
          <w:rFonts w:ascii="Arial" w:hAnsi="Arial" w:cs="Arial"/>
          <w:sz w:val="24"/>
          <w:szCs w:val="24"/>
        </w:rPr>
      </w:pPr>
      <w:r w:rsidRPr="00A33E90">
        <w:rPr>
          <w:rFonts w:ascii="Arial" w:hAnsi="Arial" w:cs="Arial"/>
          <w:sz w:val="24"/>
          <w:szCs w:val="24"/>
        </w:rPr>
        <w:t xml:space="preserve">For the purposes of allocating assessment work </w:t>
      </w:r>
      <w:r w:rsidR="00A81F90" w:rsidRPr="00A33E90">
        <w:rPr>
          <w:rFonts w:ascii="Arial" w:hAnsi="Arial" w:cs="Arial"/>
          <w:sz w:val="24"/>
          <w:szCs w:val="24"/>
        </w:rPr>
        <w:t>credits</w:t>
      </w:r>
      <w:r w:rsidRPr="00A33E90">
        <w:rPr>
          <w:rFonts w:ascii="Arial" w:hAnsi="Arial" w:cs="Arial"/>
          <w:sz w:val="24"/>
          <w:szCs w:val="24"/>
        </w:rPr>
        <w:t xml:space="preserve"> </w:t>
      </w:r>
      <w:r w:rsidR="00E261C4" w:rsidRPr="00A33E90">
        <w:rPr>
          <w:rFonts w:ascii="Arial" w:hAnsi="Arial" w:cs="Arial"/>
          <w:sz w:val="24"/>
          <w:szCs w:val="24"/>
          <w:shd w:val="clear" w:color="auto" w:fill="FFFFFF"/>
        </w:rPr>
        <w:t xml:space="preserve">from a reserve </w:t>
      </w:r>
      <w:r w:rsidR="00DB6475" w:rsidRPr="00A33E90">
        <w:rPr>
          <w:rFonts w:ascii="Arial" w:hAnsi="Arial" w:cs="Arial"/>
          <w:sz w:val="24"/>
          <w:szCs w:val="24"/>
          <w:shd w:val="clear" w:color="auto" w:fill="FFFFFF"/>
        </w:rPr>
        <w:t>of</w:t>
      </w:r>
      <w:r w:rsidR="00E261C4" w:rsidRPr="00A33E90">
        <w:rPr>
          <w:rFonts w:ascii="Arial" w:hAnsi="Arial" w:cs="Arial"/>
          <w:sz w:val="24"/>
          <w:szCs w:val="24"/>
          <w:shd w:val="clear" w:color="auto" w:fill="FFFFFF"/>
        </w:rPr>
        <w:t xml:space="preserve"> a mining claim </w:t>
      </w:r>
      <w:r w:rsidR="009E57A4" w:rsidRPr="00A33E90">
        <w:rPr>
          <w:rFonts w:ascii="Arial" w:hAnsi="Arial" w:cs="Arial"/>
          <w:sz w:val="24"/>
          <w:szCs w:val="24"/>
          <w:shd w:val="clear" w:color="auto" w:fill="FFFFFF"/>
        </w:rPr>
        <w:t xml:space="preserve">(provider) </w:t>
      </w:r>
      <w:r w:rsidR="00E261C4" w:rsidRPr="00A33E90">
        <w:rPr>
          <w:rFonts w:ascii="Arial" w:hAnsi="Arial" w:cs="Arial"/>
          <w:sz w:val="24"/>
          <w:szCs w:val="24"/>
          <w:shd w:val="clear" w:color="auto" w:fill="FFFFFF"/>
        </w:rPr>
        <w:t>to another contiguous mining claim</w:t>
      </w:r>
      <w:r w:rsidR="009E57A4" w:rsidRPr="00A33E90">
        <w:rPr>
          <w:rFonts w:ascii="Arial" w:hAnsi="Arial" w:cs="Arial"/>
          <w:sz w:val="24"/>
          <w:szCs w:val="24"/>
          <w:shd w:val="clear" w:color="auto" w:fill="FFFFFF"/>
        </w:rPr>
        <w:t xml:space="preserve"> (receiver)</w:t>
      </w:r>
      <w:r w:rsidR="00C527BC" w:rsidRPr="00A33E90">
        <w:rPr>
          <w:rFonts w:ascii="Arial" w:hAnsi="Arial" w:cs="Arial"/>
          <w:sz w:val="24"/>
          <w:szCs w:val="24"/>
          <w:shd w:val="clear" w:color="auto" w:fill="FFFFFF"/>
        </w:rPr>
        <w:t>,</w:t>
      </w:r>
      <w:r w:rsidR="00E261C4" w:rsidRPr="00A33E90">
        <w:rPr>
          <w:rFonts w:ascii="Arial" w:hAnsi="Arial" w:cs="Arial"/>
          <w:sz w:val="24"/>
          <w:szCs w:val="24"/>
          <w:shd w:val="clear" w:color="auto" w:fill="FFFFFF"/>
        </w:rPr>
        <w:t xml:space="preserve"> </w:t>
      </w:r>
      <w:r w:rsidR="00683CE7" w:rsidRPr="00A33E90">
        <w:rPr>
          <w:rFonts w:ascii="Arial" w:hAnsi="Arial" w:cs="Arial"/>
          <w:sz w:val="24"/>
          <w:szCs w:val="24"/>
        </w:rPr>
        <w:t xml:space="preserve">contiguity is </w:t>
      </w:r>
      <w:r w:rsidR="00E261C4" w:rsidRPr="00A33E90">
        <w:rPr>
          <w:rFonts w:ascii="Arial" w:hAnsi="Arial" w:cs="Arial"/>
          <w:sz w:val="24"/>
          <w:szCs w:val="24"/>
        </w:rPr>
        <w:t xml:space="preserve">considered </w:t>
      </w:r>
      <w:r w:rsidR="00683CE7" w:rsidRPr="00A33E90">
        <w:rPr>
          <w:rFonts w:ascii="Arial" w:hAnsi="Arial" w:cs="Arial"/>
          <w:sz w:val="24"/>
          <w:szCs w:val="24"/>
        </w:rPr>
        <w:t xml:space="preserve">established </w:t>
      </w:r>
      <w:r w:rsidR="00E261C4" w:rsidRPr="00A33E90">
        <w:rPr>
          <w:rFonts w:ascii="Arial" w:hAnsi="Arial" w:cs="Arial"/>
          <w:sz w:val="24"/>
          <w:szCs w:val="24"/>
        </w:rPr>
        <w:t>when</w:t>
      </w:r>
      <w:r w:rsidR="005E259A" w:rsidRPr="00A33E90">
        <w:rPr>
          <w:rFonts w:ascii="Arial" w:hAnsi="Arial" w:cs="Arial"/>
          <w:color w:val="505050"/>
          <w:sz w:val="24"/>
          <w:szCs w:val="24"/>
          <w:shd w:val="clear" w:color="auto" w:fill="FFFFFF"/>
        </w:rPr>
        <w:t xml:space="preserve"> </w:t>
      </w:r>
      <w:r w:rsidR="005E259A" w:rsidRPr="00A33E90">
        <w:rPr>
          <w:rFonts w:ascii="Arial" w:hAnsi="Arial" w:cs="Arial"/>
          <w:sz w:val="24"/>
          <w:szCs w:val="24"/>
          <w:shd w:val="clear" w:color="auto" w:fill="FFFFFF"/>
        </w:rPr>
        <w:t>the cells on the provincial grid in which the mining claims</w:t>
      </w:r>
      <w:r w:rsidR="004A41D2" w:rsidRPr="00A33E90">
        <w:rPr>
          <w:rFonts w:ascii="Arial" w:hAnsi="Arial" w:cs="Arial"/>
          <w:sz w:val="24"/>
          <w:szCs w:val="24"/>
          <w:shd w:val="clear" w:color="auto" w:fill="FFFFFF"/>
        </w:rPr>
        <w:t xml:space="preserve"> (including boundary claims)</w:t>
      </w:r>
      <w:r w:rsidR="005E259A" w:rsidRPr="00A33E90">
        <w:rPr>
          <w:rFonts w:ascii="Arial" w:hAnsi="Arial" w:cs="Arial"/>
          <w:sz w:val="24"/>
          <w:szCs w:val="24"/>
          <w:shd w:val="clear" w:color="auto" w:fill="FFFFFF"/>
        </w:rPr>
        <w:t xml:space="preserve"> are located are contiguous to one another in any of the following ways</w:t>
      </w:r>
      <w:r w:rsidR="00E261C4" w:rsidRPr="00A33E90">
        <w:rPr>
          <w:rFonts w:ascii="Arial" w:hAnsi="Arial" w:cs="Arial"/>
          <w:sz w:val="24"/>
          <w:szCs w:val="24"/>
        </w:rPr>
        <w:t>:</w:t>
      </w:r>
    </w:p>
    <w:p w14:paraId="773E7416" w14:textId="3FB5A274" w:rsidR="00DB6475" w:rsidRPr="00000B11" w:rsidRDefault="00A64BCD" w:rsidP="00913B77">
      <w:pPr>
        <w:pStyle w:val="ListParagraph"/>
        <w:numPr>
          <w:ilvl w:val="0"/>
          <w:numId w:val="3"/>
        </w:numPr>
        <w:rPr>
          <w:rFonts w:ascii="Arial" w:hAnsi="Arial" w:cs="Arial"/>
          <w:sz w:val="24"/>
          <w:szCs w:val="24"/>
          <w:shd w:val="clear" w:color="auto" w:fill="FFFFFF"/>
        </w:rPr>
      </w:pPr>
      <w:r w:rsidRPr="00000B11">
        <w:rPr>
          <w:rFonts w:ascii="Arial" w:hAnsi="Arial" w:cs="Arial"/>
          <w:sz w:val="24"/>
          <w:szCs w:val="24"/>
          <w:shd w:val="clear" w:color="auto" w:fill="FFFFFF"/>
        </w:rPr>
        <w:t>T</w:t>
      </w:r>
      <w:r w:rsidR="00E261C4" w:rsidRPr="00000B11">
        <w:rPr>
          <w:rFonts w:ascii="Arial" w:hAnsi="Arial" w:cs="Arial"/>
          <w:sz w:val="24"/>
          <w:szCs w:val="24"/>
          <w:shd w:val="clear" w:color="auto" w:fill="FFFFFF"/>
        </w:rPr>
        <w:t xml:space="preserve">he </w:t>
      </w:r>
      <w:r w:rsidR="004A41D2" w:rsidRPr="00000B11">
        <w:rPr>
          <w:rFonts w:ascii="Arial" w:hAnsi="Arial" w:cs="Arial"/>
          <w:sz w:val="24"/>
          <w:szCs w:val="24"/>
          <w:shd w:val="clear" w:color="auto" w:fill="FFFFFF"/>
        </w:rPr>
        <w:t>c</w:t>
      </w:r>
      <w:r w:rsidR="005E259A" w:rsidRPr="00000B11">
        <w:rPr>
          <w:rFonts w:ascii="Arial" w:hAnsi="Arial" w:cs="Arial"/>
          <w:sz w:val="24"/>
          <w:szCs w:val="24"/>
          <w:shd w:val="clear" w:color="auto" w:fill="FFFFFF"/>
        </w:rPr>
        <w:t>ells</w:t>
      </w:r>
      <w:r w:rsidR="00E261C4" w:rsidRPr="00000B11">
        <w:rPr>
          <w:rFonts w:ascii="Arial" w:hAnsi="Arial" w:cs="Arial"/>
          <w:sz w:val="24"/>
          <w:szCs w:val="24"/>
          <w:shd w:val="clear" w:color="auto" w:fill="FFFFFF"/>
        </w:rPr>
        <w:t xml:space="preserve"> touch one another on at least one side or at least at one corne</w:t>
      </w:r>
      <w:r w:rsidR="004A41D2" w:rsidRPr="00000B11">
        <w:rPr>
          <w:rFonts w:ascii="Arial" w:hAnsi="Arial" w:cs="Arial"/>
          <w:sz w:val="24"/>
          <w:szCs w:val="24"/>
          <w:shd w:val="clear" w:color="auto" w:fill="FFFFFF"/>
        </w:rPr>
        <w:t>r</w:t>
      </w:r>
      <w:r w:rsidRPr="00000B11">
        <w:rPr>
          <w:rFonts w:ascii="Arial" w:hAnsi="Arial" w:cs="Arial"/>
          <w:sz w:val="24"/>
          <w:szCs w:val="24"/>
          <w:shd w:val="clear" w:color="auto" w:fill="FFFFFF"/>
        </w:rPr>
        <w:t xml:space="preserve"> (Figure 1)</w:t>
      </w:r>
      <w:r w:rsidR="004A41D2" w:rsidRPr="00000B11">
        <w:rPr>
          <w:rFonts w:ascii="Arial" w:hAnsi="Arial" w:cs="Arial"/>
          <w:sz w:val="24"/>
          <w:szCs w:val="24"/>
          <w:shd w:val="clear" w:color="auto" w:fill="FFFFFF"/>
        </w:rPr>
        <w:t xml:space="preserve">. </w:t>
      </w:r>
    </w:p>
    <w:p w14:paraId="240BD34B" w14:textId="66311B2C" w:rsidR="00DB6475" w:rsidRPr="001228DC" w:rsidRDefault="00DB6475" w:rsidP="001228DC">
      <w:r w:rsidRPr="001228DC">
        <w:rPr>
          <w:noProof/>
        </w:rPr>
        <w:lastRenderedPageBreak/>
        <w:drawing>
          <wp:inline distT="0" distB="0" distL="0" distR="0" wp14:anchorId="1B5EB5E0" wp14:editId="5905096C">
            <wp:extent cx="5220000" cy="3600000"/>
            <wp:effectExtent l="0" t="0" r="0" b="63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0000" cy="3600000"/>
                    </a:xfrm>
                    <a:prstGeom prst="rect">
                      <a:avLst/>
                    </a:prstGeom>
                    <a:noFill/>
                    <a:ln>
                      <a:noFill/>
                    </a:ln>
                  </pic:spPr>
                </pic:pic>
              </a:graphicData>
            </a:graphic>
          </wp:inline>
        </w:drawing>
      </w:r>
    </w:p>
    <w:p w14:paraId="7249A74F" w14:textId="2A8ED716" w:rsidR="009E57A4" w:rsidRPr="00A33E90" w:rsidRDefault="009E57A4" w:rsidP="001228DC">
      <w:pPr>
        <w:rPr>
          <w:rFonts w:ascii="Arial" w:hAnsi="Arial" w:cs="Arial"/>
          <w:sz w:val="24"/>
          <w:szCs w:val="24"/>
          <w:lang w:val="en" w:eastAsia="en-CA"/>
        </w:rPr>
      </w:pPr>
      <w:r w:rsidRPr="00A33E90">
        <w:rPr>
          <w:rFonts w:ascii="Arial" w:hAnsi="Arial" w:cs="Arial"/>
          <w:sz w:val="24"/>
          <w:szCs w:val="24"/>
          <w:lang w:val="en" w:eastAsia="en-CA"/>
        </w:rPr>
        <w:t>Figure 1: Cell A</w:t>
      </w:r>
      <w:r w:rsidR="0090404A" w:rsidRPr="00A33E90">
        <w:rPr>
          <w:rFonts w:ascii="Arial" w:hAnsi="Arial" w:cs="Arial"/>
          <w:sz w:val="24"/>
          <w:szCs w:val="24"/>
          <w:lang w:val="en" w:eastAsia="en-CA"/>
        </w:rPr>
        <w:t xml:space="preserve"> (provider</w:t>
      </w:r>
      <w:r w:rsidR="00C762BC" w:rsidRPr="00A33E90">
        <w:rPr>
          <w:rFonts w:ascii="Arial" w:hAnsi="Arial" w:cs="Arial"/>
          <w:sz w:val="24"/>
          <w:szCs w:val="24"/>
          <w:lang w:val="en" w:eastAsia="en-CA"/>
        </w:rPr>
        <w:t xml:space="preserve"> claim</w:t>
      </w:r>
      <w:r w:rsidR="0090404A" w:rsidRPr="00A33E90">
        <w:rPr>
          <w:rFonts w:ascii="Arial" w:hAnsi="Arial" w:cs="Arial"/>
          <w:sz w:val="24"/>
          <w:szCs w:val="24"/>
          <w:lang w:val="en" w:eastAsia="en-CA"/>
        </w:rPr>
        <w:t>)</w:t>
      </w:r>
      <w:r w:rsidRPr="00A33E90">
        <w:rPr>
          <w:rFonts w:ascii="Arial" w:hAnsi="Arial" w:cs="Arial"/>
          <w:sz w:val="24"/>
          <w:szCs w:val="24"/>
          <w:lang w:val="en" w:eastAsia="en-CA"/>
        </w:rPr>
        <w:t xml:space="preserve"> is contiguous with Cell B </w:t>
      </w:r>
      <w:r w:rsidR="0090404A" w:rsidRPr="00A33E90">
        <w:rPr>
          <w:rFonts w:ascii="Arial" w:hAnsi="Arial" w:cs="Arial"/>
          <w:sz w:val="24"/>
          <w:szCs w:val="24"/>
          <w:lang w:val="en" w:eastAsia="en-CA"/>
        </w:rPr>
        <w:t>(receiver</w:t>
      </w:r>
      <w:r w:rsidR="00C762BC" w:rsidRPr="00A33E90">
        <w:rPr>
          <w:rFonts w:ascii="Arial" w:hAnsi="Arial" w:cs="Arial"/>
          <w:sz w:val="24"/>
          <w:szCs w:val="24"/>
          <w:lang w:val="en" w:eastAsia="en-CA"/>
        </w:rPr>
        <w:t xml:space="preserve"> claim</w:t>
      </w:r>
      <w:r w:rsidR="0090404A" w:rsidRPr="00A33E90">
        <w:rPr>
          <w:rFonts w:ascii="Arial" w:hAnsi="Arial" w:cs="Arial"/>
          <w:sz w:val="24"/>
          <w:szCs w:val="24"/>
          <w:lang w:val="en" w:eastAsia="en-CA"/>
        </w:rPr>
        <w:t xml:space="preserve">) </w:t>
      </w:r>
      <w:r w:rsidR="00C762BC" w:rsidRPr="00A33E90">
        <w:rPr>
          <w:rFonts w:ascii="Arial" w:hAnsi="Arial" w:cs="Arial"/>
          <w:sz w:val="24"/>
          <w:szCs w:val="24"/>
          <w:lang w:val="en" w:eastAsia="en-CA"/>
        </w:rPr>
        <w:t xml:space="preserve">and Cell C (receiver claim).  Cell A touches Cell B on one side. Cell A touches </w:t>
      </w:r>
      <w:r w:rsidRPr="00A33E90">
        <w:rPr>
          <w:rFonts w:ascii="Arial" w:hAnsi="Arial" w:cs="Arial"/>
          <w:sz w:val="24"/>
          <w:szCs w:val="24"/>
          <w:lang w:val="en" w:eastAsia="en-CA"/>
        </w:rPr>
        <w:t>Cell C</w:t>
      </w:r>
      <w:r w:rsidRPr="00A33E90">
        <w:rPr>
          <w:rFonts w:ascii="Arial" w:hAnsi="Arial" w:cs="Arial"/>
          <w:sz w:val="24"/>
          <w:szCs w:val="24"/>
          <w:shd w:val="clear" w:color="auto" w:fill="FFFFFF"/>
        </w:rPr>
        <w:t xml:space="preserve"> at one corner</w:t>
      </w:r>
      <w:r w:rsidR="00C55FB7" w:rsidRPr="00A33E90">
        <w:rPr>
          <w:rFonts w:ascii="Arial" w:hAnsi="Arial" w:cs="Arial"/>
          <w:sz w:val="24"/>
          <w:szCs w:val="24"/>
          <w:shd w:val="clear" w:color="auto" w:fill="FFFFFF"/>
        </w:rPr>
        <w:t>.</w:t>
      </w:r>
    </w:p>
    <w:p w14:paraId="0D15BC19" w14:textId="595E004F" w:rsidR="007321B4" w:rsidRPr="00000B11" w:rsidRDefault="00A64BCD" w:rsidP="00913B77">
      <w:pPr>
        <w:pStyle w:val="ListParagraph"/>
        <w:numPr>
          <w:ilvl w:val="0"/>
          <w:numId w:val="3"/>
        </w:numPr>
        <w:rPr>
          <w:rFonts w:ascii="Arial" w:hAnsi="Arial" w:cs="Arial"/>
          <w:sz w:val="24"/>
          <w:szCs w:val="24"/>
        </w:rPr>
      </w:pPr>
      <w:r w:rsidRPr="00000B11">
        <w:rPr>
          <w:rFonts w:ascii="Arial" w:hAnsi="Arial" w:cs="Arial"/>
          <w:sz w:val="24"/>
          <w:szCs w:val="24"/>
          <w:shd w:val="clear" w:color="auto" w:fill="FFFFFF"/>
        </w:rPr>
        <w:t>A</w:t>
      </w:r>
      <w:r w:rsidR="007321B4" w:rsidRPr="00000B11">
        <w:rPr>
          <w:rFonts w:ascii="Arial" w:hAnsi="Arial" w:cs="Arial"/>
          <w:sz w:val="24"/>
          <w:szCs w:val="24"/>
          <w:shd w:val="clear" w:color="auto" w:fill="FFFFFF"/>
        </w:rPr>
        <w:t xml:space="preserve"> cell is contiguous to another cell even though they do not touch each other but the cells are connected through one or more cells each contiguous with one another by at least one side or at least at one corner</w:t>
      </w:r>
      <w:r w:rsidRPr="00000B11">
        <w:rPr>
          <w:rFonts w:ascii="Arial" w:hAnsi="Arial" w:cs="Arial"/>
          <w:sz w:val="24"/>
          <w:szCs w:val="24"/>
          <w:shd w:val="clear" w:color="auto" w:fill="FFFFFF"/>
        </w:rPr>
        <w:t xml:space="preserve"> (Figure 2)</w:t>
      </w:r>
    </w:p>
    <w:p w14:paraId="03E150FB" w14:textId="71C26731" w:rsidR="007321B4" w:rsidRPr="001228DC" w:rsidRDefault="007321B4" w:rsidP="001228DC">
      <w:r w:rsidRPr="001228DC">
        <w:rPr>
          <w:noProof/>
        </w:rPr>
        <w:lastRenderedPageBreak/>
        <w:drawing>
          <wp:inline distT="0" distB="0" distL="0" distR="0" wp14:anchorId="092DDA98" wp14:editId="1E8B18A6">
            <wp:extent cx="5220000" cy="3600000"/>
            <wp:effectExtent l="0" t="0" r="0" b="63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0000" cy="3600000"/>
                    </a:xfrm>
                    <a:prstGeom prst="rect">
                      <a:avLst/>
                    </a:prstGeom>
                    <a:noFill/>
                    <a:ln>
                      <a:noFill/>
                    </a:ln>
                  </pic:spPr>
                </pic:pic>
              </a:graphicData>
            </a:graphic>
          </wp:inline>
        </w:drawing>
      </w:r>
    </w:p>
    <w:p w14:paraId="0D2D1600" w14:textId="67C79B3E" w:rsidR="007321B4" w:rsidRPr="00A33E90" w:rsidRDefault="007321B4" w:rsidP="001228DC">
      <w:pPr>
        <w:rPr>
          <w:rFonts w:ascii="Arial" w:hAnsi="Arial" w:cs="Arial"/>
          <w:sz w:val="24"/>
          <w:szCs w:val="24"/>
        </w:rPr>
      </w:pPr>
      <w:r w:rsidRPr="00A33E90">
        <w:rPr>
          <w:rFonts w:ascii="Arial" w:hAnsi="Arial" w:cs="Arial"/>
          <w:sz w:val="24"/>
          <w:szCs w:val="24"/>
          <w:lang w:val="en" w:eastAsia="en-CA"/>
        </w:rPr>
        <w:t>Figure 2:  Cell A</w:t>
      </w:r>
      <w:r w:rsidR="0090404A" w:rsidRPr="00A33E90">
        <w:rPr>
          <w:rFonts w:ascii="Arial" w:hAnsi="Arial" w:cs="Arial"/>
          <w:sz w:val="24"/>
          <w:szCs w:val="24"/>
          <w:lang w:val="en" w:eastAsia="en-CA"/>
        </w:rPr>
        <w:t xml:space="preserve"> (provider</w:t>
      </w:r>
      <w:r w:rsidR="00C762BC" w:rsidRPr="00A33E90">
        <w:rPr>
          <w:rFonts w:ascii="Arial" w:hAnsi="Arial" w:cs="Arial"/>
          <w:sz w:val="24"/>
          <w:szCs w:val="24"/>
          <w:lang w:val="en" w:eastAsia="en-CA"/>
        </w:rPr>
        <w:t xml:space="preserve"> claim</w:t>
      </w:r>
      <w:r w:rsidR="0090404A" w:rsidRPr="00A33E90">
        <w:rPr>
          <w:rFonts w:ascii="Arial" w:hAnsi="Arial" w:cs="Arial"/>
          <w:sz w:val="24"/>
          <w:szCs w:val="24"/>
          <w:lang w:val="en" w:eastAsia="en-CA"/>
        </w:rPr>
        <w:t>)</w:t>
      </w:r>
      <w:r w:rsidRPr="00A33E90">
        <w:rPr>
          <w:rFonts w:ascii="Arial" w:hAnsi="Arial" w:cs="Arial"/>
          <w:sz w:val="24"/>
          <w:szCs w:val="24"/>
          <w:lang w:val="en" w:eastAsia="en-CA"/>
        </w:rPr>
        <w:t xml:space="preserve"> is contiguous with Cell D </w:t>
      </w:r>
      <w:r w:rsidR="0090404A" w:rsidRPr="00A33E90">
        <w:rPr>
          <w:rFonts w:ascii="Arial" w:hAnsi="Arial" w:cs="Arial"/>
          <w:sz w:val="24"/>
          <w:szCs w:val="24"/>
          <w:lang w:val="en" w:eastAsia="en-CA"/>
        </w:rPr>
        <w:t>(receiver</w:t>
      </w:r>
      <w:r w:rsidR="00C762BC" w:rsidRPr="00A33E90">
        <w:rPr>
          <w:rFonts w:ascii="Arial" w:hAnsi="Arial" w:cs="Arial"/>
          <w:sz w:val="24"/>
          <w:szCs w:val="24"/>
          <w:lang w:val="en" w:eastAsia="en-CA"/>
        </w:rPr>
        <w:t xml:space="preserve"> claim</w:t>
      </w:r>
      <w:r w:rsidR="0090404A" w:rsidRPr="00A33E90">
        <w:rPr>
          <w:rFonts w:ascii="Arial" w:hAnsi="Arial" w:cs="Arial"/>
          <w:sz w:val="24"/>
          <w:szCs w:val="24"/>
          <w:lang w:val="en" w:eastAsia="en-CA"/>
        </w:rPr>
        <w:t>)</w:t>
      </w:r>
      <w:r w:rsidR="00163FD2" w:rsidRPr="00A33E90">
        <w:rPr>
          <w:rFonts w:ascii="Arial" w:hAnsi="Arial" w:cs="Arial"/>
          <w:sz w:val="24"/>
          <w:szCs w:val="24"/>
          <w:lang w:val="en" w:eastAsia="en-CA"/>
        </w:rPr>
        <w:t>.</w:t>
      </w:r>
      <w:r w:rsidR="00C762BC" w:rsidRPr="00A33E90">
        <w:rPr>
          <w:rFonts w:ascii="Arial" w:hAnsi="Arial" w:cs="Arial"/>
          <w:sz w:val="24"/>
          <w:szCs w:val="24"/>
          <w:lang w:val="en" w:eastAsia="en-CA"/>
        </w:rPr>
        <w:t xml:space="preserve"> </w:t>
      </w:r>
      <w:r w:rsidR="0090404A" w:rsidRPr="00A33E90">
        <w:rPr>
          <w:rFonts w:ascii="Arial" w:hAnsi="Arial" w:cs="Arial"/>
          <w:sz w:val="24"/>
          <w:szCs w:val="24"/>
          <w:lang w:val="en" w:eastAsia="en-CA"/>
        </w:rPr>
        <w:t xml:space="preserve"> </w:t>
      </w:r>
      <w:r w:rsidR="00C762BC" w:rsidRPr="00A33E90">
        <w:rPr>
          <w:rFonts w:ascii="Arial" w:hAnsi="Arial" w:cs="Arial"/>
          <w:sz w:val="24"/>
          <w:szCs w:val="24"/>
          <w:lang w:val="en" w:eastAsia="en-CA"/>
        </w:rPr>
        <w:t xml:space="preserve">Cell A touches one side of </w:t>
      </w:r>
      <w:r w:rsidRPr="00A33E90">
        <w:rPr>
          <w:rFonts w:ascii="Arial" w:hAnsi="Arial" w:cs="Arial"/>
          <w:sz w:val="24"/>
          <w:szCs w:val="24"/>
          <w:lang w:val="en" w:eastAsia="en-CA"/>
        </w:rPr>
        <w:t>Cell B</w:t>
      </w:r>
      <w:r w:rsidR="00C762BC" w:rsidRPr="00A33E90">
        <w:rPr>
          <w:rFonts w:ascii="Arial" w:hAnsi="Arial" w:cs="Arial"/>
          <w:sz w:val="24"/>
          <w:szCs w:val="24"/>
          <w:lang w:val="en" w:eastAsia="en-CA"/>
        </w:rPr>
        <w:t xml:space="preserve"> and Cell B touches one corner of Cell D. </w:t>
      </w:r>
    </w:p>
    <w:p w14:paraId="762F6699" w14:textId="6D34AE01" w:rsidR="007321B4" w:rsidRPr="00506842" w:rsidRDefault="007321B4" w:rsidP="00506842">
      <w:pPr>
        <w:pStyle w:val="Heading2"/>
        <w:spacing w:after="240"/>
        <w:rPr>
          <w:rFonts w:eastAsiaTheme="minorEastAsia"/>
          <w:sz w:val="28"/>
          <w:szCs w:val="24"/>
          <w:lang w:val="en" w:eastAsia="en-CA"/>
        </w:rPr>
      </w:pPr>
      <w:bookmarkStart w:id="7" w:name="_Toc92365371"/>
      <w:r w:rsidRPr="00506842">
        <w:rPr>
          <w:rFonts w:eastAsiaTheme="minorEastAsia"/>
          <w:sz w:val="28"/>
          <w:szCs w:val="24"/>
          <w:lang w:val="en" w:eastAsia="en-CA"/>
        </w:rPr>
        <w:t xml:space="preserve">Contiguity </w:t>
      </w:r>
      <w:r w:rsidR="00C448A4" w:rsidRPr="00506842">
        <w:rPr>
          <w:rFonts w:eastAsiaTheme="minorEastAsia"/>
          <w:sz w:val="28"/>
          <w:szCs w:val="24"/>
          <w:lang w:val="en" w:eastAsia="en-CA"/>
        </w:rPr>
        <w:t xml:space="preserve">of </w:t>
      </w:r>
      <w:r w:rsidRPr="00506842">
        <w:rPr>
          <w:rFonts w:eastAsiaTheme="minorEastAsia"/>
          <w:sz w:val="28"/>
          <w:szCs w:val="24"/>
          <w:lang w:val="en" w:eastAsia="en-CA"/>
        </w:rPr>
        <w:t>Mining Lands</w:t>
      </w:r>
      <w:bookmarkEnd w:id="7"/>
    </w:p>
    <w:p w14:paraId="02A5B1D8" w14:textId="19044F1E" w:rsidR="00C527BC" w:rsidRPr="00A07071" w:rsidRDefault="007321B4" w:rsidP="001228DC">
      <w:pPr>
        <w:rPr>
          <w:rFonts w:ascii="Arial" w:hAnsi="Arial" w:cs="Arial"/>
          <w:sz w:val="24"/>
          <w:szCs w:val="24"/>
          <w:shd w:val="clear" w:color="auto" w:fill="FFFFFF"/>
        </w:rPr>
      </w:pPr>
      <w:r w:rsidRPr="00A07071">
        <w:rPr>
          <w:rFonts w:ascii="Arial" w:hAnsi="Arial" w:cs="Arial"/>
          <w:sz w:val="24"/>
          <w:szCs w:val="24"/>
          <w:shd w:val="clear" w:color="auto" w:fill="FFFFFF"/>
        </w:rPr>
        <w:t>Mining lands</w:t>
      </w:r>
      <w:r w:rsidR="00C448A4">
        <w:rPr>
          <w:rFonts w:ascii="Arial" w:hAnsi="Arial" w:cs="Arial"/>
          <w:sz w:val="24"/>
          <w:szCs w:val="24"/>
          <w:shd w:val="clear" w:color="auto" w:fill="FFFFFF"/>
        </w:rPr>
        <w:t xml:space="preserve"> (including mining claims and mining lands other than mining claims)</w:t>
      </w:r>
      <w:r w:rsidRPr="00A07071">
        <w:rPr>
          <w:rFonts w:ascii="Arial" w:hAnsi="Arial" w:cs="Arial"/>
          <w:sz w:val="24"/>
          <w:szCs w:val="24"/>
          <w:shd w:val="clear" w:color="auto" w:fill="FFFFFF"/>
        </w:rPr>
        <w:t xml:space="preserve"> are contiguous </w:t>
      </w:r>
      <w:r w:rsidR="00162B1E" w:rsidRPr="00A07071">
        <w:rPr>
          <w:rFonts w:ascii="Arial" w:hAnsi="Arial" w:cs="Arial"/>
          <w:sz w:val="24"/>
          <w:szCs w:val="24"/>
          <w:shd w:val="clear" w:color="auto" w:fill="FFFFFF"/>
        </w:rPr>
        <w:t>if they meet the rules for contiguity</w:t>
      </w:r>
      <w:r w:rsidR="0026201B" w:rsidRPr="00A07071">
        <w:rPr>
          <w:rFonts w:ascii="Arial" w:hAnsi="Arial" w:cs="Arial"/>
          <w:sz w:val="24"/>
          <w:szCs w:val="24"/>
          <w:shd w:val="clear" w:color="auto" w:fill="FFFFFF"/>
        </w:rPr>
        <w:t xml:space="preserve"> </w:t>
      </w:r>
      <w:r w:rsidR="00C448A4">
        <w:rPr>
          <w:rFonts w:ascii="Arial" w:hAnsi="Arial" w:cs="Arial"/>
          <w:sz w:val="24"/>
          <w:szCs w:val="24"/>
          <w:shd w:val="clear" w:color="auto" w:fill="FFFFFF"/>
        </w:rPr>
        <w:t>set out</w:t>
      </w:r>
      <w:r w:rsidR="00C448A4" w:rsidRPr="00A07071">
        <w:rPr>
          <w:rFonts w:ascii="Arial" w:hAnsi="Arial" w:cs="Arial"/>
          <w:sz w:val="24"/>
          <w:szCs w:val="24"/>
          <w:shd w:val="clear" w:color="auto" w:fill="FFFFFF"/>
        </w:rPr>
        <w:t xml:space="preserve"> </w:t>
      </w:r>
      <w:r w:rsidR="0026201B" w:rsidRPr="00A07071">
        <w:rPr>
          <w:rFonts w:ascii="Arial" w:hAnsi="Arial" w:cs="Arial"/>
          <w:sz w:val="24"/>
          <w:szCs w:val="24"/>
          <w:shd w:val="clear" w:color="auto" w:fill="FFFFFF"/>
        </w:rPr>
        <w:t xml:space="preserve">in </w:t>
      </w:r>
      <w:r w:rsidR="00C448A4">
        <w:rPr>
          <w:rFonts w:ascii="Arial" w:hAnsi="Arial" w:cs="Arial"/>
          <w:sz w:val="24"/>
          <w:szCs w:val="24"/>
          <w:shd w:val="clear" w:color="auto" w:fill="FFFFFF"/>
        </w:rPr>
        <w:t>sub</w:t>
      </w:r>
      <w:r w:rsidR="0026201B" w:rsidRPr="00A07071">
        <w:rPr>
          <w:rFonts w:ascii="Arial" w:hAnsi="Arial" w:cs="Arial"/>
          <w:sz w:val="24"/>
          <w:szCs w:val="24"/>
          <w:shd w:val="clear" w:color="auto" w:fill="FFFFFF"/>
        </w:rPr>
        <w:t>sections 17(4)</w:t>
      </w:r>
      <w:r w:rsidR="00C448A4">
        <w:rPr>
          <w:rFonts w:ascii="Arial" w:hAnsi="Arial" w:cs="Arial"/>
          <w:sz w:val="24"/>
          <w:szCs w:val="24"/>
          <w:shd w:val="clear" w:color="auto" w:fill="FFFFFF"/>
        </w:rPr>
        <w:t xml:space="preserve">, </w:t>
      </w:r>
      <w:r w:rsidR="0026201B" w:rsidRPr="00A07071">
        <w:rPr>
          <w:rFonts w:ascii="Arial" w:hAnsi="Arial" w:cs="Arial"/>
          <w:sz w:val="24"/>
          <w:szCs w:val="24"/>
          <w:shd w:val="clear" w:color="auto" w:fill="FFFFFF"/>
        </w:rPr>
        <w:t>(5) and (6) of the Regulation.</w:t>
      </w:r>
      <w:r w:rsidR="0026201B" w:rsidRPr="00A07071">
        <w:rPr>
          <w:rFonts w:ascii="Arial" w:hAnsi="Arial" w:cs="Arial"/>
          <w:b/>
          <w:sz w:val="24"/>
          <w:szCs w:val="24"/>
          <w:shd w:val="clear" w:color="auto" w:fill="FFFFFF"/>
          <w:lang w:val="en"/>
        </w:rPr>
        <w:t xml:space="preserve">  </w:t>
      </w:r>
      <w:r w:rsidR="005E259A" w:rsidRPr="00A07071">
        <w:rPr>
          <w:rFonts w:ascii="Arial" w:hAnsi="Arial" w:cs="Arial"/>
          <w:sz w:val="24"/>
          <w:szCs w:val="24"/>
        </w:rPr>
        <w:t xml:space="preserve">For the purposes of allocating assessment work </w:t>
      </w:r>
      <w:r w:rsidR="00A81F90" w:rsidRPr="00A07071">
        <w:rPr>
          <w:rFonts w:ascii="Arial" w:hAnsi="Arial" w:cs="Arial"/>
          <w:sz w:val="24"/>
          <w:szCs w:val="24"/>
        </w:rPr>
        <w:t>credits</w:t>
      </w:r>
      <w:r w:rsidR="005E259A" w:rsidRPr="00A07071">
        <w:rPr>
          <w:rFonts w:ascii="Arial" w:hAnsi="Arial" w:cs="Arial"/>
          <w:sz w:val="24"/>
          <w:szCs w:val="24"/>
        </w:rPr>
        <w:t xml:space="preserve"> from a </w:t>
      </w:r>
      <w:r w:rsidR="00CA0D90" w:rsidRPr="00A07071">
        <w:rPr>
          <w:rFonts w:ascii="Arial" w:hAnsi="Arial" w:cs="Arial"/>
          <w:sz w:val="24"/>
          <w:szCs w:val="24"/>
          <w:shd w:val="clear" w:color="auto" w:fill="FFFFFF"/>
        </w:rPr>
        <w:t>reserve of mining lands other than a mining claim</w:t>
      </w:r>
      <w:r w:rsidR="007367B2" w:rsidRPr="00A07071">
        <w:rPr>
          <w:rFonts w:ascii="Arial" w:hAnsi="Arial" w:cs="Arial"/>
          <w:sz w:val="24"/>
          <w:szCs w:val="24"/>
          <w:shd w:val="clear" w:color="auto" w:fill="FFFFFF"/>
        </w:rPr>
        <w:t xml:space="preserve"> </w:t>
      </w:r>
      <w:r w:rsidR="00CA0D90" w:rsidRPr="00A07071">
        <w:rPr>
          <w:rFonts w:ascii="Arial" w:hAnsi="Arial" w:cs="Arial"/>
          <w:sz w:val="24"/>
          <w:szCs w:val="24"/>
          <w:shd w:val="clear" w:color="auto" w:fill="FFFFFF"/>
        </w:rPr>
        <w:t>to a contiguous mining claim</w:t>
      </w:r>
      <w:r w:rsidR="00C448A4">
        <w:rPr>
          <w:rFonts w:ascii="Arial" w:hAnsi="Arial" w:cs="Arial"/>
          <w:sz w:val="24"/>
          <w:szCs w:val="24"/>
          <w:shd w:val="clear" w:color="auto" w:fill="FFFFFF"/>
        </w:rPr>
        <w:t>,</w:t>
      </w:r>
      <w:r w:rsidR="00195516" w:rsidRPr="00A07071">
        <w:rPr>
          <w:rFonts w:ascii="Arial" w:hAnsi="Arial" w:cs="Arial"/>
          <w:sz w:val="24"/>
          <w:szCs w:val="24"/>
          <w:shd w:val="clear" w:color="auto" w:fill="FFFFFF"/>
        </w:rPr>
        <w:t xml:space="preserve"> </w:t>
      </w:r>
      <w:r w:rsidR="00CA0D90" w:rsidRPr="00A07071">
        <w:rPr>
          <w:rFonts w:ascii="Arial" w:hAnsi="Arial" w:cs="Arial"/>
          <w:sz w:val="24"/>
          <w:szCs w:val="24"/>
          <w:shd w:val="clear" w:color="auto" w:fill="FFFFFF"/>
        </w:rPr>
        <w:t>contiguity is considered established when</w:t>
      </w:r>
      <w:r w:rsidR="00C527BC" w:rsidRPr="00A07071">
        <w:rPr>
          <w:rFonts w:ascii="Arial" w:hAnsi="Arial" w:cs="Arial"/>
          <w:sz w:val="24"/>
          <w:szCs w:val="24"/>
          <w:shd w:val="clear" w:color="auto" w:fill="FFFFFF"/>
        </w:rPr>
        <w:t xml:space="preserve">: </w:t>
      </w:r>
      <w:r w:rsidR="00CA0D90" w:rsidRPr="00A07071">
        <w:rPr>
          <w:rFonts w:ascii="Arial" w:hAnsi="Arial" w:cs="Arial"/>
          <w:sz w:val="24"/>
          <w:szCs w:val="24"/>
          <w:shd w:val="clear" w:color="auto" w:fill="FFFFFF"/>
        </w:rPr>
        <w:t xml:space="preserve"> </w:t>
      </w:r>
    </w:p>
    <w:p w14:paraId="0C8993E6" w14:textId="76A01779" w:rsidR="00D77F2B" w:rsidRPr="00FE0D85" w:rsidRDefault="00683CE7" w:rsidP="00FE0D85">
      <w:pPr>
        <w:pStyle w:val="ListParagraph"/>
        <w:numPr>
          <w:ilvl w:val="0"/>
          <w:numId w:val="10"/>
        </w:numPr>
        <w:rPr>
          <w:rFonts w:ascii="Arial" w:eastAsia="Times New Roman" w:hAnsi="Arial" w:cs="Arial"/>
          <w:sz w:val="24"/>
          <w:szCs w:val="24"/>
          <w:lang w:eastAsia="en-CA"/>
        </w:rPr>
      </w:pPr>
      <w:bookmarkStart w:id="8" w:name="_Hlk83118696"/>
      <w:r w:rsidRPr="00FE0D85">
        <w:rPr>
          <w:rFonts w:ascii="Arial" w:eastAsia="Times New Roman" w:hAnsi="Arial" w:cs="Arial"/>
          <w:sz w:val="24"/>
          <w:szCs w:val="24"/>
          <w:lang w:eastAsia="en-CA"/>
        </w:rPr>
        <w:t>the mining lands are located</w:t>
      </w:r>
      <w:bookmarkEnd w:id="8"/>
      <w:r w:rsidR="00FE0D85">
        <w:rPr>
          <w:rFonts w:ascii="Arial" w:eastAsia="Times New Roman" w:hAnsi="Arial" w:cs="Arial"/>
          <w:sz w:val="24"/>
          <w:szCs w:val="24"/>
          <w:lang w:eastAsia="en-CA"/>
        </w:rPr>
        <w:t>,</w:t>
      </w:r>
    </w:p>
    <w:p w14:paraId="05E8D5F4" w14:textId="6F3722FD" w:rsidR="00683CE7" w:rsidRPr="00FE0D85" w:rsidRDefault="00683CE7" w:rsidP="00FE0D85">
      <w:pPr>
        <w:pStyle w:val="ListParagraph"/>
        <w:numPr>
          <w:ilvl w:val="0"/>
          <w:numId w:val="9"/>
        </w:numPr>
        <w:rPr>
          <w:rFonts w:ascii="Arial" w:eastAsia="Times New Roman" w:hAnsi="Arial" w:cs="Arial"/>
          <w:sz w:val="24"/>
          <w:szCs w:val="24"/>
          <w:lang w:eastAsia="en-CA"/>
        </w:rPr>
      </w:pPr>
      <w:r w:rsidRPr="00FE0D85">
        <w:rPr>
          <w:rFonts w:ascii="Arial" w:eastAsia="Times New Roman" w:hAnsi="Arial" w:cs="Arial"/>
          <w:sz w:val="24"/>
          <w:szCs w:val="24"/>
          <w:lang w:eastAsia="en-CA"/>
        </w:rPr>
        <w:t>in the same cell as the mining claim</w:t>
      </w:r>
      <w:r w:rsidR="00A64BCD" w:rsidRPr="00FE0D85">
        <w:rPr>
          <w:rFonts w:ascii="Arial" w:eastAsia="Times New Roman" w:hAnsi="Arial" w:cs="Arial"/>
          <w:sz w:val="24"/>
          <w:szCs w:val="24"/>
          <w:lang w:eastAsia="en-CA"/>
        </w:rPr>
        <w:t xml:space="preserve"> (Figure 3)</w:t>
      </w:r>
    </w:p>
    <w:p w14:paraId="6D70987A" w14:textId="789B0775" w:rsidR="00162B1E" w:rsidRPr="001228DC" w:rsidRDefault="00162B1E" w:rsidP="001228DC">
      <w:pPr>
        <w:rPr>
          <w:rFonts w:eastAsia="Times New Roman"/>
          <w:lang w:eastAsia="en-CA"/>
        </w:rPr>
      </w:pPr>
    </w:p>
    <w:p w14:paraId="07883391" w14:textId="77777777" w:rsidR="00A07071" w:rsidRDefault="00A07071" w:rsidP="001228DC">
      <w:pPr>
        <w:rPr>
          <w:noProof/>
        </w:rPr>
      </w:pPr>
    </w:p>
    <w:p w14:paraId="6E7A1B7F" w14:textId="0A29FAD3" w:rsidR="00EB7945" w:rsidRPr="001228DC" w:rsidRDefault="00EB7945" w:rsidP="001228DC">
      <w:pPr>
        <w:rPr>
          <w:rFonts w:eastAsia="Times New Roman"/>
          <w:lang w:eastAsia="en-CA"/>
        </w:rPr>
      </w:pPr>
      <w:r w:rsidRPr="001228DC">
        <w:rPr>
          <w:noProof/>
        </w:rPr>
        <w:lastRenderedPageBreak/>
        <w:drawing>
          <wp:inline distT="0" distB="0" distL="0" distR="0" wp14:anchorId="2983DDC5" wp14:editId="602757AE">
            <wp:extent cx="5220000" cy="3600000"/>
            <wp:effectExtent l="0" t="0" r="0" b="635"/>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rotWithShape="1">
                    <a:blip r:embed="rId18">
                      <a:extLst>
                        <a:ext uri="{28A0092B-C50C-407E-A947-70E740481C1C}">
                          <a14:useLocalDpi xmlns:a14="http://schemas.microsoft.com/office/drawing/2010/main" val="0"/>
                        </a:ext>
                      </a:extLst>
                    </a:blip>
                    <a:srcRect r="10080" b="-18"/>
                    <a:stretch/>
                  </pic:blipFill>
                  <pic:spPr bwMode="auto">
                    <a:xfrm>
                      <a:off x="0" y="0"/>
                      <a:ext cx="5220000" cy="3600000"/>
                    </a:xfrm>
                    <a:prstGeom prst="rect">
                      <a:avLst/>
                    </a:prstGeom>
                    <a:noFill/>
                    <a:ln>
                      <a:noFill/>
                    </a:ln>
                    <a:extLst>
                      <a:ext uri="{53640926-AAD7-44D8-BBD7-CCE9431645EC}">
                        <a14:shadowObscured xmlns:a14="http://schemas.microsoft.com/office/drawing/2010/main"/>
                      </a:ext>
                    </a:extLst>
                  </pic:spPr>
                </pic:pic>
              </a:graphicData>
            </a:graphic>
          </wp:inline>
        </w:drawing>
      </w:r>
    </w:p>
    <w:p w14:paraId="7F577BE5" w14:textId="109BBDDF" w:rsidR="00162B1E" w:rsidRPr="00A56F34" w:rsidRDefault="00162B1E" w:rsidP="001228DC">
      <w:pPr>
        <w:rPr>
          <w:rFonts w:ascii="Arial" w:hAnsi="Arial" w:cs="Arial"/>
          <w:noProof/>
          <w:sz w:val="24"/>
          <w:szCs w:val="24"/>
        </w:rPr>
      </w:pPr>
      <w:r w:rsidRPr="00A56F34">
        <w:rPr>
          <w:rFonts w:ascii="Arial" w:hAnsi="Arial" w:cs="Arial"/>
          <w:noProof/>
          <w:sz w:val="24"/>
          <w:szCs w:val="24"/>
        </w:rPr>
        <w:t xml:space="preserve">Figure 3: </w:t>
      </w:r>
      <w:r w:rsidR="00195516" w:rsidRPr="00A56F34">
        <w:rPr>
          <w:rFonts w:ascii="Arial" w:hAnsi="Arial" w:cs="Arial"/>
          <w:noProof/>
          <w:sz w:val="24"/>
          <w:szCs w:val="24"/>
        </w:rPr>
        <w:t xml:space="preserve">Mining Lands 1 (ML 1 (provider)) is contiguous with </w:t>
      </w:r>
      <w:r w:rsidRPr="00A56F34">
        <w:rPr>
          <w:rFonts w:ascii="Arial" w:hAnsi="Arial" w:cs="Arial"/>
          <w:noProof/>
          <w:sz w:val="24"/>
          <w:szCs w:val="24"/>
        </w:rPr>
        <w:t xml:space="preserve">Claim </w:t>
      </w:r>
      <w:r w:rsidR="00EB7945" w:rsidRPr="00A56F34">
        <w:rPr>
          <w:rFonts w:ascii="Arial" w:hAnsi="Arial" w:cs="Arial"/>
          <w:noProof/>
          <w:sz w:val="24"/>
          <w:szCs w:val="24"/>
        </w:rPr>
        <w:t>A</w:t>
      </w:r>
      <w:r w:rsidRPr="00A56F34">
        <w:rPr>
          <w:rFonts w:ascii="Arial" w:hAnsi="Arial" w:cs="Arial"/>
          <w:noProof/>
          <w:sz w:val="24"/>
          <w:szCs w:val="24"/>
        </w:rPr>
        <w:t xml:space="preserve"> </w:t>
      </w:r>
      <w:r w:rsidR="00195516" w:rsidRPr="00A56F34">
        <w:rPr>
          <w:rFonts w:ascii="Arial" w:hAnsi="Arial" w:cs="Arial"/>
          <w:noProof/>
          <w:sz w:val="24"/>
          <w:szCs w:val="24"/>
        </w:rPr>
        <w:t>(receiver)</w:t>
      </w:r>
      <w:r w:rsidR="00EB7945" w:rsidRPr="00A56F34">
        <w:rPr>
          <w:rFonts w:ascii="Arial" w:hAnsi="Arial" w:cs="Arial"/>
          <w:noProof/>
          <w:sz w:val="24"/>
          <w:szCs w:val="24"/>
        </w:rPr>
        <w:t xml:space="preserve">.  ML 1 does not touch Claim A however ML 1 and Claim A and </w:t>
      </w:r>
      <w:r w:rsidRPr="00A56F34">
        <w:rPr>
          <w:rFonts w:ascii="Arial" w:hAnsi="Arial" w:cs="Arial"/>
          <w:noProof/>
          <w:sz w:val="24"/>
          <w:szCs w:val="24"/>
        </w:rPr>
        <w:t>are</w:t>
      </w:r>
      <w:r w:rsidR="00195516" w:rsidRPr="00A56F34">
        <w:rPr>
          <w:rFonts w:ascii="Arial" w:hAnsi="Arial" w:cs="Arial"/>
          <w:noProof/>
          <w:sz w:val="24"/>
          <w:szCs w:val="24"/>
        </w:rPr>
        <w:t xml:space="preserve"> </w:t>
      </w:r>
      <w:r w:rsidRPr="00A56F34">
        <w:rPr>
          <w:rFonts w:ascii="Arial" w:hAnsi="Arial" w:cs="Arial"/>
          <w:noProof/>
          <w:sz w:val="24"/>
          <w:szCs w:val="24"/>
        </w:rPr>
        <w:t xml:space="preserve">in the same cell. </w:t>
      </w:r>
    </w:p>
    <w:p w14:paraId="5064AE55" w14:textId="2E4AAAB4" w:rsidR="00683CE7" w:rsidRPr="00FE0D85" w:rsidRDefault="00683CE7" w:rsidP="00FE0D85">
      <w:pPr>
        <w:pStyle w:val="ListParagraph"/>
        <w:numPr>
          <w:ilvl w:val="0"/>
          <w:numId w:val="9"/>
        </w:numPr>
        <w:rPr>
          <w:rFonts w:ascii="Arial" w:hAnsi="Arial" w:cs="Arial"/>
          <w:sz w:val="24"/>
          <w:szCs w:val="24"/>
          <w:shd w:val="clear" w:color="auto" w:fill="FFFFFF"/>
        </w:rPr>
      </w:pPr>
      <w:r w:rsidRPr="00FE0D85">
        <w:rPr>
          <w:rFonts w:ascii="Arial" w:eastAsia="Times New Roman" w:hAnsi="Arial" w:cs="Arial"/>
          <w:sz w:val="24"/>
          <w:szCs w:val="24"/>
          <w:lang w:eastAsia="en-CA"/>
        </w:rPr>
        <w:t>in the same cell as another mining claim that is contiguous with the</w:t>
      </w:r>
      <w:r w:rsidR="00AA43E1" w:rsidRPr="00FE0D85">
        <w:rPr>
          <w:rFonts w:ascii="Arial" w:eastAsia="Times New Roman" w:hAnsi="Arial" w:cs="Arial"/>
          <w:sz w:val="24"/>
          <w:szCs w:val="24"/>
          <w:lang w:eastAsia="en-CA"/>
        </w:rPr>
        <w:t xml:space="preserve"> receiver</w:t>
      </w:r>
      <w:r w:rsidRPr="00FE0D85">
        <w:rPr>
          <w:rFonts w:ascii="Arial" w:eastAsia="Times New Roman" w:hAnsi="Arial" w:cs="Arial"/>
          <w:sz w:val="24"/>
          <w:szCs w:val="24"/>
          <w:lang w:eastAsia="en-CA"/>
        </w:rPr>
        <w:t xml:space="preserve"> </w:t>
      </w:r>
      <w:r w:rsidR="00DF23F5" w:rsidRPr="00FE0D85">
        <w:rPr>
          <w:rFonts w:ascii="Arial" w:eastAsia="Times New Roman" w:hAnsi="Arial" w:cs="Arial"/>
          <w:sz w:val="24"/>
          <w:szCs w:val="24"/>
          <w:lang w:eastAsia="en-CA"/>
        </w:rPr>
        <w:tab/>
      </w:r>
      <w:r w:rsidRPr="00FE0D85">
        <w:rPr>
          <w:rFonts w:ascii="Arial" w:eastAsia="Times New Roman" w:hAnsi="Arial" w:cs="Arial"/>
          <w:sz w:val="24"/>
          <w:szCs w:val="24"/>
          <w:lang w:eastAsia="en-CA"/>
        </w:rPr>
        <w:t xml:space="preserve"> claim in question </w:t>
      </w:r>
      <w:r w:rsidR="00C527BC" w:rsidRPr="00FE0D85">
        <w:rPr>
          <w:rFonts w:ascii="Arial" w:hAnsi="Arial" w:cs="Arial"/>
          <w:sz w:val="24"/>
          <w:szCs w:val="24"/>
          <w:shd w:val="clear" w:color="auto" w:fill="FFFFFF"/>
        </w:rPr>
        <w:t>connected through one or more cells each contiguous with one another by at least one side or at least at one corner</w:t>
      </w:r>
      <w:r w:rsidR="00A64BCD" w:rsidRPr="00FE0D85">
        <w:rPr>
          <w:rFonts w:ascii="Arial" w:hAnsi="Arial" w:cs="Arial"/>
          <w:sz w:val="24"/>
          <w:szCs w:val="24"/>
          <w:shd w:val="clear" w:color="auto" w:fill="FFFFFF"/>
        </w:rPr>
        <w:t xml:space="preserve"> (Figure 4)</w:t>
      </w:r>
    </w:p>
    <w:p w14:paraId="137B2EBB" w14:textId="77777777" w:rsidR="00ED736F" w:rsidRPr="001228DC" w:rsidRDefault="00ED736F" w:rsidP="001228DC">
      <w:pPr>
        <w:rPr>
          <w:shd w:val="clear" w:color="auto" w:fill="FFFFFF"/>
        </w:rPr>
      </w:pPr>
    </w:p>
    <w:p w14:paraId="618C1C5F" w14:textId="77777777" w:rsidR="00A07071" w:rsidRDefault="00A07071" w:rsidP="001228DC">
      <w:pPr>
        <w:rPr>
          <w:noProof/>
        </w:rPr>
      </w:pPr>
    </w:p>
    <w:p w14:paraId="3AAD7908" w14:textId="7D9F40F6" w:rsidR="00162B1E" w:rsidRPr="001228DC" w:rsidRDefault="0070440C" w:rsidP="001228DC">
      <w:pPr>
        <w:rPr>
          <w:shd w:val="clear" w:color="auto" w:fill="FFFFFF"/>
        </w:rPr>
      </w:pPr>
      <w:r w:rsidRPr="001228DC">
        <w:rPr>
          <w:noProof/>
        </w:rPr>
        <w:lastRenderedPageBreak/>
        <w:drawing>
          <wp:inline distT="0" distB="0" distL="0" distR="0" wp14:anchorId="219587B6" wp14:editId="34DC4858">
            <wp:extent cx="5220000" cy="3600000"/>
            <wp:effectExtent l="0" t="0" r="0" b="635"/>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spect="1" noChangeArrowheads="1"/>
                    </pic:cNvPicPr>
                  </pic:nvPicPr>
                  <pic:blipFill rotWithShape="1">
                    <a:blip r:embed="rId19">
                      <a:extLst>
                        <a:ext uri="{28A0092B-C50C-407E-A947-70E740481C1C}">
                          <a14:useLocalDpi xmlns:a14="http://schemas.microsoft.com/office/drawing/2010/main" val="0"/>
                        </a:ext>
                      </a:extLst>
                    </a:blip>
                    <a:srcRect r="6458"/>
                    <a:stretch/>
                  </pic:blipFill>
                  <pic:spPr bwMode="auto">
                    <a:xfrm>
                      <a:off x="0" y="0"/>
                      <a:ext cx="5220000" cy="3600000"/>
                    </a:xfrm>
                    <a:prstGeom prst="rect">
                      <a:avLst/>
                    </a:prstGeom>
                    <a:noFill/>
                    <a:ln>
                      <a:noFill/>
                    </a:ln>
                    <a:extLst>
                      <a:ext uri="{53640926-AAD7-44D8-BBD7-CCE9431645EC}">
                        <a14:shadowObscured xmlns:a14="http://schemas.microsoft.com/office/drawing/2010/main"/>
                      </a:ext>
                    </a:extLst>
                  </pic:spPr>
                </pic:pic>
              </a:graphicData>
            </a:graphic>
          </wp:inline>
        </w:drawing>
      </w:r>
    </w:p>
    <w:p w14:paraId="558AE0C8" w14:textId="4BB574F9" w:rsidR="00682B58" w:rsidRPr="00A07071" w:rsidRDefault="00AA43E1" w:rsidP="001228DC">
      <w:pPr>
        <w:rPr>
          <w:rFonts w:ascii="Arial" w:hAnsi="Arial" w:cs="Arial"/>
          <w:sz w:val="24"/>
          <w:szCs w:val="24"/>
          <w:lang w:val="en" w:eastAsia="en-CA"/>
        </w:rPr>
      </w:pPr>
      <w:r w:rsidRPr="00A07071">
        <w:rPr>
          <w:rFonts w:ascii="Arial" w:hAnsi="Arial" w:cs="Arial"/>
          <w:sz w:val="24"/>
          <w:szCs w:val="24"/>
        </w:rPr>
        <w:t xml:space="preserve">Figure 4: </w:t>
      </w:r>
      <w:r w:rsidR="00EB7945" w:rsidRPr="00A07071">
        <w:rPr>
          <w:rFonts w:ascii="Arial" w:hAnsi="Arial" w:cs="Arial"/>
          <w:sz w:val="24"/>
          <w:szCs w:val="24"/>
        </w:rPr>
        <w:t xml:space="preserve"> </w:t>
      </w:r>
      <w:r w:rsidR="00EB7945" w:rsidRPr="00A07071">
        <w:rPr>
          <w:rFonts w:ascii="Arial" w:hAnsi="Arial" w:cs="Arial"/>
          <w:sz w:val="24"/>
          <w:szCs w:val="24"/>
          <w:lang w:val="en" w:eastAsia="en-CA"/>
        </w:rPr>
        <w:t>Mining Lands 2 (ML 2 (provider)) is contiguous with Claim E</w:t>
      </w:r>
      <w:r w:rsidRPr="00A07071">
        <w:rPr>
          <w:rFonts w:ascii="Arial" w:hAnsi="Arial" w:cs="Arial"/>
          <w:sz w:val="24"/>
          <w:szCs w:val="24"/>
          <w:lang w:val="en" w:eastAsia="en-CA"/>
        </w:rPr>
        <w:t xml:space="preserve"> (receiver)</w:t>
      </w:r>
      <w:r w:rsidR="00EB7945" w:rsidRPr="00A07071">
        <w:rPr>
          <w:rFonts w:ascii="Arial" w:hAnsi="Arial" w:cs="Arial"/>
          <w:sz w:val="24"/>
          <w:szCs w:val="24"/>
          <w:lang w:val="en" w:eastAsia="en-CA"/>
        </w:rPr>
        <w:t xml:space="preserve">. </w:t>
      </w:r>
      <w:r w:rsidRPr="00A07071">
        <w:rPr>
          <w:rFonts w:ascii="Arial" w:hAnsi="Arial" w:cs="Arial"/>
          <w:sz w:val="24"/>
          <w:szCs w:val="24"/>
          <w:lang w:val="en" w:eastAsia="en-CA"/>
        </w:rPr>
        <w:t xml:space="preserve"> </w:t>
      </w:r>
      <w:r w:rsidR="00EB7945" w:rsidRPr="00A07071">
        <w:rPr>
          <w:rFonts w:ascii="Arial" w:hAnsi="Arial" w:cs="Arial"/>
          <w:sz w:val="24"/>
          <w:szCs w:val="24"/>
          <w:lang w:val="en" w:eastAsia="en-CA"/>
        </w:rPr>
        <w:t xml:space="preserve">ML 2 </w:t>
      </w:r>
      <w:r w:rsidR="001F6B65" w:rsidRPr="00A07071">
        <w:rPr>
          <w:rFonts w:ascii="Arial" w:hAnsi="Arial" w:cs="Arial"/>
          <w:sz w:val="24"/>
          <w:szCs w:val="24"/>
          <w:lang w:val="en" w:eastAsia="en-CA"/>
        </w:rPr>
        <w:t>and C</w:t>
      </w:r>
      <w:r w:rsidRPr="00A07071">
        <w:rPr>
          <w:rFonts w:ascii="Arial" w:hAnsi="Arial" w:cs="Arial"/>
          <w:sz w:val="24"/>
          <w:szCs w:val="24"/>
          <w:lang w:val="en" w:eastAsia="en-CA"/>
        </w:rPr>
        <w:t xml:space="preserve">laim 1234 are </w:t>
      </w:r>
      <w:r w:rsidR="001F6B65" w:rsidRPr="00A07071">
        <w:rPr>
          <w:rFonts w:ascii="Arial" w:hAnsi="Arial" w:cs="Arial"/>
          <w:sz w:val="24"/>
          <w:szCs w:val="24"/>
          <w:lang w:val="en" w:eastAsia="en-CA"/>
        </w:rPr>
        <w:t xml:space="preserve">in the same cell, </w:t>
      </w:r>
      <w:proofErr w:type="gramStart"/>
      <w:r w:rsidR="001F6B65" w:rsidRPr="00A07071">
        <w:rPr>
          <w:rFonts w:ascii="Arial" w:hAnsi="Arial" w:cs="Arial"/>
          <w:sz w:val="24"/>
          <w:szCs w:val="24"/>
          <w:lang w:val="en" w:eastAsia="en-CA"/>
        </w:rPr>
        <w:t>Claim</w:t>
      </w:r>
      <w:proofErr w:type="gramEnd"/>
      <w:r w:rsidR="001F6B65" w:rsidRPr="00A07071">
        <w:rPr>
          <w:rFonts w:ascii="Arial" w:hAnsi="Arial" w:cs="Arial"/>
          <w:sz w:val="24"/>
          <w:szCs w:val="24"/>
          <w:lang w:val="en" w:eastAsia="en-CA"/>
        </w:rPr>
        <w:t xml:space="preserve"> 1234 has a side that touches Cell F (Claim F) and Cell F has a corner that touches Claim E. </w:t>
      </w:r>
    </w:p>
    <w:p w14:paraId="19E2D90C" w14:textId="18B0DB72" w:rsidR="00AA43E1" w:rsidRPr="00A07071" w:rsidRDefault="00682B58" w:rsidP="001228DC">
      <w:pPr>
        <w:rPr>
          <w:rFonts w:ascii="Arial" w:hAnsi="Arial" w:cs="Arial"/>
          <w:sz w:val="24"/>
          <w:szCs w:val="24"/>
          <w:lang w:val="en" w:eastAsia="en-CA"/>
        </w:rPr>
      </w:pPr>
      <w:r w:rsidRPr="00A07071">
        <w:rPr>
          <w:rFonts w:ascii="Arial" w:hAnsi="Arial" w:cs="Arial"/>
          <w:sz w:val="24"/>
          <w:szCs w:val="24"/>
          <w:lang w:val="en" w:eastAsia="en-CA"/>
        </w:rPr>
        <w:t xml:space="preserve">Note:  The bottom of the pushpin identifies the location of the mining lands or the mining claim. </w:t>
      </w:r>
    </w:p>
    <w:p w14:paraId="3314F8E2" w14:textId="4A1BAD47" w:rsidR="00A56F34" w:rsidRPr="00FE0D85" w:rsidRDefault="00A07071" w:rsidP="00FE0D85">
      <w:pPr>
        <w:pStyle w:val="ListParagraph"/>
        <w:numPr>
          <w:ilvl w:val="0"/>
          <w:numId w:val="10"/>
        </w:numPr>
        <w:rPr>
          <w:rFonts w:ascii="Arial" w:eastAsia="Times New Roman" w:hAnsi="Arial" w:cs="Arial"/>
          <w:sz w:val="24"/>
          <w:szCs w:val="24"/>
          <w:lang w:eastAsia="en-CA"/>
        </w:rPr>
      </w:pPr>
      <w:r w:rsidRPr="00FE0D85">
        <w:rPr>
          <w:rFonts w:ascii="Arial" w:eastAsia="Times New Roman" w:hAnsi="Arial" w:cs="Arial"/>
          <w:sz w:val="24"/>
          <w:szCs w:val="24"/>
          <w:lang w:eastAsia="en-CA"/>
        </w:rPr>
        <w:t>T</w:t>
      </w:r>
      <w:r w:rsidR="00683CE7" w:rsidRPr="00FE0D85">
        <w:rPr>
          <w:rFonts w:ascii="Arial" w:eastAsia="Times New Roman" w:hAnsi="Arial" w:cs="Arial"/>
          <w:sz w:val="24"/>
          <w:szCs w:val="24"/>
          <w:lang w:eastAsia="en-CA"/>
        </w:rPr>
        <w:t>he boundaries of the mining lands touch the boundaries of other mining lands that are not a mining claim and a part of those other mining lands</w:t>
      </w:r>
      <w:r w:rsidR="00A56F34" w:rsidRPr="00FE0D85">
        <w:rPr>
          <w:rFonts w:ascii="Arial" w:eastAsia="Times New Roman" w:hAnsi="Arial" w:cs="Arial"/>
          <w:sz w:val="24"/>
          <w:szCs w:val="24"/>
          <w:lang w:eastAsia="en-CA"/>
        </w:rPr>
        <w:t xml:space="preserve"> and</w:t>
      </w:r>
      <w:r w:rsidR="00683CE7" w:rsidRPr="00FE0D85">
        <w:rPr>
          <w:rFonts w:ascii="Arial" w:eastAsia="Times New Roman" w:hAnsi="Arial" w:cs="Arial"/>
          <w:sz w:val="24"/>
          <w:szCs w:val="24"/>
          <w:lang w:eastAsia="en-CA"/>
        </w:rPr>
        <w:t xml:space="preserve"> are located</w:t>
      </w:r>
      <w:r w:rsidR="00DF23F5" w:rsidRPr="00FE0D85">
        <w:rPr>
          <w:rFonts w:ascii="Arial" w:eastAsia="Times New Roman" w:hAnsi="Arial" w:cs="Arial"/>
          <w:sz w:val="24"/>
          <w:szCs w:val="24"/>
          <w:lang w:eastAsia="en-CA"/>
        </w:rPr>
        <w:t>:</w:t>
      </w:r>
    </w:p>
    <w:p w14:paraId="05F837FC" w14:textId="31452FE7" w:rsidR="00683CE7" w:rsidRPr="00000B11" w:rsidRDefault="00683CE7" w:rsidP="00913B77">
      <w:pPr>
        <w:pStyle w:val="ListParagraph"/>
        <w:numPr>
          <w:ilvl w:val="0"/>
          <w:numId w:val="5"/>
        </w:numPr>
        <w:rPr>
          <w:rFonts w:ascii="Arial" w:eastAsia="Times New Roman" w:hAnsi="Arial" w:cs="Arial"/>
          <w:sz w:val="24"/>
          <w:szCs w:val="24"/>
          <w:lang w:eastAsia="en-CA"/>
        </w:rPr>
      </w:pPr>
      <w:r w:rsidRPr="00000B11">
        <w:rPr>
          <w:rFonts w:ascii="Arial" w:eastAsia="Times New Roman" w:hAnsi="Arial" w:cs="Arial"/>
          <w:sz w:val="24"/>
          <w:szCs w:val="24"/>
          <w:lang w:eastAsia="en-CA"/>
        </w:rPr>
        <w:t xml:space="preserve"> the same cell as the mining claim</w:t>
      </w:r>
      <w:r w:rsidR="00EA7FB5" w:rsidRPr="00000B11">
        <w:rPr>
          <w:rFonts w:ascii="Arial" w:eastAsia="Times New Roman" w:hAnsi="Arial" w:cs="Arial"/>
          <w:sz w:val="24"/>
          <w:szCs w:val="24"/>
          <w:lang w:eastAsia="en-CA"/>
        </w:rPr>
        <w:t xml:space="preserve"> (Figure 5)</w:t>
      </w:r>
      <w:r w:rsidR="00DF23F5" w:rsidRPr="00000B11">
        <w:rPr>
          <w:rFonts w:ascii="Arial" w:eastAsia="Times New Roman" w:hAnsi="Arial" w:cs="Arial"/>
          <w:sz w:val="24"/>
          <w:szCs w:val="24"/>
          <w:lang w:eastAsia="en-CA"/>
        </w:rPr>
        <w:tab/>
      </w:r>
    </w:p>
    <w:p w14:paraId="53A56326" w14:textId="28EC5F26" w:rsidR="000B5768" w:rsidRPr="001228DC" w:rsidRDefault="000B5768" w:rsidP="001228DC">
      <w:pPr>
        <w:rPr>
          <w:rFonts w:eastAsia="Times New Roman"/>
          <w:lang w:eastAsia="en-CA"/>
        </w:rPr>
      </w:pPr>
    </w:p>
    <w:p w14:paraId="0F0B07E7" w14:textId="353AED41" w:rsidR="000B5768" w:rsidRPr="001228DC" w:rsidRDefault="000B5768" w:rsidP="001228DC">
      <w:pPr>
        <w:rPr>
          <w:rFonts w:eastAsia="Times New Roman"/>
          <w:lang w:eastAsia="en-CA"/>
        </w:rPr>
      </w:pPr>
    </w:p>
    <w:p w14:paraId="30ACA344" w14:textId="5A5A5B18" w:rsidR="000B5768" w:rsidRPr="001228DC" w:rsidRDefault="000B5768" w:rsidP="001228DC">
      <w:pPr>
        <w:rPr>
          <w:rFonts w:eastAsia="Times New Roman"/>
          <w:lang w:eastAsia="en-CA"/>
        </w:rPr>
      </w:pPr>
      <w:r w:rsidRPr="001228DC">
        <w:rPr>
          <w:noProof/>
        </w:rPr>
        <w:lastRenderedPageBreak/>
        <w:drawing>
          <wp:inline distT="0" distB="0" distL="0" distR="0" wp14:anchorId="57658048" wp14:editId="6D309C13">
            <wp:extent cx="5220000" cy="3600000"/>
            <wp:effectExtent l="0" t="0" r="0" b="635"/>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0000" cy="3600000"/>
                    </a:xfrm>
                    <a:prstGeom prst="rect">
                      <a:avLst/>
                    </a:prstGeom>
                    <a:noFill/>
                    <a:ln>
                      <a:noFill/>
                    </a:ln>
                  </pic:spPr>
                </pic:pic>
              </a:graphicData>
            </a:graphic>
          </wp:inline>
        </w:drawing>
      </w:r>
    </w:p>
    <w:p w14:paraId="219AA19F" w14:textId="4508A30E" w:rsidR="000B5768" w:rsidRPr="00A56F34" w:rsidRDefault="000B5768" w:rsidP="001228DC">
      <w:pPr>
        <w:rPr>
          <w:rFonts w:ascii="Arial" w:hAnsi="Arial" w:cs="Arial"/>
          <w:sz w:val="24"/>
          <w:szCs w:val="24"/>
          <w:lang w:val="en"/>
        </w:rPr>
      </w:pPr>
      <w:r w:rsidRPr="00A56F34">
        <w:rPr>
          <w:rFonts w:ascii="Arial" w:hAnsi="Arial" w:cs="Arial"/>
          <w:sz w:val="24"/>
          <w:szCs w:val="24"/>
        </w:rPr>
        <w:t xml:space="preserve">Figure 5: </w:t>
      </w:r>
      <w:r w:rsidRPr="00A56F34">
        <w:rPr>
          <w:rFonts w:ascii="Arial" w:hAnsi="Arial" w:cs="Arial"/>
          <w:sz w:val="24"/>
          <w:szCs w:val="24"/>
          <w:lang w:val="en"/>
        </w:rPr>
        <w:t>Mining Lands 4 (ML 4</w:t>
      </w:r>
      <w:r w:rsidR="00DA27EA" w:rsidRPr="00A56F34">
        <w:rPr>
          <w:rFonts w:ascii="Arial" w:hAnsi="Arial" w:cs="Arial"/>
          <w:sz w:val="24"/>
          <w:szCs w:val="24"/>
          <w:lang w:val="en"/>
        </w:rPr>
        <w:t xml:space="preserve"> </w:t>
      </w:r>
      <w:r w:rsidRPr="00A56F34">
        <w:rPr>
          <w:rFonts w:ascii="Arial" w:hAnsi="Arial" w:cs="Arial"/>
          <w:sz w:val="24"/>
          <w:szCs w:val="24"/>
          <w:lang w:val="en"/>
        </w:rPr>
        <w:t>(provider</w:t>
      </w:r>
      <w:r w:rsidR="00DA27EA" w:rsidRPr="00A56F34">
        <w:rPr>
          <w:rFonts w:ascii="Arial" w:hAnsi="Arial" w:cs="Arial"/>
          <w:sz w:val="24"/>
          <w:szCs w:val="24"/>
          <w:lang w:val="en"/>
        </w:rPr>
        <w:t>)</w:t>
      </w:r>
      <w:r w:rsidRPr="00A56F34">
        <w:rPr>
          <w:rFonts w:ascii="Arial" w:hAnsi="Arial" w:cs="Arial"/>
          <w:sz w:val="24"/>
          <w:szCs w:val="24"/>
          <w:lang w:val="en"/>
        </w:rPr>
        <w:t xml:space="preserve">) is contiguous with Claim 66 (receiver).  The boundary of ML 4 touches the boundary of ML 3 and </w:t>
      </w:r>
      <w:r w:rsidR="002E6863" w:rsidRPr="00A56F34">
        <w:rPr>
          <w:rFonts w:ascii="Arial" w:hAnsi="Arial" w:cs="Arial"/>
          <w:sz w:val="24"/>
          <w:szCs w:val="24"/>
          <w:lang w:val="en"/>
        </w:rPr>
        <w:t xml:space="preserve">part of </w:t>
      </w:r>
      <w:r w:rsidRPr="00A56F34">
        <w:rPr>
          <w:rFonts w:ascii="Arial" w:hAnsi="Arial" w:cs="Arial"/>
          <w:sz w:val="24"/>
          <w:szCs w:val="24"/>
          <w:lang w:val="en"/>
        </w:rPr>
        <w:t>ML 3 is in the same cell as Claim 66</w:t>
      </w:r>
      <w:r w:rsidR="00163FD2" w:rsidRPr="00A56F34">
        <w:rPr>
          <w:rFonts w:ascii="Arial" w:hAnsi="Arial" w:cs="Arial"/>
          <w:sz w:val="24"/>
          <w:szCs w:val="24"/>
          <w:lang w:val="en"/>
        </w:rPr>
        <w:t xml:space="preserve">. </w:t>
      </w:r>
      <w:r w:rsidR="002E6863" w:rsidRPr="00A56F34">
        <w:rPr>
          <w:rFonts w:ascii="Arial" w:hAnsi="Arial" w:cs="Arial"/>
          <w:sz w:val="24"/>
          <w:szCs w:val="24"/>
          <w:lang w:val="en"/>
        </w:rPr>
        <w:t xml:space="preserve"> </w:t>
      </w:r>
    </w:p>
    <w:p w14:paraId="1E886E21" w14:textId="23E239F1" w:rsidR="00683CE7" w:rsidRPr="00000B11" w:rsidRDefault="00683CE7" w:rsidP="00913B77">
      <w:pPr>
        <w:pStyle w:val="ListParagraph"/>
        <w:numPr>
          <w:ilvl w:val="0"/>
          <w:numId w:val="5"/>
        </w:numPr>
        <w:rPr>
          <w:rFonts w:ascii="Arial" w:eastAsia="Times New Roman" w:hAnsi="Arial" w:cs="Arial"/>
          <w:sz w:val="24"/>
          <w:szCs w:val="24"/>
          <w:lang w:eastAsia="en-CA"/>
        </w:rPr>
      </w:pPr>
      <w:r w:rsidRPr="00000B11">
        <w:rPr>
          <w:rFonts w:ascii="Arial" w:eastAsia="Times New Roman" w:hAnsi="Arial" w:cs="Arial"/>
          <w:sz w:val="24"/>
          <w:szCs w:val="24"/>
          <w:lang w:eastAsia="en-CA"/>
        </w:rPr>
        <w:t xml:space="preserve">in the same cell as another mining claim that is contiguous with the mining claim in question </w:t>
      </w:r>
      <w:r w:rsidR="006F6339" w:rsidRPr="00000B11">
        <w:rPr>
          <w:rFonts w:ascii="Arial" w:eastAsia="Times New Roman" w:hAnsi="Arial" w:cs="Arial"/>
          <w:sz w:val="24"/>
          <w:szCs w:val="24"/>
          <w:lang w:eastAsia="en-CA"/>
        </w:rPr>
        <w:t>connected through one or more cells each contiguous with one another by at least one side or at le</w:t>
      </w:r>
      <w:r w:rsidR="00DA27EA" w:rsidRPr="00000B11">
        <w:rPr>
          <w:rFonts w:ascii="Arial" w:eastAsia="Times New Roman" w:hAnsi="Arial" w:cs="Arial"/>
          <w:sz w:val="24"/>
          <w:szCs w:val="24"/>
          <w:lang w:eastAsia="en-CA"/>
        </w:rPr>
        <w:t>a</w:t>
      </w:r>
      <w:r w:rsidR="006F6339" w:rsidRPr="00000B11">
        <w:rPr>
          <w:rFonts w:ascii="Arial" w:eastAsia="Times New Roman" w:hAnsi="Arial" w:cs="Arial"/>
          <w:sz w:val="24"/>
          <w:szCs w:val="24"/>
          <w:lang w:eastAsia="en-CA"/>
        </w:rPr>
        <w:t>st at one corner</w:t>
      </w:r>
      <w:r w:rsidR="00EA7FB5" w:rsidRPr="00000B11">
        <w:rPr>
          <w:rFonts w:ascii="Arial" w:eastAsia="Times New Roman" w:hAnsi="Arial" w:cs="Arial"/>
          <w:sz w:val="24"/>
          <w:szCs w:val="24"/>
          <w:lang w:eastAsia="en-CA"/>
        </w:rPr>
        <w:t xml:space="preserve"> (Figure 6)</w:t>
      </w:r>
    </w:p>
    <w:p w14:paraId="1C571758" w14:textId="518D4B74" w:rsidR="00952A00" w:rsidRPr="001228DC" w:rsidRDefault="008B340E" w:rsidP="001228DC">
      <w:r w:rsidRPr="001228DC">
        <w:rPr>
          <w:noProof/>
        </w:rPr>
        <w:lastRenderedPageBreak/>
        <w:drawing>
          <wp:inline distT="0" distB="0" distL="0" distR="0" wp14:anchorId="1FB6CEF8" wp14:editId="633AB8D3">
            <wp:extent cx="5220000" cy="3600000"/>
            <wp:effectExtent l="0" t="0" r="0" b="63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20000" cy="3600000"/>
                    </a:xfrm>
                    <a:prstGeom prst="rect">
                      <a:avLst/>
                    </a:prstGeom>
                    <a:noFill/>
                    <a:ln>
                      <a:noFill/>
                    </a:ln>
                  </pic:spPr>
                </pic:pic>
              </a:graphicData>
            </a:graphic>
          </wp:inline>
        </w:drawing>
      </w:r>
    </w:p>
    <w:p w14:paraId="060D0364" w14:textId="7893E6F4" w:rsidR="001A59AA" w:rsidRPr="00A56F34" w:rsidRDefault="001A59AA" w:rsidP="001228DC">
      <w:pPr>
        <w:rPr>
          <w:rFonts w:ascii="Arial" w:hAnsi="Arial" w:cs="Arial"/>
          <w:sz w:val="24"/>
          <w:szCs w:val="24"/>
        </w:rPr>
      </w:pPr>
      <w:r w:rsidRPr="00A56F34">
        <w:rPr>
          <w:rFonts w:ascii="Arial" w:eastAsia="Times New Roman" w:hAnsi="Arial" w:cs="Arial"/>
          <w:sz w:val="24"/>
          <w:szCs w:val="24"/>
          <w:lang w:eastAsia="en-CA"/>
        </w:rPr>
        <w:t xml:space="preserve">Figure 6:  Mining Lands </w:t>
      </w:r>
      <w:r w:rsidR="00163FD2" w:rsidRPr="00A56F34">
        <w:rPr>
          <w:rFonts w:ascii="Arial" w:eastAsia="Times New Roman" w:hAnsi="Arial" w:cs="Arial"/>
          <w:sz w:val="24"/>
          <w:szCs w:val="24"/>
          <w:lang w:eastAsia="en-CA"/>
        </w:rPr>
        <w:t xml:space="preserve">12 </w:t>
      </w:r>
      <w:r w:rsidRPr="00A56F34">
        <w:rPr>
          <w:rFonts w:ascii="Arial" w:eastAsia="Times New Roman" w:hAnsi="Arial" w:cs="Arial"/>
          <w:sz w:val="24"/>
          <w:szCs w:val="24"/>
          <w:lang w:eastAsia="en-CA"/>
        </w:rPr>
        <w:t xml:space="preserve">(MLO 12 (provider </w:t>
      </w:r>
      <w:r w:rsidR="00455FFF" w:rsidRPr="00A56F34">
        <w:rPr>
          <w:rFonts w:ascii="Arial" w:eastAsia="Times New Roman" w:hAnsi="Arial" w:cs="Arial"/>
          <w:sz w:val="24"/>
          <w:szCs w:val="24"/>
          <w:lang w:eastAsia="en-CA"/>
        </w:rPr>
        <w:t>identified by</w:t>
      </w:r>
      <w:r w:rsidRPr="00A56F34">
        <w:rPr>
          <w:rFonts w:ascii="Arial" w:eastAsia="Times New Roman" w:hAnsi="Arial" w:cs="Arial"/>
          <w:sz w:val="24"/>
          <w:szCs w:val="24"/>
          <w:lang w:eastAsia="en-CA"/>
        </w:rPr>
        <w:t xml:space="preserve"> blue hatched area)</w:t>
      </w:r>
      <w:r w:rsidR="00AF41BB" w:rsidRPr="00A56F34">
        <w:rPr>
          <w:rFonts w:ascii="Arial" w:eastAsia="Times New Roman" w:hAnsi="Arial" w:cs="Arial"/>
          <w:sz w:val="24"/>
          <w:szCs w:val="24"/>
          <w:lang w:eastAsia="en-CA"/>
        </w:rPr>
        <w:t>)</w:t>
      </w:r>
      <w:r w:rsidRPr="00A56F34">
        <w:rPr>
          <w:rFonts w:ascii="Arial" w:eastAsia="Times New Roman" w:hAnsi="Arial" w:cs="Arial"/>
          <w:sz w:val="24"/>
          <w:szCs w:val="24"/>
          <w:lang w:eastAsia="en-CA"/>
        </w:rPr>
        <w:t xml:space="preserve"> is contiguous with Claim 76</w:t>
      </w:r>
      <w:r w:rsidR="00163FD2" w:rsidRPr="00A56F34">
        <w:rPr>
          <w:rFonts w:ascii="Arial" w:eastAsia="Times New Roman" w:hAnsi="Arial" w:cs="Arial"/>
          <w:sz w:val="24"/>
          <w:szCs w:val="24"/>
          <w:lang w:eastAsia="en-CA"/>
        </w:rPr>
        <w:t>.</w:t>
      </w:r>
      <w:r w:rsidRPr="00A56F34">
        <w:rPr>
          <w:rFonts w:ascii="Arial" w:eastAsia="Times New Roman" w:hAnsi="Arial" w:cs="Arial"/>
          <w:sz w:val="24"/>
          <w:szCs w:val="24"/>
          <w:lang w:eastAsia="en-CA"/>
        </w:rPr>
        <w:t xml:space="preserve">  The boundary of MLO 12 touches ML</w:t>
      </w:r>
      <w:r w:rsidR="00130C33" w:rsidRPr="00A56F34">
        <w:rPr>
          <w:rFonts w:ascii="Arial" w:eastAsia="Times New Roman" w:hAnsi="Arial" w:cs="Arial"/>
          <w:sz w:val="24"/>
          <w:szCs w:val="24"/>
          <w:lang w:eastAsia="en-CA"/>
        </w:rPr>
        <w:t xml:space="preserve"> </w:t>
      </w:r>
      <w:r w:rsidRPr="00A56F34">
        <w:rPr>
          <w:rFonts w:ascii="Arial" w:eastAsia="Times New Roman" w:hAnsi="Arial" w:cs="Arial"/>
          <w:sz w:val="24"/>
          <w:szCs w:val="24"/>
          <w:lang w:eastAsia="en-CA"/>
        </w:rPr>
        <w:t xml:space="preserve">18 </w:t>
      </w:r>
      <w:r w:rsidR="00130C33" w:rsidRPr="00A56F34">
        <w:rPr>
          <w:rFonts w:ascii="Arial" w:eastAsia="Times New Roman" w:hAnsi="Arial" w:cs="Arial"/>
          <w:sz w:val="24"/>
          <w:szCs w:val="24"/>
          <w:lang w:eastAsia="en-CA"/>
        </w:rPr>
        <w:t>and a part of ML 18 is</w:t>
      </w:r>
      <w:r w:rsidRPr="00A56F34">
        <w:rPr>
          <w:rFonts w:ascii="Arial" w:eastAsia="Times New Roman" w:hAnsi="Arial" w:cs="Arial"/>
          <w:sz w:val="24"/>
          <w:szCs w:val="24"/>
          <w:lang w:eastAsia="en-CA"/>
        </w:rPr>
        <w:t xml:space="preserve"> in the same cell as Claim 66.  Claim 66 </w:t>
      </w:r>
      <w:r w:rsidR="00163FD2" w:rsidRPr="00A56F34">
        <w:rPr>
          <w:rFonts w:ascii="Arial" w:eastAsia="Times New Roman" w:hAnsi="Arial" w:cs="Arial"/>
          <w:sz w:val="24"/>
          <w:szCs w:val="24"/>
          <w:lang w:eastAsia="en-CA"/>
        </w:rPr>
        <w:t xml:space="preserve">has a boundary that touches </w:t>
      </w:r>
      <w:r w:rsidRPr="00A56F34">
        <w:rPr>
          <w:rFonts w:ascii="Arial" w:eastAsia="Times New Roman" w:hAnsi="Arial" w:cs="Arial"/>
          <w:sz w:val="24"/>
          <w:szCs w:val="24"/>
          <w:lang w:eastAsia="en-CA"/>
        </w:rPr>
        <w:t>Claim 70</w:t>
      </w:r>
      <w:r w:rsidR="00163FD2" w:rsidRPr="00A56F34">
        <w:rPr>
          <w:rFonts w:ascii="Arial" w:eastAsia="Times New Roman" w:hAnsi="Arial" w:cs="Arial"/>
          <w:sz w:val="24"/>
          <w:szCs w:val="24"/>
          <w:lang w:eastAsia="en-CA"/>
        </w:rPr>
        <w:t xml:space="preserve"> and Claim 70 touches </w:t>
      </w:r>
      <w:r w:rsidR="00C37A96" w:rsidRPr="00A56F34">
        <w:rPr>
          <w:rFonts w:ascii="Arial" w:eastAsia="Times New Roman" w:hAnsi="Arial" w:cs="Arial"/>
          <w:sz w:val="24"/>
          <w:szCs w:val="24"/>
          <w:lang w:eastAsia="en-CA"/>
        </w:rPr>
        <w:t xml:space="preserve">the corner of </w:t>
      </w:r>
      <w:r w:rsidR="00163FD2" w:rsidRPr="00A56F34">
        <w:rPr>
          <w:rFonts w:ascii="Arial" w:eastAsia="Times New Roman" w:hAnsi="Arial" w:cs="Arial"/>
          <w:sz w:val="24"/>
          <w:szCs w:val="24"/>
          <w:lang w:eastAsia="en-CA"/>
        </w:rPr>
        <w:t>Claim 76</w:t>
      </w:r>
      <w:r w:rsidR="00C37A96" w:rsidRPr="00A56F34">
        <w:rPr>
          <w:rFonts w:ascii="Arial" w:eastAsia="Times New Roman" w:hAnsi="Arial" w:cs="Arial"/>
          <w:sz w:val="24"/>
          <w:szCs w:val="24"/>
          <w:lang w:eastAsia="en-CA"/>
        </w:rPr>
        <w:t>.</w:t>
      </w:r>
      <w:r w:rsidR="00163FD2" w:rsidRPr="00A56F34">
        <w:rPr>
          <w:rFonts w:ascii="Arial" w:eastAsia="Times New Roman" w:hAnsi="Arial" w:cs="Arial"/>
          <w:sz w:val="24"/>
          <w:szCs w:val="24"/>
          <w:lang w:eastAsia="en-CA"/>
        </w:rPr>
        <w:t xml:space="preserve"> </w:t>
      </w:r>
      <w:r w:rsidRPr="00A56F34">
        <w:rPr>
          <w:rFonts w:ascii="Arial" w:eastAsia="Times New Roman" w:hAnsi="Arial" w:cs="Arial"/>
          <w:sz w:val="24"/>
          <w:szCs w:val="24"/>
          <w:lang w:eastAsia="en-CA"/>
        </w:rPr>
        <w:t xml:space="preserve"> </w:t>
      </w:r>
    </w:p>
    <w:p w14:paraId="34947270" w14:textId="555BFF99" w:rsidR="001A59AA" w:rsidRPr="00A56F34" w:rsidRDefault="00682B58" w:rsidP="001228DC">
      <w:pPr>
        <w:rPr>
          <w:rFonts w:ascii="Arial" w:hAnsi="Arial" w:cs="Arial"/>
          <w:sz w:val="24"/>
          <w:szCs w:val="24"/>
        </w:rPr>
      </w:pPr>
      <w:r w:rsidRPr="00A56F34">
        <w:rPr>
          <w:rFonts w:ascii="Arial" w:hAnsi="Arial" w:cs="Arial"/>
          <w:sz w:val="24"/>
          <w:szCs w:val="24"/>
          <w:lang w:val="en" w:eastAsia="en-CA"/>
        </w:rPr>
        <w:t>Note:  The bottom of the pushpin identifies the location of the mining lands</w:t>
      </w:r>
      <w:r w:rsidR="00C448A4">
        <w:rPr>
          <w:rFonts w:ascii="Arial" w:hAnsi="Arial" w:cs="Arial"/>
          <w:sz w:val="24"/>
          <w:szCs w:val="24"/>
          <w:lang w:val="en" w:eastAsia="en-CA"/>
        </w:rPr>
        <w:t>.</w:t>
      </w:r>
    </w:p>
    <w:p w14:paraId="4DE9A609" w14:textId="0C870050" w:rsidR="001A59AA" w:rsidRPr="001228DC" w:rsidRDefault="001A59AA" w:rsidP="001228DC">
      <w:pPr>
        <w:rPr>
          <w:lang w:val="en" w:eastAsia="en-CA"/>
        </w:rPr>
      </w:pPr>
    </w:p>
    <w:p w14:paraId="6837AA0F" w14:textId="39810B80" w:rsidR="00266CD9" w:rsidRPr="001228DC" w:rsidRDefault="00266CD9" w:rsidP="001228DC">
      <w:pPr>
        <w:rPr>
          <w:lang w:val="en" w:eastAsia="en-CA"/>
        </w:rPr>
      </w:pPr>
    </w:p>
    <w:p w14:paraId="0CE786F7" w14:textId="293168BB" w:rsidR="00003D22" w:rsidRPr="001228DC" w:rsidRDefault="00003D22" w:rsidP="001228DC">
      <w:pPr>
        <w:rPr>
          <w:b/>
        </w:rPr>
      </w:pPr>
    </w:p>
    <w:p w14:paraId="678B8DD8" w14:textId="6FCD9558" w:rsidR="00003D22" w:rsidRPr="001228DC" w:rsidRDefault="00003D22" w:rsidP="001228DC">
      <w:pPr>
        <w:rPr>
          <w:b/>
        </w:rPr>
      </w:pPr>
    </w:p>
    <w:p w14:paraId="3CE7572A" w14:textId="1207CC63" w:rsidR="00003D22" w:rsidRPr="001228DC" w:rsidRDefault="00003D22" w:rsidP="001228DC">
      <w:pPr>
        <w:rPr>
          <w:b/>
        </w:rPr>
      </w:pPr>
    </w:p>
    <w:p w14:paraId="5038BB8B" w14:textId="2B7FAB93" w:rsidR="00003D22" w:rsidRPr="001228DC" w:rsidRDefault="00003D22" w:rsidP="001228DC">
      <w:pPr>
        <w:rPr>
          <w:b/>
        </w:rPr>
      </w:pPr>
    </w:p>
    <w:p w14:paraId="5BE5E557" w14:textId="1D9C2AA0" w:rsidR="00003D22" w:rsidRPr="001228DC" w:rsidRDefault="00003D22" w:rsidP="001228DC">
      <w:pPr>
        <w:rPr>
          <w:b/>
        </w:rPr>
      </w:pPr>
    </w:p>
    <w:p w14:paraId="0B1C04CF" w14:textId="4CF13404" w:rsidR="00003D22" w:rsidRPr="001228DC" w:rsidRDefault="00003D22" w:rsidP="001228DC">
      <w:pPr>
        <w:rPr>
          <w:b/>
        </w:rPr>
      </w:pPr>
    </w:p>
    <w:p w14:paraId="5C656DD8" w14:textId="77777777" w:rsidR="00003D22" w:rsidRPr="001228DC" w:rsidRDefault="00003D22" w:rsidP="001228DC">
      <w:pPr>
        <w:rPr>
          <w:b/>
        </w:rPr>
      </w:pPr>
    </w:p>
    <w:p w14:paraId="1F90DD5F" w14:textId="77777777" w:rsidR="00461834" w:rsidRDefault="00461834" w:rsidP="001228DC">
      <w:pPr>
        <w:rPr>
          <w:rFonts w:ascii="Arial" w:hAnsi="Arial" w:cs="Arial"/>
          <w:b/>
          <w:sz w:val="24"/>
          <w:szCs w:val="24"/>
        </w:rPr>
      </w:pPr>
    </w:p>
    <w:p w14:paraId="7EFA39D3" w14:textId="7A384AFA" w:rsidR="00003D22" w:rsidRPr="007B74CC" w:rsidRDefault="001A59AA" w:rsidP="007B74CC">
      <w:pPr>
        <w:pStyle w:val="Heading2"/>
        <w:rPr>
          <w:sz w:val="28"/>
          <w:szCs w:val="24"/>
        </w:rPr>
      </w:pPr>
      <w:bookmarkStart w:id="9" w:name="_Toc92365372"/>
      <w:r w:rsidRPr="007B74CC">
        <w:rPr>
          <w:sz w:val="28"/>
          <w:szCs w:val="24"/>
        </w:rPr>
        <w:lastRenderedPageBreak/>
        <w:t>E</w:t>
      </w:r>
      <w:r w:rsidR="00260796" w:rsidRPr="007B74CC">
        <w:rPr>
          <w:sz w:val="28"/>
          <w:szCs w:val="24"/>
        </w:rPr>
        <w:t>xample of Complex Contiguity</w:t>
      </w:r>
      <w:bookmarkEnd w:id="9"/>
      <w:r w:rsidR="008B1768" w:rsidRPr="007B74CC">
        <w:rPr>
          <w:sz w:val="28"/>
          <w:szCs w:val="24"/>
        </w:rPr>
        <w:t xml:space="preserve"> </w:t>
      </w:r>
    </w:p>
    <w:p w14:paraId="339C6BB9" w14:textId="6268E2FB" w:rsidR="008E090A" w:rsidRPr="001228DC" w:rsidRDefault="00C46FDA" w:rsidP="001228DC">
      <w:r w:rsidRPr="001228DC">
        <w:rPr>
          <w:noProof/>
        </w:rPr>
        <w:drawing>
          <wp:inline distT="0" distB="0" distL="0" distR="0" wp14:anchorId="1EAF9D4C" wp14:editId="2432A9D0">
            <wp:extent cx="6181725" cy="3657600"/>
            <wp:effectExtent l="0" t="0" r="9525"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2085" cy="3657813"/>
                    </a:xfrm>
                    <a:prstGeom prst="rect">
                      <a:avLst/>
                    </a:prstGeom>
                    <a:noFill/>
                    <a:ln>
                      <a:noFill/>
                    </a:ln>
                  </pic:spPr>
                </pic:pic>
              </a:graphicData>
            </a:graphic>
          </wp:inline>
        </w:drawing>
      </w:r>
    </w:p>
    <w:p w14:paraId="5E57567B" w14:textId="3AD0C607" w:rsidR="00260796" w:rsidRPr="00A56F34" w:rsidRDefault="007E1773" w:rsidP="001228DC">
      <w:pPr>
        <w:rPr>
          <w:rFonts w:ascii="Arial" w:eastAsia="Times New Roman" w:hAnsi="Arial" w:cs="Arial"/>
          <w:sz w:val="24"/>
          <w:szCs w:val="24"/>
          <w:lang w:eastAsia="en-CA"/>
        </w:rPr>
      </w:pPr>
      <w:r w:rsidRPr="00A56F34">
        <w:rPr>
          <w:rFonts w:ascii="Arial" w:eastAsia="Times New Roman" w:hAnsi="Arial" w:cs="Arial"/>
          <w:sz w:val="24"/>
          <w:szCs w:val="24"/>
          <w:lang w:eastAsia="en-CA"/>
        </w:rPr>
        <w:t xml:space="preserve">Figure 7:  Mining Lands </w:t>
      </w:r>
      <w:r w:rsidR="00C37A96" w:rsidRPr="00A56F34">
        <w:rPr>
          <w:rFonts w:ascii="Arial" w:eastAsia="Times New Roman" w:hAnsi="Arial" w:cs="Arial"/>
          <w:sz w:val="24"/>
          <w:szCs w:val="24"/>
          <w:lang w:eastAsia="en-CA"/>
        </w:rPr>
        <w:t>1 (</w:t>
      </w:r>
      <w:r w:rsidRPr="00A56F34">
        <w:rPr>
          <w:rFonts w:ascii="Arial" w:eastAsia="Times New Roman" w:hAnsi="Arial" w:cs="Arial"/>
          <w:sz w:val="24"/>
          <w:szCs w:val="24"/>
          <w:lang w:eastAsia="en-CA"/>
        </w:rPr>
        <w:t>ML 1 (provider)</w:t>
      </w:r>
      <w:r w:rsidR="00C37A96" w:rsidRPr="00A56F34">
        <w:rPr>
          <w:rFonts w:ascii="Arial" w:eastAsia="Times New Roman" w:hAnsi="Arial" w:cs="Arial"/>
          <w:sz w:val="24"/>
          <w:szCs w:val="24"/>
          <w:lang w:eastAsia="en-CA"/>
        </w:rPr>
        <w:t xml:space="preserve">) </w:t>
      </w:r>
      <w:r w:rsidRPr="00A56F34">
        <w:rPr>
          <w:rFonts w:ascii="Arial" w:eastAsia="Times New Roman" w:hAnsi="Arial" w:cs="Arial"/>
          <w:sz w:val="24"/>
          <w:szCs w:val="24"/>
          <w:lang w:eastAsia="en-CA"/>
        </w:rPr>
        <w:t xml:space="preserve">is contiguous with Claim </w:t>
      </w:r>
      <w:r w:rsidR="001C0A37" w:rsidRPr="00A56F34">
        <w:rPr>
          <w:rFonts w:ascii="Arial" w:eastAsia="Times New Roman" w:hAnsi="Arial" w:cs="Arial"/>
          <w:sz w:val="24"/>
          <w:szCs w:val="24"/>
          <w:lang w:eastAsia="en-CA"/>
        </w:rPr>
        <w:t>D</w:t>
      </w:r>
      <w:r w:rsidR="008B1768" w:rsidRPr="00A56F34">
        <w:rPr>
          <w:rFonts w:ascii="Arial" w:eastAsia="Times New Roman" w:hAnsi="Arial" w:cs="Arial"/>
          <w:sz w:val="24"/>
          <w:szCs w:val="24"/>
          <w:lang w:eastAsia="en-CA"/>
        </w:rPr>
        <w:t xml:space="preserve"> (receiver)</w:t>
      </w:r>
      <w:r w:rsidRPr="00A56F34">
        <w:rPr>
          <w:rFonts w:ascii="Arial" w:eastAsia="Times New Roman" w:hAnsi="Arial" w:cs="Arial"/>
          <w:sz w:val="24"/>
          <w:szCs w:val="24"/>
          <w:lang w:eastAsia="en-CA"/>
        </w:rPr>
        <w:t>.</w:t>
      </w:r>
      <w:r w:rsidR="008B1768" w:rsidRPr="00A56F34">
        <w:rPr>
          <w:rFonts w:ascii="Arial" w:eastAsia="Times New Roman" w:hAnsi="Arial" w:cs="Arial"/>
          <w:sz w:val="24"/>
          <w:szCs w:val="24"/>
          <w:lang w:eastAsia="en-CA"/>
        </w:rPr>
        <w:t xml:space="preserve">  ML </w:t>
      </w:r>
      <w:r w:rsidR="00C37A96" w:rsidRPr="00A56F34">
        <w:rPr>
          <w:rFonts w:ascii="Arial" w:eastAsia="Times New Roman" w:hAnsi="Arial" w:cs="Arial"/>
          <w:sz w:val="24"/>
          <w:szCs w:val="24"/>
          <w:lang w:eastAsia="en-CA"/>
        </w:rPr>
        <w:t xml:space="preserve">2 touches </w:t>
      </w:r>
      <w:r w:rsidR="00ED03AD" w:rsidRPr="00A56F34">
        <w:rPr>
          <w:rFonts w:ascii="Arial" w:eastAsia="Times New Roman" w:hAnsi="Arial" w:cs="Arial"/>
          <w:sz w:val="24"/>
          <w:szCs w:val="24"/>
          <w:lang w:eastAsia="en-CA"/>
        </w:rPr>
        <w:t xml:space="preserve">a point on the boundary of </w:t>
      </w:r>
      <w:r w:rsidR="00C37A96" w:rsidRPr="00A56F34">
        <w:rPr>
          <w:rFonts w:ascii="Arial" w:eastAsia="Times New Roman" w:hAnsi="Arial" w:cs="Arial"/>
          <w:sz w:val="24"/>
          <w:szCs w:val="24"/>
          <w:lang w:eastAsia="en-CA"/>
        </w:rPr>
        <w:t xml:space="preserve">ML 1 and </w:t>
      </w:r>
      <w:r w:rsidR="00ED03AD" w:rsidRPr="00A56F34">
        <w:rPr>
          <w:rFonts w:ascii="Arial" w:eastAsia="Times New Roman" w:hAnsi="Arial" w:cs="Arial"/>
          <w:sz w:val="24"/>
          <w:szCs w:val="24"/>
          <w:lang w:eastAsia="en-CA"/>
        </w:rPr>
        <w:t xml:space="preserve">touches a boundary of </w:t>
      </w:r>
      <w:r w:rsidR="00C37A96" w:rsidRPr="00A56F34">
        <w:rPr>
          <w:rFonts w:ascii="Arial" w:eastAsia="Times New Roman" w:hAnsi="Arial" w:cs="Arial"/>
          <w:sz w:val="24"/>
          <w:szCs w:val="24"/>
          <w:lang w:eastAsia="en-CA"/>
        </w:rPr>
        <w:t xml:space="preserve">ML 3.  </w:t>
      </w:r>
      <w:r w:rsidR="00ED03AD" w:rsidRPr="00A56F34">
        <w:rPr>
          <w:rFonts w:ascii="Arial" w:eastAsia="Times New Roman" w:hAnsi="Arial" w:cs="Arial"/>
          <w:sz w:val="24"/>
          <w:szCs w:val="24"/>
          <w:lang w:eastAsia="en-CA"/>
        </w:rPr>
        <w:t xml:space="preserve"> </w:t>
      </w:r>
      <w:r w:rsidR="00C37A96" w:rsidRPr="00A56F34">
        <w:rPr>
          <w:rFonts w:ascii="Arial" w:eastAsia="Times New Roman" w:hAnsi="Arial" w:cs="Arial"/>
          <w:sz w:val="24"/>
          <w:szCs w:val="24"/>
          <w:lang w:eastAsia="en-CA"/>
        </w:rPr>
        <w:t xml:space="preserve">ML 3 touches </w:t>
      </w:r>
      <w:r w:rsidR="00ED03AD" w:rsidRPr="00A56F34">
        <w:rPr>
          <w:rFonts w:ascii="Arial" w:eastAsia="Times New Roman" w:hAnsi="Arial" w:cs="Arial"/>
          <w:sz w:val="24"/>
          <w:szCs w:val="24"/>
          <w:lang w:eastAsia="en-CA"/>
        </w:rPr>
        <w:t xml:space="preserve">a corner of </w:t>
      </w:r>
      <w:r w:rsidR="00C37A96" w:rsidRPr="00A56F34">
        <w:rPr>
          <w:rFonts w:ascii="Arial" w:eastAsia="Times New Roman" w:hAnsi="Arial" w:cs="Arial"/>
          <w:sz w:val="24"/>
          <w:szCs w:val="24"/>
          <w:lang w:eastAsia="en-CA"/>
        </w:rPr>
        <w:t xml:space="preserve">ML 4.  ML 4 is in the same cell as Claim A.  Claim A touches </w:t>
      </w:r>
      <w:r w:rsidR="00ED03AD" w:rsidRPr="00A56F34">
        <w:rPr>
          <w:rFonts w:ascii="Arial" w:eastAsia="Times New Roman" w:hAnsi="Arial" w:cs="Arial"/>
          <w:sz w:val="24"/>
          <w:szCs w:val="24"/>
          <w:lang w:eastAsia="en-CA"/>
        </w:rPr>
        <w:t>a</w:t>
      </w:r>
      <w:r w:rsidR="00C37A96" w:rsidRPr="00A56F34">
        <w:rPr>
          <w:rFonts w:ascii="Arial" w:eastAsia="Times New Roman" w:hAnsi="Arial" w:cs="Arial"/>
          <w:sz w:val="24"/>
          <w:szCs w:val="24"/>
          <w:lang w:eastAsia="en-CA"/>
        </w:rPr>
        <w:t xml:space="preserve"> corner of Claim B.  </w:t>
      </w:r>
      <w:r w:rsidR="00ED03AD" w:rsidRPr="00A56F34">
        <w:rPr>
          <w:rFonts w:ascii="Arial" w:eastAsia="Times New Roman" w:hAnsi="Arial" w:cs="Arial"/>
          <w:sz w:val="24"/>
          <w:szCs w:val="24"/>
          <w:lang w:eastAsia="en-CA"/>
        </w:rPr>
        <w:t>Claim B touches a boundary of Claim C.  Claim C touches a boundary of Claim D.</w:t>
      </w:r>
    </w:p>
    <w:p w14:paraId="1841B197" w14:textId="5CA15D71" w:rsidR="00682B58" w:rsidRPr="00A56F34" w:rsidRDefault="00682B58" w:rsidP="001228DC">
      <w:pPr>
        <w:rPr>
          <w:rFonts w:ascii="Arial" w:eastAsia="Times New Roman" w:hAnsi="Arial" w:cs="Arial"/>
          <w:sz w:val="24"/>
          <w:szCs w:val="24"/>
          <w:lang w:eastAsia="en-CA"/>
        </w:rPr>
      </w:pPr>
      <w:r w:rsidRPr="00A56F34">
        <w:rPr>
          <w:rFonts w:ascii="Arial" w:hAnsi="Arial" w:cs="Arial"/>
          <w:sz w:val="24"/>
          <w:szCs w:val="24"/>
          <w:lang w:val="en" w:eastAsia="en-CA"/>
        </w:rPr>
        <w:t>Note:  The bottom of the pushpin identifies the location of the mining lands</w:t>
      </w:r>
      <w:r w:rsidR="00C448A4">
        <w:rPr>
          <w:rFonts w:ascii="Arial" w:hAnsi="Arial" w:cs="Arial"/>
          <w:sz w:val="24"/>
          <w:szCs w:val="24"/>
          <w:lang w:val="en" w:eastAsia="en-CA"/>
        </w:rPr>
        <w:t>.</w:t>
      </w:r>
    </w:p>
    <w:p w14:paraId="348B44ED" w14:textId="358AA55F" w:rsidR="009B209B" w:rsidRPr="001228DC" w:rsidRDefault="00E665DB" w:rsidP="001228DC">
      <w:r w:rsidRPr="001228DC">
        <w:rPr>
          <w:b/>
        </w:rPr>
        <w:t>Note</w:t>
      </w:r>
      <w:r w:rsidRPr="001228DC">
        <w:t xml:space="preserve">: </w:t>
      </w:r>
      <w:r w:rsidR="00C448A4">
        <w:rPr>
          <w:rFonts w:ascii="Arial" w:hAnsi="Arial" w:cs="Arial"/>
          <w:sz w:val="24"/>
          <w:szCs w:val="24"/>
        </w:rPr>
        <w:t>Patented</w:t>
      </w:r>
      <w:r w:rsidRPr="0059117E">
        <w:rPr>
          <w:rFonts w:ascii="Arial" w:hAnsi="Arial" w:cs="Arial"/>
          <w:sz w:val="24"/>
          <w:szCs w:val="24"/>
        </w:rPr>
        <w:t xml:space="preserve"> mining lands</w:t>
      </w:r>
      <w:r w:rsidR="00C448A4">
        <w:rPr>
          <w:rFonts w:ascii="Arial" w:hAnsi="Arial" w:cs="Arial"/>
          <w:sz w:val="24"/>
          <w:szCs w:val="24"/>
        </w:rPr>
        <w:t xml:space="preserve"> owned in fee simple</w:t>
      </w:r>
      <w:r w:rsidRPr="0059117E">
        <w:rPr>
          <w:rFonts w:ascii="Arial" w:hAnsi="Arial" w:cs="Arial"/>
          <w:sz w:val="24"/>
          <w:szCs w:val="24"/>
        </w:rPr>
        <w:t xml:space="preserve"> must be entered on the mining land tax record before they may be used to establish contiguity.  If a property is not entered on the mining land tax record, the owner must provide written notice to the Ministry at least 30 days prior to allocating assessment work </w:t>
      </w:r>
      <w:r w:rsidR="00A81F90" w:rsidRPr="0059117E">
        <w:rPr>
          <w:rFonts w:ascii="Arial" w:hAnsi="Arial" w:cs="Arial"/>
          <w:sz w:val="24"/>
          <w:szCs w:val="24"/>
        </w:rPr>
        <w:t>credits</w:t>
      </w:r>
      <w:r w:rsidRPr="0059117E">
        <w:rPr>
          <w:rFonts w:ascii="Arial" w:hAnsi="Arial" w:cs="Arial"/>
          <w:sz w:val="24"/>
          <w:szCs w:val="24"/>
        </w:rPr>
        <w:t xml:space="preserve"> in MLAS. Please refer to the Mining Land Tax policy for more information.</w:t>
      </w:r>
      <w:r w:rsidR="005000EE" w:rsidRPr="001228DC">
        <w:t xml:space="preserve"> </w:t>
      </w:r>
    </w:p>
    <w:p w14:paraId="02B78E8C" w14:textId="61696144" w:rsidR="00730582" w:rsidRPr="00022BCF" w:rsidRDefault="007220B3" w:rsidP="00022BCF">
      <w:pPr>
        <w:pStyle w:val="Heading2"/>
        <w:spacing w:after="240"/>
        <w:rPr>
          <w:sz w:val="28"/>
          <w:szCs w:val="24"/>
        </w:rPr>
      </w:pPr>
      <w:bookmarkStart w:id="10" w:name="_Toc55468615"/>
      <w:bookmarkStart w:id="11" w:name="_Toc92365373"/>
      <w:r w:rsidRPr="00022BCF">
        <w:rPr>
          <w:sz w:val="28"/>
          <w:szCs w:val="24"/>
        </w:rPr>
        <w:t>Payment</w:t>
      </w:r>
      <w:r w:rsidR="00730582" w:rsidRPr="00022BCF">
        <w:rPr>
          <w:sz w:val="28"/>
          <w:szCs w:val="24"/>
        </w:rPr>
        <w:t xml:space="preserve"> in </w:t>
      </w:r>
      <w:r w:rsidR="002B3B3F" w:rsidRPr="00022BCF">
        <w:rPr>
          <w:sz w:val="28"/>
          <w:szCs w:val="24"/>
        </w:rPr>
        <w:t>P</w:t>
      </w:r>
      <w:r w:rsidR="00730582" w:rsidRPr="00022BCF">
        <w:rPr>
          <w:sz w:val="28"/>
          <w:szCs w:val="24"/>
        </w:rPr>
        <w:t xml:space="preserve">lace of </w:t>
      </w:r>
      <w:r w:rsidR="002B3B3F" w:rsidRPr="00022BCF">
        <w:rPr>
          <w:sz w:val="28"/>
          <w:szCs w:val="24"/>
        </w:rPr>
        <w:t>A</w:t>
      </w:r>
      <w:r w:rsidR="00730582" w:rsidRPr="00022BCF">
        <w:rPr>
          <w:sz w:val="28"/>
          <w:szCs w:val="24"/>
        </w:rPr>
        <w:t xml:space="preserve">ssessment </w:t>
      </w:r>
      <w:r w:rsidR="002B3B3F" w:rsidRPr="00022BCF">
        <w:rPr>
          <w:sz w:val="28"/>
          <w:szCs w:val="24"/>
        </w:rPr>
        <w:t>W</w:t>
      </w:r>
      <w:r w:rsidR="00730582" w:rsidRPr="00022BCF">
        <w:rPr>
          <w:sz w:val="28"/>
          <w:szCs w:val="24"/>
        </w:rPr>
        <w:t>ork</w:t>
      </w:r>
      <w:bookmarkEnd w:id="10"/>
      <w:bookmarkEnd w:id="11"/>
    </w:p>
    <w:p w14:paraId="7B25006F" w14:textId="33AFDDA3" w:rsidR="004F006C" w:rsidRPr="0059117E" w:rsidRDefault="00730582" w:rsidP="001228DC">
      <w:pPr>
        <w:rPr>
          <w:rFonts w:ascii="Arial" w:hAnsi="Arial" w:cs="Arial"/>
          <w:sz w:val="24"/>
          <w:szCs w:val="24"/>
        </w:rPr>
      </w:pPr>
      <w:r w:rsidRPr="0059117E">
        <w:rPr>
          <w:rFonts w:ascii="Arial" w:hAnsi="Arial" w:cs="Arial"/>
          <w:sz w:val="24"/>
          <w:szCs w:val="24"/>
        </w:rPr>
        <w:t>A claim holder may make</w:t>
      </w:r>
      <w:r w:rsidR="0059117E">
        <w:rPr>
          <w:rFonts w:ascii="Arial" w:hAnsi="Arial" w:cs="Arial"/>
          <w:sz w:val="24"/>
          <w:szCs w:val="24"/>
        </w:rPr>
        <w:t xml:space="preserve"> a</w:t>
      </w:r>
      <w:r w:rsidRPr="0059117E">
        <w:rPr>
          <w:rFonts w:ascii="Arial" w:hAnsi="Arial" w:cs="Arial"/>
          <w:sz w:val="24"/>
          <w:szCs w:val="24"/>
        </w:rPr>
        <w:t xml:space="preserve"> </w:t>
      </w:r>
      <w:r w:rsidR="007220B3" w:rsidRPr="0059117E">
        <w:rPr>
          <w:rFonts w:ascii="Arial" w:hAnsi="Arial" w:cs="Arial"/>
          <w:sz w:val="24"/>
          <w:szCs w:val="24"/>
        </w:rPr>
        <w:t>payment</w:t>
      </w:r>
      <w:r w:rsidRPr="0059117E">
        <w:rPr>
          <w:rFonts w:ascii="Arial" w:hAnsi="Arial" w:cs="Arial"/>
          <w:sz w:val="24"/>
          <w:szCs w:val="24"/>
        </w:rPr>
        <w:t xml:space="preserve"> in place of assessment work required for a mining claim. The following are </w:t>
      </w:r>
      <w:r w:rsidR="004F006C" w:rsidRPr="0059117E">
        <w:rPr>
          <w:rFonts w:ascii="Arial" w:hAnsi="Arial" w:cs="Arial"/>
          <w:sz w:val="24"/>
          <w:szCs w:val="24"/>
        </w:rPr>
        <w:t>the prescribed limitations:</w:t>
      </w:r>
    </w:p>
    <w:p w14:paraId="1BE5C9A8" w14:textId="656173EF" w:rsidR="00EE3D3D" w:rsidRPr="00000B11" w:rsidRDefault="00EE3D3D" w:rsidP="00913B77">
      <w:pPr>
        <w:pStyle w:val="ListParagraph"/>
        <w:numPr>
          <w:ilvl w:val="0"/>
          <w:numId w:val="1"/>
        </w:numPr>
        <w:rPr>
          <w:rFonts w:ascii="Arial" w:hAnsi="Arial" w:cs="Arial"/>
          <w:sz w:val="24"/>
          <w:szCs w:val="24"/>
        </w:rPr>
      </w:pPr>
      <w:r w:rsidRPr="00000B11">
        <w:rPr>
          <w:rFonts w:ascii="Arial" w:hAnsi="Arial" w:cs="Arial"/>
          <w:sz w:val="24"/>
          <w:szCs w:val="24"/>
        </w:rPr>
        <w:t>Payment in place must be made to the Minister on or before the due date of the mining claim,</w:t>
      </w:r>
    </w:p>
    <w:p w14:paraId="126FCD6B" w14:textId="2234DACE" w:rsidR="00EE3D3D" w:rsidRPr="00000B11" w:rsidRDefault="00EE3D3D" w:rsidP="00913B77">
      <w:pPr>
        <w:pStyle w:val="ListParagraph"/>
        <w:numPr>
          <w:ilvl w:val="0"/>
          <w:numId w:val="1"/>
        </w:numPr>
        <w:rPr>
          <w:rFonts w:ascii="Arial" w:hAnsi="Arial" w:cs="Arial"/>
          <w:sz w:val="24"/>
          <w:szCs w:val="24"/>
        </w:rPr>
      </w:pPr>
      <w:r w:rsidRPr="00000B11">
        <w:rPr>
          <w:rFonts w:ascii="Arial" w:hAnsi="Arial" w:cs="Arial"/>
          <w:sz w:val="24"/>
          <w:szCs w:val="24"/>
        </w:rPr>
        <w:lastRenderedPageBreak/>
        <w:t>Payment in place can only be made after the first unit of required assessment work has been fulfilled,</w:t>
      </w:r>
    </w:p>
    <w:p w14:paraId="4DF90D51" w14:textId="6DFFB542" w:rsidR="00EE3D3D" w:rsidRPr="00000B11" w:rsidRDefault="00EE3D3D" w:rsidP="00913B77">
      <w:pPr>
        <w:pStyle w:val="ListParagraph"/>
        <w:numPr>
          <w:ilvl w:val="0"/>
          <w:numId w:val="1"/>
        </w:numPr>
        <w:rPr>
          <w:rFonts w:ascii="Arial" w:hAnsi="Arial" w:cs="Arial"/>
          <w:sz w:val="24"/>
          <w:szCs w:val="24"/>
        </w:rPr>
      </w:pPr>
      <w:r w:rsidRPr="00000B11">
        <w:rPr>
          <w:rFonts w:ascii="Arial" w:hAnsi="Arial" w:cs="Arial"/>
          <w:sz w:val="24"/>
          <w:szCs w:val="24"/>
        </w:rPr>
        <w:t>A payment in place can only be made for the current assessment year,</w:t>
      </w:r>
    </w:p>
    <w:p w14:paraId="72106E8B" w14:textId="4FAE3C1D" w:rsidR="004F006C" w:rsidRPr="00000B11" w:rsidRDefault="004F006C" w:rsidP="00913B77">
      <w:pPr>
        <w:pStyle w:val="ListParagraph"/>
        <w:numPr>
          <w:ilvl w:val="0"/>
          <w:numId w:val="1"/>
        </w:numPr>
        <w:rPr>
          <w:rFonts w:ascii="Arial" w:hAnsi="Arial" w:cs="Arial"/>
          <w:sz w:val="24"/>
          <w:szCs w:val="24"/>
        </w:rPr>
      </w:pPr>
      <w:r w:rsidRPr="00000B11">
        <w:rPr>
          <w:rFonts w:ascii="Arial" w:hAnsi="Arial" w:cs="Arial"/>
          <w:sz w:val="24"/>
          <w:szCs w:val="24"/>
        </w:rPr>
        <w:t xml:space="preserve">A payment in place cannot exceed </w:t>
      </w:r>
      <w:r w:rsidR="00EE3D3D" w:rsidRPr="00000B11">
        <w:rPr>
          <w:rFonts w:ascii="Arial" w:hAnsi="Arial" w:cs="Arial"/>
          <w:sz w:val="24"/>
          <w:szCs w:val="24"/>
        </w:rPr>
        <w:t>the</w:t>
      </w:r>
      <w:r w:rsidRPr="00000B11">
        <w:rPr>
          <w:rFonts w:ascii="Arial" w:hAnsi="Arial" w:cs="Arial"/>
          <w:sz w:val="24"/>
          <w:szCs w:val="24"/>
        </w:rPr>
        <w:t xml:space="preserve"> required </w:t>
      </w:r>
      <w:r w:rsidR="00EE3D3D" w:rsidRPr="00000B11">
        <w:rPr>
          <w:rFonts w:ascii="Arial" w:hAnsi="Arial" w:cs="Arial"/>
          <w:sz w:val="24"/>
          <w:szCs w:val="24"/>
        </w:rPr>
        <w:t xml:space="preserve">amount </w:t>
      </w:r>
      <w:r w:rsidRPr="00000B11">
        <w:rPr>
          <w:rFonts w:ascii="Arial" w:hAnsi="Arial" w:cs="Arial"/>
          <w:sz w:val="24"/>
          <w:szCs w:val="24"/>
        </w:rPr>
        <w:t>to keep the mining claim for the current year</w:t>
      </w:r>
      <w:r w:rsidR="00EE3D3D" w:rsidRPr="00000B11">
        <w:rPr>
          <w:rFonts w:ascii="Arial" w:hAnsi="Arial" w:cs="Arial"/>
          <w:sz w:val="24"/>
          <w:szCs w:val="24"/>
        </w:rPr>
        <w:t>,</w:t>
      </w:r>
      <w:r w:rsidRPr="00000B11">
        <w:rPr>
          <w:rFonts w:ascii="Arial" w:hAnsi="Arial" w:cs="Arial"/>
          <w:sz w:val="24"/>
          <w:szCs w:val="24"/>
        </w:rPr>
        <w:t xml:space="preserve">  </w:t>
      </w:r>
    </w:p>
    <w:p w14:paraId="41EB8DDE" w14:textId="1ED550A4" w:rsidR="00EE3D3D" w:rsidRPr="00000B11" w:rsidRDefault="00EE3D3D" w:rsidP="00913B77">
      <w:pPr>
        <w:pStyle w:val="ListParagraph"/>
        <w:numPr>
          <w:ilvl w:val="0"/>
          <w:numId w:val="1"/>
        </w:numPr>
        <w:rPr>
          <w:rFonts w:ascii="Arial" w:hAnsi="Arial" w:cs="Arial"/>
          <w:sz w:val="24"/>
          <w:szCs w:val="24"/>
        </w:rPr>
      </w:pPr>
      <w:r w:rsidRPr="00000B11">
        <w:rPr>
          <w:rFonts w:ascii="Arial" w:hAnsi="Arial" w:cs="Arial"/>
          <w:sz w:val="24"/>
          <w:szCs w:val="24"/>
        </w:rPr>
        <w:t xml:space="preserve">A payment cannot be made for two consecutive years on </w:t>
      </w:r>
      <w:r w:rsidR="004A14C2" w:rsidRPr="00000B11">
        <w:rPr>
          <w:rFonts w:ascii="Arial" w:hAnsi="Arial" w:cs="Arial"/>
          <w:sz w:val="24"/>
          <w:szCs w:val="24"/>
        </w:rPr>
        <w:t>the</w:t>
      </w:r>
      <w:r w:rsidRPr="00000B11">
        <w:rPr>
          <w:rFonts w:ascii="Arial" w:hAnsi="Arial" w:cs="Arial"/>
          <w:sz w:val="24"/>
          <w:szCs w:val="24"/>
        </w:rPr>
        <w:t xml:space="preserve"> mining claim.  </w:t>
      </w:r>
    </w:p>
    <w:p w14:paraId="18781397" w14:textId="7CD67CB8" w:rsidR="00E64541" w:rsidRPr="00022BCF" w:rsidRDefault="00E64541" w:rsidP="00022BCF">
      <w:pPr>
        <w:pStyle w:val="Heading2"/>
        <w:spacing w:after="240"/>
        <w:rPr>
          <w:sz w:val="28"/>
          <w:szCs w:val="24"/>
          <w:lang w:val="en"/>
        </w:rPr>
      </w:pPr>
      <w:bookmarkStart w:id="12" w:name="_Toc529954819"/>
      <w:bookmarkStart w:id="13" w:name="_Toc72928433"/>
      <w:bookmarkStart w:id="14" w:name="_Toc92365374"/>
      <w:r w:rsidRPr="00022BCF">
        <w:rPr>
          <w:sz w:val="28"/>
          <w:szCs w:val="24"/>
          <w:lang w:val="en"/>
        </w:rPr>
        <w:t xml:space="preserve">Contact Mining Lands </w:t>
      </w:r>
      <w:bookmarkEnd w:id="12"/>
      <w:r w:rsidRPr="00022BCF">
        <w:rPr>
          <w:sz w:val="28"/>
          <w:szCs w:val="24"/>
          <w:lang w:val="en"/>
        </w:rPr>
        <w:t>Section</w:t>
      </w:r>
      <w:bookmarkEnd w:id="13"/>
      <w:bookmarkEnd w:id="14"/>
    </w:p>
    <w:p w14:paraId="51945721" w14:textId="77777777" w:rsidR="00E64541" w:rsidRPr="0059117E" w:rsidRDefault="00E64541" w:rsidP="001228DC">
      <w:pPr>
        <w:rPr>
          <w:rFonts w:ascii="Arial" w:eastAsia="Times New Roman" w:hAnsi="Arial" w:cs="Arial"/>
          <w:sz w:val="24"/>
          <w:szCs w:val="24"/>
          <w:lang w:val="en" w:eastAsia="en-CA"/>
        </w:rPr>
      </w:pPr>
      <w:r w:rsidRPr="0059117E">
        <w:rPr>
          <w:rFonts w:ascii="Arial" w:eastAsia="Times New Roman" w:hAnsi="Arial" w:cs="Arial"/>
          <w:sz w:val="24"/>
          <w:szCs w:val="24"/>
          <w:lang w:val="en" w:eastAsia="en-CA"/>
        </w:rPr>
        <w:t>For all inquiries about assessment costs please contact:</w:t>
      </w:r>
    </w:p>
    <w:p w14:paraId="42DF6D92" w14:textId="33C785CB" w:rsidR="00E64541" w:rsidRPr="0059117E" w:rsidRDefault="00E64541" w:rsidP="00A36B54">
      <w:pPr>
        <w:spacing w:after="0"/>
        <w:rPr>
          <w:rFonts w:ascii="Arial" w:eastAsia="Times New Roman" w:hAnsi="Arial" w:cs="Arial"/>
          <w:sz w:val="24"/>
          <w:szCs w:val="24"/>
          <w:lang w:val="en" w:eastAsia="en-CA"/>
        </w:rPr>
      </w:pPr>
      <w:r w:rsidRPr="0059117E">
        <w:rPr>
          <w:rFonts w:ascii="Arial" w:eastAsia="Times New Roman" w:hAnsi="Arial" w:cs="Arial"/>
          <w:sz w:val="24"/>
          <w:szCs w:val="24"/>
          <w:lang w:val="en" w:eastAsia="en-CA"/>
        </w:rPr>
        <w:t>Ministry of Mines</w:t>
      </w:r>
    </w:p>
    <w:p w14:paraId="107B590D" w14:textId="77777777" w:rsidR="00E64541" w:rsidRPr="0059117E" w:rsidRDefault="00E64541" w:rsidP="00A36B54">
      <w:pPr>
        <w:spacing w:after="0"/>
        <w:rPr>
          <w:rFonts w:ascii="Arial" w:eastAsia="Times New Roman" w:hAnsi="Arial" w:cs="Arial"/>
          <w:sz w:val="24"/>
          <w:szCs w:val="24"/>
          <w:lang w:val="en" w:eastAsia="en-CA"/>
        </w:rPr>
      </w:pPr>
      <w:r w:rsidRPr="0059117E">
        <w:rPr>
          <w:rFonts w:ascii="Arial" w:eastAsia="Times New Roman" w:hAnsi="Arial" w:cs="Arial"/>
          <w:sz w:val="24"/>
          <w:szCs w:val="24"/>
          <w:lang w:val="en" w:eastAsia="en-CA"/>
        </w:rPr>
        <w:t>Mining Lands Section</w:t>
      </w:r>
    </w:p>
    <w:p w14:paraId="6714077C" w14:textId="77777777" w:rsidR="00E64541" w:rsidRPr="0059117E" w:rsidRDefault="00E64541" w:rsidP="00A36B54">
      <w:pPr>
        <w:spacing w:after="0"/>
        <w:rPr>
          <w:rFonts w:ascii="Arial" w:eastAsia="Times New Roman" w:hAnsi="Arial" w:cs="Arial"/>
          <w:sz w:val="24"/>
          <w:szCs w:val="24"/>
          <w:lang w:val="en" w:eastAsia="en-CA"/>
        </w:rPr>
      </w:pPr>
      <w:r w:rsidRPr="0059117E">
        <w:rPr>
          <w:rFonts w:ascii="Arial" w:eastAsia="Times New Roman" w:hAnsi="Arial" w:cs="Arial"/>
          <w:sz w:val="24"/>
          <w:szCs w:val="24"/>
          <w:lang w:val="en" w:eastAsia="en-CA"/>
        </w:rPr>
        <w:t xml:space="preserve">Land Tenure and Assessment Unit </w:t>
      </w:r>
    </w:p>
    <w:p w14:paraId="06700FFE" w14:textId="77777777" w:rsidR="00E64541" w:rsidRPr="0059117E" w:rsidRDefault="00E64541" w:rsidP="00A36B54">
      <w:pPr>
        <w:spacing w:after="0"/>
        <w:rPr>
          <w:rFonts w:ascii="Arial" w:eastAsia="Times New Roman" w:hAnsi="Arial" w:cs="Arial"/>
          <w:sz w:val="24"/>
          <w:szCs w:val="24"/>
          <w:lang w:val="en" w:eastAsia="en-CA"/>
        </w:rPr>
      </w:pPr>
      <w:r w:rsidRPr="0059117E">
        <w:rPr>
          <w:rFonts w:ascii="Arial" w:eastAsia="Times New Roman" w:hAnsi="Arial" w:cs="Arial"/>
          <w:sz w:val="24"/>
          <w:szCs w:val="24"/>
          <w:lang w:val="en" w:eastAsia="en-CA"/>
        </w:rPr>
        <w:t>B-3, 933 Ramsey Lake Road</w:t>
      </w:r>
    </w:p>
    <w:p w14:paraId="142244FD" w14:textId="77777777" w:rsidR="00E64541" w:rsidRPr="0059117E" w:rsidRDefault="00E64541" w:rsidP="00A36B54">
      <w:pPr>
        <w:spacing w:after="0"/>
        <w:rPr>
          <w:rFonts w:ascii="Arial" w:eastAsia="Times New Roman" w:hAnsi="Arial" w:cs="Arial"/>
          <w:sz w:val="24"/>
          <w:szCs w:val="24"/>
          <w:lang w:val="en" w:eastAsia="en-CA"/>
        </w:rPr>
      </w:pPr>
      <w:r w:rsidRPr="0059117E">
        <w:rPr>
          <w:rFonts w:ascii="Arial" w:eastAsia="Times New Roman" w:hAnsi="Arial" w:cs="Arial"/>
          <w:sz w:val="24"/>
          <w:szCs w:val="24"/>
          <w:lang w:val="en" w:eastAsia="en-CA"/>
        </w:rPr>
        <w:t>Willet Green Miller Centre</w:t>
      </w:r>
    </w:p>
    <w:p w14:paraId="01BD5CDB" w14:textId="77777777" w:rsidR="00E64541" w:rsidRPr="0059117E" w:rsidRDefault="00E64541" w:rsidP="00A36B54">
      <w:pPr>
        <w:spacing w:after="0"/>
        <w:rPr>
          <w:rFonts w:ascii="Arial" w:eastAsia="Times New Roman" w:hAnsi="Arial" w:cs="Arial"/>
          <w:sz w:val="24"/>
          <w:szCs w:val="24"/>
          <w:lang w:val="en" w:eastAsia="en-CA"/>
        </w:rPr>
      </w:pPr>
      <w:r w:rsidRPr="0059117E">
        <w:rPr>
          <w:rFonts w:ascii="Arial" w:eastAsia="Times New Roman" w:hAnsi="Arial" w:cs="Arial"/>
          <w:sz w:val="24"/>
          <w:szCs w:val="24"/>
          <w:lang w:val="en" w:eastAsia="en-CA"/>
        </w:rPr>
        <w:t>Sudbury, ON P3E 6B5</w:t>
      </w:r>
    </w:p>
    <w:p w14:paraId="589FE0D9" w14:textId="77777777" w:rsidR="00E64541" w:rsidRPr="0059117E" w:rsidRDefault="00E64541" w:rsidP="00A36B54">
      <w:pPr>
        <w:spacing w:after="0"/>
        <w:rPr>
          <w:rFonts w:ascii="Arial" w:eastAsia="Times New Roman" w:hAnsi="Arial" w:cs="Arial"/>
          <w:sz w:val="24"/>
          <w:szCs w:val="24"/>
          <w:lang w:val="en" w:eastAsia="en-CA"/>
        </w:rPr>
      </w:pPr>
      <w:r w:rsidRPr="0059117E">
        <w:rPr>
          <w:rFonts w:ascii="Arial" w:eastAsia="Times New Roman" w:hAnsi="Arial" w:cs="Arial"/>
          <w:sz w:val="24"/>
          <w:szCs w:val="24"/>
          <w:lang w:val="en" w:eastAsia="en-CA"/>
        </w:rPr>
        <w:t>Toll Free Telephone: 1-888-415-9845</w:t>
      </w:r>
    </w:p>
    <w:p w14:paraId="0881D3E2" w14:textId="7865EFC3" w:rsidR="00E64541" w:rsidRPr="0059117E" w:rsidRDefault="00E64541" w:rsidP="00A36B54">
      <w:pPr>
        <w:spacing w:after="0"/>
        <w:rPr>
          <w:rFonts w:ascii="Arial" w:eastAsia="Times New Roman" w:hAnsi="Arial" w:cs="Arial"/>
          <w:sz w:val="24"/>
          <w:szCs w:val="24"/>
          <w:lang w:val="en" w:eastAsia="en-CA"/>
        </w:rPr>
      </w:pPr>
      <w:r w:rsidRPr="0059117E">
        <w:rPr>
          <w:rFonts w:ascii="Arial" w:eastAsia="Times New Roman" w:hAnsi="Arial" w:cs="Arial"/>
          <w:sz w:val="24"/>
          <w:szCs w:val="24"/>
          <w:lang w:val="en" w:eastAsia="en-CA"/>
        </w:rPr>
        <w:t xml:space="preserve">Email: </w:t>
      </w:r>
      <w:r w:rsidR="00401EDC">
        <w:rPr>
          <w:rFonts w:ascii="Arial" w:eastAsia="Times New Roman" w:hAnsi="Arial" w:cs="Arial"/>
          <w:sz w:val="24"/>
          <w:szCs w:val="24"/>
          <w:lang w:val="en" w:eastAsia="en-CA"/>
        </w:rPr>
        <w:t>mlas.ltau</w:t>
      </w:r>
      <w:r w:rsidRPr="0059117E">
        <w:rPr>
          <w:rFonts w:ascii="Arial" w:eastAsia="Times New Roman" w:hAnsi="Arial" w:cs="Arial"/>
          <w:sz w:val="24"/>
          <w:szCs w:val="24"/>
          <w:lang w:val="en" w:eastAsia="en-CA"/>
        </w:rPr>
        <w:t>@ontario.ca</w:t>
      </w:r>
    </w:p>
    <w:p w14:paraId="5E87DC38" w14:textId="77AA308F" w:rsidR="00F37D9C" w:rsidRPr="001228DC" w:rsidRDefault="00F37D9C" w:rsidP="001228DC"/>
    <w:p w14:paraId="3248055E" w14:textId="213F2654" w:rsidR="00F24B94" w:rsidRPr="001228DC" w:rsidRDefault="002B3B3F" w:rsidP="001228DC">
      <w:pPr>
        <w:rPr>
          <w:b/>
          <w:bCs/>
        </w:rPr>
      </w:pPr>
      <w:r w:rsidRPr="001228DC">
        <w:rPr>
          <w:b/>
          <w:bCs/>
        </w:rPr>
        <w:t xml:space="preserve"> </w:t>
      </w:r>
    </w:p>
    <w:p w14:paraId="6C8DE19B" w14:textId="16622C87" w:rsidR="00F37D9C" w:rsidRPr="001228DC" w:rsidRDefault="00F37D9C" w:rsidP="001228DC">
      <w:pPr>
        <w:rPr>
          <w:rFonts w:eastAsia="Times New Roman"/>
          <w:lang w:eastAsia="en-CA"/>
        </w:rPr>
      </w:pPr>
    </w:p>
    <w:p w14:paraId="2D5BECFF" w14:textId="6882940C" w:rsidR="00F37D9C" w:rsidRPr="001228DC" w:rsidRDefault="00F37D9C" w:rsidP="001228DC"/>
    <w:p w14:paraId="3A9FCBF4" w14:textId="7BCB6EEF" w:rsidR="00F37D9C" w:rsidRPr="001228DC" w:rsidRDefault="00F24B94" w:rsidP="001228DC">
      <w:r w:rsidRPr="001228DC">
        <w:t xml:space="preserve"> </w:t>
      </w:r>
    </w:p>
    <w:p w14:paraId="445B456E" w14:textId="70FCF758" w:rsidR="00F37D9C" w:rsidRPr="001228DC" w:rsidRDefault="00F37D9C" w:rsidP="001228DC">
      <w:r w:rsidRPr="001228DC">
        <w:t xml:space="preserve"> </w:t>
      </w:r>
    </w:p>
    <w:p w14:paraId="55E970B7" w14:textId="38F5ACA3" w:rsidR="00F37D9C" w:rsidRPr="001228DC" w:rsidRDefault="00F37D9C" w:rsidP="001228DC">
      <w:r w:rsidRPr="001228DC">
        <w:t xml:space="preserve"> </w:t>
      </w:r>
    </w:p>
    <w:p w14:paraId="7796059A" w14:textId="77777777" w:rsidR="00F37D9C" w:rsidRPr="001228DC" w:rsidRDefault="00F37D9C" w:rsidP="001228DC"/>
    <w:p w14:paraId="58E53193" w14:textId="77777777" w:rsidR="00A36B54" w:rsidRDefault="00A36B54" w:rsidP="001228DC">
      <w:pPr>
        <w:rPr>
          <w:rFonts w:eastAsia="Times New Roman"/>
          <w:lang w:val="en" w:eastAsia="en-CA"/>
        </w:rPr>
      </w:pPr>
    </w:p>
    <w:p w14:paraId="355F25A7" w14:textId="77777777" w:rsidR="00A36B54" w:rsidRDefault="00A36B54" w:rsidP="001228DC">
      <w:pPr>
        <w:rPr>
          <w:rFonts w:eastAsia="Times New Roman"/>
          <w:lang w:val="en" w:eastAsia="en-CA"/>
        </w:rPr>
      </w:pPr>
    </w:p>
    <w:p w14:paraId="55AF5659" w14:textId="77777777" w:rsidR="00A36B54" w:rsidRDefault="00A36B54" w:rsidP="001228DC">
      <w:pPr>
        <w:rPr>
          <w:rFonts w:eastAsia="Times New Roman"/>
          <w:lang w:val="en" w:eastAsia="en-CA"/>
        </w:rPr>
      </w:pPr>
    </w:p>
    <w:p w14:paraId="3D717688" w14:textId="179F46BF" w:rsidR="00A36B54" w:rsidRDefault="00A36B54" w:rsidP="001228DC">
      <w:pPr>
        <w:rPr>
          <w:rFonts w:eastAsia="Times New Roman"/>
          <w:lang w:val="en" w:eastAsia="en-CA"/>
        </w:rPr>
      </w:pPr>
    </w:p>
    <w:p w14:paraId="5469D791" w14:textId="7B7FA8C5" w:rsidR="00D153AB" w:rsidRDefault="00D153AB" w:rsidP="001228DC">
      <w:pPr>
        <w:rPr>
          <w:rFonts w:eastAsia="Times New Roman"/>
          <w:lang w:val="en" w:eastAsia="en-CA"/>
        </w:rPr>
      </w:pPr>
    </w:p>
    <w:p w14:paraId="6B7A7843" w14:textId="77777777" w:rsidR="00D153AB" w:rsidRDefault="00D153AB" w:rsidP="001228DC">
      <w:pPr>
        <w:rPr>
          <w:rFonts w:eastAsia="Times New Roman"/>
          <w:lang w:val="en" w:eastAsia="en-CA"/>
        </w:rPr>
      </w:pPr>
    </w:p>
    <w:p w14:paraId="5F2D5D67" w14:textId="42AFF125" w:rsidR="00827661" w:rsidRPr="00022BCF" w:rsidRDefault="00827661" w:rsidP="00022BCF">
      <w:pPr>
        <w:pStyle w:val="Heading2"/>
        <w:spacing w:after="240"/>
        <w:rPr>
          <w:rFonts w:eastAsia="Times New Roman"/>
          <w:sz w:val="28"/>
          <w:szCs w:val="24"/>
          <w:lang w:val="en" w:eastAsia="en-CA"/>
        </w:rPr>
      </w:pPr>
      <w:bookmarkStart w:id="15" w:name="_Toc92365375"/>
      <w:r w:rsidRPr="00022BCF">
        <w:rPr>
          <w:rFonts w:eastAsia="Times New Roman"/>
          <w:sz w:val="28"/>
          <w:szCs w:val="24"/>
          <w:lang w:val="en" w:eastAsia="en-CA"/>
        </w:rPr>
        <w:lastRenderedPageBreak/>
        <w:t>Authority Detail</w:t>
      </w:r>
      <w:bookmarkEnd w:id="15"/>
    </w:p>
    <w:p w14:paraId="040FCE0B" w14:textId="574D184A" w:rsidR="001A0E85" w:rsidRPr="001228DC" w:rsidRDefault="00E15BF2" w:rsidP="00022BCF">
      <w:pPr>
        <w:pStyle w:val="Heading2"/>
        <w:rPr>
          <w:rFonts w:eastAsia="Times New Roman"/>
          <w:lang w:eastAsia="en-CA"/>
        </w:rPr>
      </w:pPr>
      <w:bookmarkStart w:id="16" w:name="_Toc92365376"/>
      <w:r w:rsidRPr="001228DC">
        <w:rPr>
          <w:rStyle w:val="Hyperlink"/>
          <w:rFonts w:ascii="Arial" w:hAnsi="Arial" w:cs="Arial"/>
          <w:color w:val="auto"/>
          <w:sz w:val="24"/>
          <w:szCs w:val="24"/>
          <w:lang w:val="en" w:eastAsia="en-CA"/>
        </w:rPr>
        <w:t>Mining Act R.S.O. 1990 M. 14</w:t>
      </w:r>
      <w:bookmarkEnd w:id="16"/>
      <w:r w:rsidR="001A0E85" w:rsidRPr="001228DC">
        <w:rPr>
          <w:rFonts w:eastAsia="Times New Roman"/>
          <w:lang w:eastAsia="en-CA"/>
        </w:rPr>
        <w:t> </w:t>
      </w:r>
    </w:p>
    <w:p w14:paraId="513C3A5E" w14:textId="77777777" w:rsidR="003D298B" w:rsidRPr="00022BCF" w:rsidRDefault="003D298B" w:rsidP="00022BCF">
      <w:pPr>
        <w:pStyle w:val="Heading2"/>
        <w:rPr>
          <w:sz w:val="24"/>
          <w:szCs w:val="22"/>
          <w:lang w:eastAsia="en-CA"/>
        </w:rPr>
      </w:pPr>
      <w:bookmarkStart w:id="17" w:name="_Toc92365377"/>
      <w:r w:rsidRPr="00022BCF">
        <w:rPr>
          <w:sz w:val="24"/>
          <w:szCs w:val="22"/>
          <w:lang w:eastAsia="en-CA"/>
        </w:rPr>
        <w:t>Work on mining lands</w:t>
      </w:r>
      <w:bookmarkEnd w:id="17"/>
    </w:p>
    <w:p w14:paraId="0E9807E9" w14:textId="77777777" w:rsidR="003D298B" w:rsidRPr="00B03D36" w:rsidRDefault="003D298B" w:rsidP="003D298B">
      <w:pPr>
        <w:shd w:val="clear" w:color="auto" w:fill="FFFFFF"/>
        <w:spacing w:before="100" w:beforeAutospacing="1" w:after="100" w:afterAutospacing="1" w:line="240" w:lineRule="auto"/>
        <w:rPr>
          <w:rFonts w:ascii="Arial" w:eastAsia="Times New Roman" w:hAnsi="Arial" w:cs="Arial"/>
          <w:sz w:val="24"/>
          <w:szCs w:val="24"/>
          <w:lang w:eastAsia="en-CA"/>
        </w:rPr>
      </w:pPr>
      <w:r w:rsidRPr="00B03D36">
        <w:rPr>
          <w:rFonts w:ascii="Arial" w:eastAsia="Times New Roman" w:hAnsi="Arial" w:cs="Arial"/>
          <w:sz w:val="24"/>
          <w:szCs w:val="24"/>
          <w:lang w:eastAsia="en-CA"/>
        </w:rPr>
        <w:t xml:space="preserve">66(3) Assessment work performed on mining lands or </w:t>
      </w:r>
      <w:r>
        <w:rPr>
          <w:rFonts w:ascii="Arial" w:eastAsia="Times New Roman" w:hAnsi="Arial" w:cs="Arial"/>
          <w:sz w:val="24"/>
          <w:szCs w:val="24"/>
          <w:lang w:eastAsia="en-CA"/>
        </w:rPr>
        <w:t>payment</w:t>
      </w:r>
      <w:r w:rsidRPr="00B03D36">
        <w:rPr>
          <w:rFonts w:ascii="Arial" w:eastAsia="Times New Roman" w:hAnsi="Arial" w:cs="Arial"/>
          <w:sz w:val="24"/>
          <w:szCs w:val="24"/>
          <w:lang w:eastAsia="en-CA"/>
        </w:rPr>
        <w:t xml:space="preserve"> made in place of assessment work may be allocated to contiguous unpatented mining claims in the prescribed manner.  2009, c. 21, s. 34 (3).</w:t>
      </w:r>
    </w:p>
    <w:p w14:paraId="34FD2F7A" w14:textId="0B4EED17" w:rsidR="003D298B" w:rsidRDefault="003D298B" w:rsidP="0094368B">
      <w:pPr>
        <w:pStyle w:val="Heading2"/>
        <w:spacing w:after="240"/>
        <w:rPr>
          <w:shd w:val="clear" w:color="auto" w:fill="FFFFFF"/>
        </w:rPr>
      </w:pPr>
      <w:bookmarkStart w:id="18" w:name="_Toc92365378"/>
      <w:r w:rsidRPr="00F958A3">
        <w:rPr>
          <w:sz w:val="24"/>
          <w:szCs w:val="22"/>
          <w:u w:val="single"/>
          <w:shd w:val="clear" w:color="auto" w:fill="FFFFFF"/>
        </w:rPr>
        <w:t>Ontario Regulation 65/18: Assessment Work</w:t>
      </w:r>
      <w:bookmarkEnd w:id="18"/>
    </w:p>
    <w:p w14:paraId="70131DB4" w14:textId="77777777" w:rsidR="003D298B" w:rsidRPr="00F958A3" w:rsidRDefault="003D298B" w:rsidP="00F958A3">
      <w:pPr>
        <w:pStyle w:val="Heading2"/>
        <w:spacing w:before="0"/>
        <w:rPr>
          <w:sz w:val="24"/>
          <w:szCs w:val="22"/>
        </w:rPr>
      </w:pPr>
      <w:bookmarkStart w:id="19" w:name="_Toc92365379"/>
      <w:r w:rsidRPr="00F958A3">
        <w:rPr>
          <w:sz w:val="24"/>
          <w:szCs w:val="22"/>
        </w:rPr>
        <w:t>System of assessment work credits</w:t>
      </w:r>
      <w:bookmarkEnd w:id="19"/>
    </w:p>
    <w:p w14:paraId="2867800C" w14:textId="77777777" w:rsidR="003D298B" w:rsidRPr="00A64BCD" w:rsidRDefault="003D298B" w:rsidP="003D298B">
      <w:pPr>
        <w:pStyle w:val="section-e"/>
        <w:shd w:val="clear" w:color="auto" w:fill="FFFFFF"/>
        <w:rPr>
          <w:rFonts w:ascii="Arial" w:hAnsi="Arial" w:cs="Arial"/>
        </w:rPr>
      </w:pPr>
      <w:r w:rsidRPr="00A64BCD">
        <w:rPr>
          <w:rFonts w:ascii="Arial" w:hAnsi="Arial" w:cs="Arial"/>
          <w:b/>
          <w:bCs/>
        </w:rPr>
        <w:t>8. </w:t>
      </w:r>
      <w:r w:rsidRPr="00A64BCD">
        <w:rPr>
          <w:rFonts w:ascii="Arial" w:hAnsi="Arial" w:cs="Arial"/>
        </w:rPr>
        <w:t xml:space="preserve">(2) The purpose of assessment work </w:t>
      </w:r>
      <w:r>
        <w:rPr>
          <w:rFonts w:ascii="Arial" w:hAnsi="Arial" w:cs="Arial"/>
        </w:rPr>
        <w:t>credits</w:t>
      </w:r>
      <w:r w:rsidRPr="00A64BCD">
        <w:rPr>
          <w:rFonts w:ascii="Arial" w:hAnsi="Arial" w:cs="Arial"/>
        </w:rPr>
        <w:t xml:space="preserve"> is to allow a claim holder to use the </w:t>
      </w:r>
      <w:r>
        <w:rPr>
          <w:rFonts w:ascii="Arial" w:hAnsi="Arial" w:cs="Arial"/>
        </w:rPr>
        <w:t>credits</w:t>
      </w:r>
      <w:r w:rsidRPr="00A64BCD">
        <w:rPr>
          <w:rFonts w:ascii="Arial" w:hAnsi="Arial" w:cs="Arial"/>
        </w:rPr>
        <w:t xml:space="preserve"> in accordance with this Part to satisfy annual units of assessment work that are required to be performed on the claim under section 65 of the Act.</w:t>
      </w:r>
    </w:p>
    <w:p w14:paraId="25A8175D" w14:textId="77777777" w:rsidR="003D298B" w:rsidRPr="00A64BCD" w:rsidRDefault="003D298B" w:rsidP="003D298B">
      <w:pPr>
        <w:pStyle w:val="subsection-e"/>
        <w:shd w:val="clear" w:color="auto" w:fill="FFFFFF"/>
        <w:rPr>
          <w:rFonts w:ascii="Arial" w:hAnsi="Arial" w:cs="Arial"/>
        </w:rPr>
      </w:pPr>
      <w:r w:rsidRPr="00A64BCD">
        <w:rPr>
          <w:rFonts w:ascii="Arial" w:hAnsi="Arial" w:cs="Arial"/>
        </w:rPr>
        <w:t xml:space="preserve">(4) Under the system of assessment work </w:t>
      </w:r>
      <w:r>
        <w:rPr>
          <w:rFonts w:ascii="Arial" w:hAnsi="Arial" w:cs="Arial"/>
        </w:rPr>
        <w:t>credits</w:t>
      </w:r>
      <w:r w:rsidRPr="00A64BCD">
        <w:rPr>
          <w:rFonts w:ascii="Arial" w:hAnsi="Arial" w:cs="Arial"/>
        </w:rPr>
        <w:t>, a claim holder shall be permitted to,</w:t>
      </w:r>
    </w:p>
    <w:p w14:paraId="3C951DCE" w14:textId="77777777" w:rsidR="003D298B" w:rsidRPr="00A64BCD" w:rsidRDefault="003D298B" w:rsidP="003D298B">
      <w:pPr>
        <w:pStyle w:val="clause-e"/>
        <w:shd w:val="clear" w:color="auto" w:fill="FFFFFF"/>
        <w:spacing w:before="0" w:beforeAutospacing="0" w:after="120" w:afterAutospacing="0"/>
        <w:ind w:left="720" w:hanging="360"/>
        <w:rPr>
          <w:rFonts w:ascii="Arial" w:hAnsi="Arial" w:cs="Arial"/>
        </w:rPr>
      </w:pPr>
      <w:r w:rsidRPr="00A64BCD">
        <w:rPr>
          <w:rFonts w:ascii="Arial" w:hAnsi="Arial" w:cs="Arial"/>
        </w:rPr>
        <w:t xml:space="preserve">(a) use assessment work </w:t>
      </w:r>
      <w:r>
        <w:rPr>
          <w:rFonts w:ascii="Arial" w:hAnsi="Arial" w:cs="Arial"/>
        </w:rPr>
        <w:t>credits</w:t>
      </w:r>
      <w:r w:rsidRPr="00A64BCD">
        <w:rPr>
          <w:rFonts w:ascii="Arial" w:hAnsi="Arial" w:cs="Arial"/>
        </w:rPr>
        <w:t xml:space="preserve"> assigned for assessment work performed on mining lands other than the mining claim to satisfy the annual units of assessment work required for the mining claim, so long as the mining lands are contiguous to the mining claim; and</w:t>
      </w:r>
    </w:p>
    <w:p w14:paraId="4350CA73" w14:textId="262B08A5" w:rsidR="003D298B" w:rsidRDefault="003D298B" w:rsidP="003D298B">
      <w:pPr>
        <w:pStyle w:val="clause-e"/>
        <w:shd w:val="clear" w:color="auto" w:fill="FFFFFF"/>
        <w:spacing w:before="0" w:beforeAutospacing="0" w:after="120" w:afterAutospacing="0"/>
        <w:ind w:left="720" w:hanging="360"/>
        <w:rPr>
          <w:rFonts w:ascii="Arial" w:hAnsi="Arial" w:cs="Arial"/>
        </w:rPr>
      </w:pPr>
      <w:r w:rsidRPr="00A64BCD">
        <w:rPr>
          <w:rFonts w:ascii="Arial" w:hAnsi="Arial" w:cs="Arial"/>
        </w:rPr>
        <w:t xml:space="preserve">(b) use assessment work </w:t>
      </w:r>
      <w:r>
        <w:rPr>
          <w:rFonts w:ascii="Arial" w:hAnsi="Arial" w:cs="Arial"/>
        </w:rPr>
        <w:t>credits</w:t>
      </w:r>
      <w:r w:rsidRPr="00A64BCD">
        <w:rPr>
          <w:rFonts w:ascii="Arial" w:hAnsi="Arial" w:cs="Arial"/>
        </w:rPr>
        <w:t xml:space="preserve"> assigned for assessment work performed in a given assessment year on the mining claim or on mining lands other than a mining claim to satisfy the annual units of assessment work required for that assessment year and for subsequent assessment years, subject to the limitations set out in section 19.</w:t>
      </w:r>
    </w:p>
    <w:p w14:paraId="0D737047" w14:textId="77777777" w:rsidR="003D298B" w:rsidRPr="0094368B" w:rsidRDefault="003D298B" w:rsidP="0094368B">
      <w:pPr>
        <w:pStyle w:val="Heading2"/>
        <w:rPr>
          <w:sz w:val="24"/>
          <w:szCs w:val="22"/>
        </w:rPr>
      </w:pPr>
      <w:bookmarkStart w:id="20" w:name="_Toc92365380"/>
      <w:r w:rsidRPr="0094368B">
        <w:rPr>
          <w:sz w:val="24"/>
          <w:szCs w:val="22"/>
        </w:rPr>
        <w:t>How system works</w:t>
      </w:r>
      <w:bookmarkEnd w:id="20"/>
    </w:p>
    <w:p w14:paraId="20A706BF" w14:textId="77777777" w:rsidR="003D298B" w:rsidRPr="00A64BCD" w:rsidRDefault="003D298B" w:rsidP="003D298B">
      <w:pPr>
        <w:pStyle w:val="section-e"/>
        <w:shd w:val="clear" w:color="auto" w:fill="FFFFFF"/>
        <w:rPr>
          <w:rFonts w:ascii="Arial" w:hAnsi="Arial" w:cs="Arial"/>
        </w:rPr>
      </w:pPr>
      <w:r w:rsidRPr="00A64BCD">
        <w:rPr>
          <w:rFonts w:ascii="Arial" w:hAnsi="Arial" w:cs="Arial"/>
          <w:b/>
          <w:bCs/>
        </w:rPr>
        <w:t>9. </w:t>
      </w:r>
      <w:r w:rsidRPr="00A64BCD">
        <w:rPr>
          <w:rFonts w:ascii="Arial" w:hAnsi="Arial" w:cs="Arial"/>
        </w:rPr>
        <w:t xml:space="preserve">(1) The Minister shall review all assessment work reports submitted under section 6 and evaluate the assessment work described in the report </w:t>
      </w:r>
      <w:proofErr w:type="gramStart"/>
      <w:r w:rsidRPr="00A64BCD">
        <w:rPr>
          <w:rFonts w:ascii="Arial" w:hAnsi="Arial" w:cs="Arial"/>
        </w:rPr>
        <w:t>in order to</w:t>
      </w:r>
      <w:proofErr w:type="gramEnd"/>
      <w:r w:rsidRPr="00A64BCD">
        <w:rPr>
          <w:rFonts w:ascii="Arial" w:hAnsi="Arial" w:cs="Arial"/>
        </w:rPr>
        <w:t>,</w:t>
      </w:r>
    </w:p>
    <w:p w14:paraId="42BA94A5" w14:textId="77777777" w:rsidR="003D298B" w:rsidRPr="00A64BCD" w:rsidRDefault="003D298B" w:rsidP="003D298B">
      <w:pPr>
        <w:pStyle w:val="clause-e"/>
        <w:shd w:val="clear" w:color="auto" w:fill="FFFFFF"/>
        <w:spacing w:before="0" w:beforeAutospacing="0" w:after="120" w:afterAutospacing="0"/>
        <w:ind w:left="720" w:hanging="360"/>
        <w:rPr>
          <w:rFonts w:ascii="Arial" w:hAnsi="Arial" w:cs="Arial"/>
        </w:rPr>
      </w:pPr>
      <w:r w:rsidRPr="00A64BCD">
        <w:rPr>
          <w:rFonts w:ascii="Arial" w:hAnsi="Arial" w:cs="Arial"/>
        </w:rPr>
        <w:t xml:space="preserve">(a) determine in accordance with section 12 whether the work is eligible for assessment work </w:t>
      </w:r>
      <w:r>
        <w:rPr>
          <w:rFonts w:ascii="Arial" w:hAnsi="Arial" w:cs="Arial"/>
        </w:rPr>
        <w:t>credits</w:t>
      </w:r>
      <w:r w:rsidRPr="00A64BCD">
        <w:rPr>
          <w:rFonts w:ascii="Arial" w:hAnsi="Arial" w:cs="Arial"/>
        </w:rPr>
        <w:t>; and</w:t>
      </w:r>
    </w:p>
    <w:p w14:paraId="0AE54DD2" w14:textId="77777777" w:rsidR="003D298B" w:rsidRPr="00A64BCD" w:rsidRDefault="003D298B" w:rsidP="003D298B">
      <w:pPr>
        <w:pStyle w:val="clause-e"/>
        <w:shd w:val="clear" w:color="auto" w:fill="FFFFFF"/>
        <w:spacing w:before="0" w:beforeAutospacing="0" w:after="120" w:afterAutospacing="0"/>
        <w:ind w:left="720" w:hanging="360"/>
        <w:rPr>
          <w:rFonts w:ascii="Arial" w:hAnsi="Arial" w:cs="Arial"/>
        </w:rPr>
      </w:pPr>
      <w:r w:rsidRPr="00A64BCD">
        <w:rPr>
          <w:rFonts w:ascii="Arial" w:hAnsi="Arial" w:cs="Arial"/>
        </w:rPr>
        <w:t xml:space="preserve">(b) determine in accordance with section 13 the amount of assessment work </w:t>
      </w:r>
      <w:r>
        <w:rPr>
          <w:rFonts w:ascii="Arial" w:hAnsi="Arial" w:cs="Arial"/>
        </w:rPr>
        <w:t>credits</w:t>
      </w:r>
      <w:r w:rsidRPr="00A64BCD">
        <w:rPr>
          <w:rFonts w:ascii="Arial" w:hAnsi="Arial" w:cs="Arial"/>
        </w:rPr>
        <w:t xml:space="preserve"> to be assigned to the work.</w:t>
      </w:r>
    </w:p>
    <w:p w14:paraId="19E71688" w14:textId="77777777" w:rsidR="003D298B" w:rsidRPr="00A64BCD" w:rsidRDefault="003D298B" w:rsidP="003D298B">
      <w:pPr>
        <w:pStyle w:val="subsection-e"/>
        <w:shd w:val="clear" w:color="auto" w:fill="FFFFFF"/>
        <w:rPr>
          <w:rFonts w:ascii="Arial" w:hAnsi="Arial" w:cs="Arial"/>
        </w:rPr>
      </w:pPr>
      <w:r w:rsidRPr="00A64BCD">
        <w:rPr>
          <w:rFonts w:ascii="Arial" w:hAnsi="Arial" w:cs="Arial"/>
        </w:rPr>
        <w:t xml:space="preserve">(2) The Minister shall transfer the amount of assessment work </w:t>
      </w:r>
      <w:r>
        <w:rPr>
          <w:rFonts w:ascii="Arial" w:hAnsi="Arial" w:cs="Arial"/>
        </w:rPr>
        <w:t>credits</w:t>
      </w:r>
      <w:r w:rsidRPr="00A64BCD">
        <w:rPr>
          <w:rFonts w:ascii="Arial" w:hAnsi="Arial" w:cs="Arial"/>
        </w:rPr>
        <w:t xml:space="preserve"> into a reserve for the mining claim established under section 16.</w:t>
      </w:r>
    </w:p>
    <w:p w14:paraId="51581D72" w14:textId="77777777" w:rsidR="003D298B" w:rsidRPr="00A64BCD" w:rsidRDefault="003D298B" w:rsidP="003D298B">
      <w:pPr>
        <w:pStyle w:val="subsection-e"/>
        <w:shd w:val="clear" w:color="auto" w:fill="FFFFFF"/>
        <w:rPr>
          <w:rFonts w:ascii="Arial" w:hAnsi="Arial" w:cs="Arial"/>
        </w:rPr>
      </w:pPr>
      <w:r w:rsidRPr="00A64BCD">
        <w:rPr>
          <w:rFonts w:ascii="Arial" w:hAnsi="Arial" w:cs="Arial"/>
        </w:rPr>
        <w:t xml:space="preserve">(3) The claim holder may distribute assessment work </w:t>
      </w:r>
      <w:r>
        <w:rPr>
          <w:rFonts w:ascii="Arial" w:hAnsi="Arial" w:cs="Arial"/>
        </w:rPr>
        <w:t>credit</w:t>
      </w:r>
      <w:r w:rsidRPr="00A64BCD">
        <w:rPr>
          <w:rFonts w:ascii="Arial" w:hAnsi="Arial" w:cs="Arial"/>
        </w:rPr>
        <w:t xml:space="preserve"> from a reserve to the mining claim in accordance with sections 17 and 19 in an amount that is sufficient to satisfy the </w:t>
      </w:r>
      <w:r w:rsidRPr="00A64BCD">
        <w:rPr>
          <w:rFonts w:ascii="Arial" w:hAnsi="Arial" w:cs="Arial"/>
        </w:rPr>
        <w:lastRenderedPageBreak/>
        <w:t>annual units of assessment work that the claim holder is required to perform on the claim under section 65 of the Act,</w:t>
      </w:r>
    </w:p>
    <w:p w14:paraId="3C6E878A" w14:textId="77777777" w:rsidR="003D298B" w:rsidRPr="00A64BCD" w:rsidRDefault="003D298B" w:rsidP="003D298B">
      <w:pPr>
        <w:pStyle w:val="clause-e"/>
        <w:shd w:val="clear" w:color="auto" w:fill="FFFFFF"/>
        <w:spacing w:before="0" w:beforeAutospacing="0" w:after="120" w:afterAutospacing="0"/>
        <w:ind w:left="720" w:hanging="360"/>
        <w:rPr>
          <w:rFonts w:ascii="Arial" w:hAnsi="Arial" w:cs="Arial"/>
        </w:rPr>
      </w:pPr>
      <w:r w:rsidRPr="00A64BCD">
        <w:rPr>
          <w:rFonts w:ascii="Arial" w:hAnsi="Arial" w:cs="Arial"/>
        </w:rPr>
        <w:t>(a) for the assessment year in which the assessment work is performed;</w:t>
      </w:r>
    </w:p>
    <w:p w14:paraId="77528CE6" w14:textId="77777777" w:rsidR="003D298B" w:rsidRPr="00A64BCD" w:rsidRDefault="003D298B" w:rsidP="003D298B">
      <w:pPr>
        <w:pStyle w:val="clause-e"/>
        <w:shd w:val="clear" w:color="auto" w:fill="FFFFFF"/>
        <w:spacing w:before="0" w:beforeAutospacing="0" w:after="120" w:afterAutospacing="0"/>
        <w:ind w:left="720" w:hanging="360"/>
        <w:rPr>
          <w:rFonts w:ascii="Arial" w:hAnsi="Arial" w:cs="Arial"/>
        </w:rPr>
      </w:pPr>
      <w:r w:rsidRPr="00A64BCD">
        <w:rPr>
          <w:rFonts w:ascii="Arial" w:hAnsi="Arial" w:cs="Arial"/>
        </w:rPr>
        <w:t xml:space="preserve">(b) for assessment years </w:t>
      </w:r>
      <w:proofErr w:type="gramStart"/>
      <w:r w:rsidRPr="00A64BCD">
        <w:rPr>
          <w:rFonts w:ascii="Arial" w:hAnsi="Arial" w:cs="Arial"/>
        </w:rPr>
        <w:t>subsequent to</w:t>
      </w:r>
      <w:proofErr w:type="gramEnd"/>
      <w:r w:rsidRPr="00A64BCD">
        <w:rPr>
          <w:rFonts w:ascii="Arial" w:hAnsi="Arial" w:cs="Arial"/>
        </w:rPr>
        <w:t xml:space="preserve"> the assessment year in which the assessment work is performed, subject to the limitations in section 19; or</w:t>
      </w:r>
    </w:p>
    <w:p w14:paraId="34F4569B" w14:textId="77777777" w:rsidR="003D298B" w:rsidRDefault="003D298B" w:rsidP="003D298B">
      <w:pPr>
        <w:pStyle w:val="clause-e"/>
        <w:shd w:val="clear" w:color="auto" w:fill="FFFFFF"/>
        <w:spacing w:before="0" w:beforeAutospacing="0" w:after="120" w:afterAutospacing="0"/>
        <w:ind w:left="720" w:hanging="360"/>
        <w:rPr>
          <w:rFonts w:ascii="Arial" w:hAnsi="Arial" w:cs="Arial"/>
        </w:rPr>
      </w:pPr>
      <w:r w:rsidRPr="00A64BCD">
        <w:rPr>
          <w:rFonts w:ascii="Arial" w:hAnsi="Arial" w:cs="Arial"/>
        </w:rPr>
        <w:t>(c) for both types of assessment years described in clauses (a) and (b).</w:t>
      </w:r>
    </w:p>
    <w:p w14:paraId="71B521E8" w14:textId="77777777" w:rsidR="003D298B" w:rsidRPr="0094368B" w:rsidRDefault="003D298B" w:rsidP="00170D35">
      <w:pPr>
        <w:pStyle w:val="Heading2"/>
        <w:spacing w:after="240"/>
        <w:rPr>
          <w:sz w:val="24"/>
          <w:szCs w:val="22"/>
          <w:shd w:val="clear" w:color="auto" w:fill="FFFFFF"/>
        </w:rPr>
      </w:pPr>
      <w:r w:rsidRPr="00F0171C">
        <w:t xml:space="preserve"> </w:t>
      </w:r>
      <w:bookmarkStart w:id="21" w:name="_Toc92365381"/>
      <w:r w:rsidRPr="0094368B">
        <w:rPr>
          <w:sz w:val="24"/>
          <w:szCs w:val="22"/>
          <w:shd w:val="clear" w:color="auto" w:fill="FFFFFF"/>
        </w:rPr>
        <w:t>Distribution of assessment work credit</w:t>
      </w:r>
      <w:bookmarkEnd w:id="21"/>
    </w:p>
    <w:p w14:paraId="4CE2BFFC" w14:textId="77777777" w:rsidR="003D298B" w:rsidRPr="00414889" w:rsidRDefault="003D298B" w:rsidP="003D298B">
      <w:pPr>
        <w:ind w:left="284"/>
        <w:contextualSpacing/>
        <w:rPr>
          <w:rFonts w:ascii="Arial" w:hAnsi="Arial" w:cs="Arial"/>
          <w:sz w:val="24"/>
          <w:szCs w:val="24"/>
          <w:lang w:val="en" w:eastAsia="en-CA"/>
        </w:rPr>
      </w:pPr>
      <w:r w:rsidRPr="00414889">
        <w:rPr>
          <w:rFonts w:ascii="Arial" w:hAnsi="Arial" w:cs="Arial"/>
          <w:b/>
        </w:rPr>
        <w:t>17(4)</w:t>
      </w:r>
      <w:r w:rsidRPr="00414889">
        <w:rPr>
          <w:rFonts w:ascii="Arial" w:hAnsi="Arial" w:cs="Arial"/>
        </w:rPr>
        <w:t xml:space="preserve"> </w:t>
      </w:r>
      <w:r w:rsidRPr="00414889">
        <w:rPr>
          <w:rFonts w:ascii="Arial" w:hAnsi="Arial" w:cs="Arial"/>
          <w:sz w:val="24"/>
          <w:szCs w:val="24"/>
        </w:rPr>
        <w:t xml:space="preserve">For the purposes of allocating assessment work </w:t>
      </w:r>
      <w:r>
        <w:rPr>
          <w:rFonts w:ascii="Arial" w:hAnsi="Arial" w:cs="Arial"/>
          <w:sz w:val="24"/>
          <w:szCs w:val="24"/>
        </w:rPr>
        <w:t>credits</w:t>
      </w:r>
      <w:r w:rsidRPr="00414889">
        <w:rPr>
          <w:rFonts w:ascii="Arial" w:hAnsi="Arial" w:cs="Arial"/>
          <w:sz w:val="24"/>
          <w:szCs w:val="24"/>
        </w:rPr>
        <w:t xml:space="preserve"> from a reserve for a mining claim to another contiguous mining claim under clause (3) (b), mining claims are considered to be contiguous to one another if the cells on the provincial grid in which the mining claims are located are contiguous to one another in any of the following ways:</w:t>
      </w:r>
    </w:p>
    <w:p w14:paraId="31EC0662" w14:textId="77777777" w:rsidR="003D298B" w:rsidRPr="00414889" w:rsidRDefault="003D298B" w:rsidP="003D298B">
      <w:pPr>
        <w:pStyle w:val="paragraph-e"/>
        <w:shd w:val="clear" w:color="auto" w:fill="FFFFFF"/>
        <w:spacing w:before="0" w:beforeAutospacing="0" w:after="120" w:afterAutospacing="0"/>
        <w:ind w:left="720" w:hanging="360"/>
        <w:rPr>
          <w:rFonts w:ascii="Arial" w:hAnsi="Arial" w:cs="Arial"/>
        </w:rPr>
      </w:pPr>
      <w:r w:rsidRPr="00414889">
        <w:rPr>
          <w:rFonts w:ascii="Arial" w:hAnsi="Arial" w:cs="Arial"/>
        </w:rPr>
        <w:t>1. A cell is contiguous with another cell if the two cells touch one another on at least one side or at least one corner.</w:t>
      </w:r>
    </w:p>
    <w:p w14:paraId="46BD9D4A" w14:textId="77777777" w:rsidR="003D298B" w:rsidRPr="00414889" w:rsidRDefault="003D298B" w:rsidP="003D298B">
      <w:pPr>
        <w:pStyle w:val="paragraph-e"/>
        <w:shd w:val="clear" w:color="auto" w:fill="FFFFFF"/>
        <w:spacing w:before="0" w:beforeAutospacing="0" w:after="120" w:afterAutospacing="0"/>
        <w:ind w:left="720" w:hanging="360"/>
        <w:rPr>
          <w:rFonts w:ascii="Arial" w:hAnsi="Arial" w:cs="Arial"/>
        </w:rPr>
      </w:pPr>
      <w:r w:rsidRPr="00414889">
        <w:rPr>
          <w:rFonts w:ascii="Arial" w:hAnsi="Arial" w:cs="Arial"/>
        </w:rPr>
        <w:t>2. A cell is contiguous to another cell even though they do not touch each other as described in paragraph 1 if the cells are connected through one or more cells each contiguous with one another in the manner described in paragraph 1.</w:t>
      </w:r>
    </w:p>
    <w:p w14:paraId="734808DB" w14:textId="77777777" w:rsidR="003D298B" w:rsidRPr="00414889" w:rsidRDefault="003D298B" w:rsidP="003D298B">
      <w:pPr>
        <w:pStyle w:val="subsection-e"/>
        <w:shd w:val="clear" w:color="auto" w:fill="FFFFFF"/>
        <w:ind w:left="284"/>
        <w:rPr>
          <w:rFonts w:ascii="Arial" w:hAnsi="Arial" w:cs="Arial"/>
        </w:rPr>
      </w:pPr>
      <w:r w:rsidRPr="00414889">
        <w:rPr>
          <w:rFonts w:ascii="Arial" w:hAnsi="Arial" w:cs="Arial"/>
          <w:b/>
        </w:rPr>
        <w:t>17(5)</w:t>
      </w:r>
      <w:r w:rsidRPr="00414889">
        <w:rPr>
          <w:rFonts w:ascii="Arial" w:hAnsi="Arial" w:cs="Arial"/>
        </w:rPr>
        <w:t xml:space="preserve"> For the purposes of allocating assessment work </w:t>
      </w:r>
      <w:r>
        <w:rPr>
          <w:rFonts w:ascii="Arial" w:hAnsi="Arial" w:cs="Arial"/>
        </w:rPr>
        <w:t>credits</w:t>
      </w:r>
      <w:r w:rsidRPr="00414889">
        <w:rPr>
          <w:rFonts w:ascii="Arial" w:hAnsi="Arial" w:cs="Arial"/>
        </w:rPr>
        <w:t xml:space="preserve"> from a reserve of mining lands other than a mining claim to a contiguous mining claim under clause (3) (b), the mining lands </w:t>
      </w:r>
      <w:proofErr w:type="gramStart"/>
      <w:r w:rsidRPr="00414889">
        <w:rPr>
          <w:rFonts w:ascii="Arial" w:hAnsi="Arial" w:cs="Arial"/>
        </w:rPr>
        <w:t>are considered to be</w:t>
      </w:r>
      <w:proofErr w:type="gramEnd"/>
      <w:r w:rsidRPr="00414889">
        <w:rPr>
          <w:rFonts w:ascii="Arial" w:hAnsi="Arial" w:cs="Arial"/>
        </w:rPr>
        <w:t xml:space="preserve"> contiguous to a mining claim if,</w:t>
      </w:r>
    </w:p>
    <w:p w14:paraId="2D88A5C2" w14:textId="77777777" w:rsidR="003D298B" w:rsidRPr="00414889" w:rsidRDefault="003D298B" w:rsidP="003D298B">
      <w:pPr>
        <w:pStyle w:val="clause-e"/>
        <w:numPr>
          <w:ilvl w:val="0"/>
          <w:numId w:val="13"/>
        </w:numPr>
        <w:shd w:val="clear" w:color="auto" w:fill="FFFFFF"/>
        <w:spacing w:before="0" w:beforeAutospacing="0" w:after="120" w:afterAutospacing="0"/>
        <w:rPr>
          <w:rFonts w:ascii="Arial" w:hAnsi="Arial" w:cs="Arial"/>
        </w:rPr>
      </w:pPr>
      <w:r w:rsidRPr="00414889">
        <w:rPr>
          <w:rFonts w:ascii="Arial" w:hAnsi="Arial" w:cs="Arial"/>
        </w:rPr>
        <w:t>The mining lands are located,</w:t>
      </w:r>
    </w:p>
    <w:p w14:paraId="6E4BC20A" w14:textId="77777777" w:rsidR="003D298B" w:rsidRPr="00414889" w:rsidRDefault="003D298B" w:rsidP="003D298B">
      <w:pPr>
        <w:pStyle w:val="subclause-e"/>
        <w:numPr>
          <w:ilvl w:val="0"/>
          <w:numId w:val="15"/>
        </w:numPr>
        <w:shd w:val="clear" w:color="auto" w:fill="FFFFFF"/>
        <w:spacing w:before="0" w:beforeAutospacing="0" w:after="120" w:afterAutospacing="0"/>
        <w:rPr>
          <w:rFonts w:ascii="Arial" w:hAnsi="Arial" w:cs="Arial"/>
        </w:rPr>
      </w:pPr>
      <w:r w:rsidRPr="00414889">
        <w:rPr>
          <w:rFonts w:ascii="Arial" w:hAnsi="Arial" w:cs="Arial"/>
        </w:rPr>
        <w:t>in the same cell as the mining claim, or</w:t>
      </w:r>
    </w:p>
    <w:p w14:paraId="6B5FED2C" w14:textId="77777777" w:rsidR="003D298B" w:rsidRPr="00414889" w:rsidRDefault="003D298B" w:rsidP="003D298B">
      <w:pPr>
        <w:pStyle w:val="subclause-e"/>
        <w:numPr>
          <w:ilvl w:val="0"/>
          <w:numId w:val="15"/>
        </w:numPr>
        <w:shd w:val="clear" w:color="auto" w:fill="FFFFFF"/>
        <w:spacing w:before="0" w:beforeAutospacing="0" w:after="120" w:afterAutospacing="0"/>
        <w:rPr>
          <w:rFonts w:ascii="Arial" w:hAnsi="Arial" w:cs="Arial"/>
        </w:rPr>
      </w:pPr>
      <w:r w:rsidRPr="00414889">
        <w:rPr>
          <w:rFonts w:ascii="Arial" w:hAnsi="Arial" w:cs="Arial"/>
        </w:rPr>
        <w:t>in the same cell as another mining claim that is contiguous with the mining claim in question in accordance with subsection (4); or</w:t>
      </w:r>
    </w:p>
    <w:p w14:paraId="5A1A8E6B" w14:textId="77777777" w:rsidR="003D298B" w:rsidRPr="00414889" w:rsidRDefault="003D298B" w:rsidP="00170D35">
      <w:pPr>
        <w:pStyle w:val="subclause-e"/>
        <w:shd w:val="clear" w:color="auto" w:fill="FFFFFF"/>
        <w:spacing w:before="0" w:beforeAutospacing="0" w:after="0" w:afterAutospacing="0"/>
        <w:ind w:left="644"/>
        <w:rPr>
          <w:rFonts w:ascii="Arial" w:hAnsi="Arial" w:cs="Arial"/>
        </w:rPr>
      </w:pPr>
    </w:p>
    <w:p w14:paraId="47D68C31" w14:textId="77777777" w:rsidR="003D298B" w:rsidRPr="00414889" w:rsidRDefault="003D298B" w:rsidP="003D298B">
      <w:pPr>
        <w:pStyle w:val="clause-e"/>
        <w:numPr>
          <w:ilvl w:val="0"/>
          <w:numId w:val="13"/>
        </w:numPr>
        <w:shd w:val="clear" w:color="auto" w:fill="FFFFFF"/>
        <w:spacing w:before="0" w:beforeAutospacing="0" w:after="120" w:afterAutospacing="0"/>
        <w:rPr>
          <w:rFonts w:ascii="Arial" w:hAnsi="Arial" w:cs="Arial"/>
        </w:rPr>
      </w:pPr>
      <w:r w:rsidRPr="00414889">
        <w:rPr>
          <w:rFonts w:ascii="Arial" w:hAnsi="Arial" w:cs="Arial"/>
        </w:rPr>
        <w:t>The boundaries of the mining lands touch the boundaries of other mining lands that are not a mining claim and a part of those other mining lands are located,</w:t>
      </w:r>
    </w:p>
    <w:p w14:paraId="0CCD0E2B" w14:textId="77777777" w:rsidR="003D298B" w:rsidRPr="00414889" w:rsidRDefault="003D298B" w:rsidP="003D298B">
      <w:pPr>
        <w:pStyle w:val="subclause-e"/>
        <w:numPr>
          <w:ilvl w:val="0"/>
          <w:numId w:val="14"/>
        </w:numPr>
        <w:shd w:val="clear" w:color="auto" w:fill="FFFFFF"/>
        <w:spacing w:before="0" w:beforeAutospacing="0" w:after="120" w:afterAutospacing="0"/>
        <w:rPr>
          <w:rFonts w:ascii="Arial" w:hAnsi="Arial" w:cs="Arial"/>
        </w:rPr>
      </w:pPr>
      <w:r w:rsidRPr="00414889">
        <w:rPr>
          <w:rFonts w:ascii="Arial" w:hAnsi="Arial" w:cs="Arial"/>
        </w:rPr>
        <w:t>in the same cell as the mining claim, or</w:t>
      </w:r>
    </w:p>
    <w:p w14:paraId="31A53D59" w14:textId="77777777" w:rsidR="003D298B" w:rsidRPr="00414889" w:rsidRDefault="003D298B" w:rsidP="003D298B">
      <w:pPr>
        <w:pStyle w:val="subclause-e"/>
        <w:numPr>
          <w:ilvl w:val="0"/>
          <w:numId w:val="14"/>
        </w:numPr>
        <w:shd w:val="clear" w:color="auto" w:fill="FFFFFF"/>
        <w:spacing w:before="0" w:beforeAutospacing="0" w:after="120" w:afterAutospacing="0"/>
        <w:rPr>
          <w:rFonts w:ascii="Arial" w:hAnsi="Arial" w:cs="Arial"/>
        </w:rPr>
      </w:pPr>
      <w:r w:rsidRPr="00414889">
        <w:rPr>
          <w:rFonts w:ascii="Arial" w:hAnsi="Arial" w:cs="Arial"/>
        </w:rPr>
        <w:t>in the same cell as another mining claim that is contiguous with the mining claim in question in accordance with subsection (4).</w:t>
      </w:r>
    </w:p>
    <w:p w14:paraId="2B2F3BE0" w14:textId="77777777" w:rsidR="003D298B" w:rsidRPr="00414889" w:rsidRDefault="003D298B" w:rsidP="003D298B">
      <w:pPr>
        <w:pStyle w:val="subsection-e"/>
        <w:shd w:val="clear" w:color="auto" w:fill="FFFFFF"/>
        <w:ind w:left="284"/>
        <w:rPr>
          <w:rFonts w:ascii="Arial" w:hAnsi="Arial" w:cs="Arial"/>
        </w:rPr>
      </w:pPr>
      <w:r w:rsidRPr="00414889">
        <w:rPr>
          <w:rFonts w:ascii="Arial" w:hAnsi="Arial" w:cs="Arial"/>
          <w:b/>
        </w:rPr>
        <w:t>17(6)</w:t>
      </w:r>
      <w:r w:rsidRPr="00414889">
        <w:rPr>
          <w:rFonts w:ascii="Arial" w:hAnsi="Arial" w:cs="Arial"/>
        </w:rPr>
        <w:t xml:space="preserve"> The holder or owner of mining lands shall not allocate assessment work </w:t>
      </w:r>
      <w:r>
        <w:rPr>
          <w:rFonts w:ascii="Arial" w:hAnsi="Arial" w:cs="Arial"/>
        </w:rPr>
        <w:t>credits</w:t>
      </w:r>
      <w:r w:rsidRPr="00414889">
        <w:rPr>
          <w:rFonts w:ascii="Arial" w:hAnsi="Arial" w:cs="Arial"/>
        </w:rPr>
        <w:t xml:space="preserve"> from the reserve of the mining lands to a contiguous mining claim unless the mining lands and the mining claim, and any mining claims or mining lands that connect them in accordance with the rules on contiguity described in subsections (4) and (5),</w:t>
      </w:r>
    </w:p>
    <w:p w14:paraId="4E18D139" w14:textId="77777777" w:rsidR="003D298B" w:rsidRPr="00414889" w:rsidRDefault="003D298B" w:rsidP="003D298B">
      <w:pPr>
        <w:pStyle w:val="clause-e"/>
        <w:numPr>
          <w:ilvl w:val="0"/>
          <w:numId w:val="16"/>
        </w:numPr>
        <w:shd w:val="clear" w:color="auto" w:fill="FFFFFF"/>
        <w:spacing w:before="0" w:beforeAutospacing="0" w:after="120" w:afterAutospacing="0"/>
        <w:rPr>
          <w:rFonts w:ascii="Arial" w:hAnsi="Arial" w:cs="Arial"/>
        </w:rPr>
      </w:pPr>
      <w:r w:rsidRPr="00414889">
        <w:rPr>
          <w:rFonts w:ascii="Arial" w:hAnsi="Arial" w:cs="Arial"/>
        </w:rPr>
        <w:t>are held or owned by the same person;</w:t>
      </w:r>
    </w:p>
    <w:p w14:paraId="291F512C" w14:textId="77777777" w:rsidR="003D298B" w:rsidRPr="00414889" w:rsidRDefault="003D298B" w:rsidP="003D298B">
      <w:pPr>
        <w:pStyle w:val="clause-e"/>
        <w:numPr>
          <w:ilvl w:val="0"/>
          <w:numId w:val="16"/>
        </w:numPr>
        <w:shd w:val="clear" w:color="auto" w:fill="FFFFFF"/>
        <w:spacing w:before="0" w:beforeAutospacing="0" w:after="120" w:afterAutospacing="0"/>
        <w:rPr>
          <w:rFonts w:ascii="Arial" w:hAnsi="Arial" w:cs="Arial"/>
        </w:rPr>
      </w:pPr>
      <w:r w:rsidRPr="00414889">
        <w:rPr>
          <w:rFonts w:ascii="Arial" w:hAnsi="Arial" w:cs="Arial"/>
        </w:rPr>
        <w:lastRenderedPageBreak/>
        <w:t>if any of the mining claims or mining lands are owned or held by a group of persons, have at least one holder or owner in common; or</w:t>
      </w:r>
    </w:p>
    <w:p w14:paraId="3179DA2E" w14:textId="77777777" w:rsidR="003D298B" w:rsidRDefault="003D298B" w:rsidP="003D298B">
      <w:pPr>
        <w:pStyle w:val="clause-e"/>
        <w:numPr>
          <w:ilvl w:val="0"/>
          <w:numId w:val="16"/>
        </w:numPr>
        <w:shd w:val="clear" w:color="auto" w:fill="FFFFFF"/>
        <w:spacing w:before="0" w:beforeAutospacing="0" w:after="120" w:afterAutospacing="0"/>
        <w:rPr>
          <w:rFonts w:ascii="Arial" w:hAnsi="Arial" w:cs="Arial"/>
        </w:rPr>
      </w:pPr>
      <w:r w:rsidRPr="00414889">
        <w:rPr>
          <w:rFonts w:ascii="Arial" w:hAnsi="Arial" w:cs="Arial"/>
        </w:rPr>
        <w:t>have the same assessment work manager appointed in accordance with section 18.</w:t>
      </w:r>
    </w:p>
    <w:p w14:paraId="5165A252" w14:textId="77777777" w:rsidR="003D298B" w:rsidRPr="00170D35" w:rsidRDefault="003D298B" w:rsidP="00170D35">
      <w:pPr>
        <w:pStyle w:val="Heading2"/>
        <w:rPr>
          <w:sz w:val="24"/>
          <w:szCs w:val="22"/>
        </w:rPr>
      </w:pPr>
      <w:bookmarkStart w:id="22" w:name="_Toc92365382"/>
      <w:r w:rsidRPr="00170D35">
        <w:rPr>
          <w:sz w:val="24"/>
          <w:szCs w:val="22"/>
        </w:rPr>
        <w:t>Assessment work manager</w:t>
      </w:r>
      <w:bookmarkEnd w:id="22"/>
    </w:p>
    <w:p w14:paraId="43110126" w14:textId="77777777" w:rsidR="003D298B" w:rsidRPr="00A64BCD" w:rsidRDefault="003D298B" w:rsidP="003D298B">
      <w:pPr>
        <w:pStyle w:val="section-e"/>
        <w:shd w:val="clear" w:color="auto" w:fill="FFFFFF"/>
        <w:rPr>
          <w:rFonts w:ascii="Arial" w:hAnsi="Arial" w:cs="Arial"/>
        </w:rPr>
      </w:pPr>
      <w:r w:rsidRPr="00A64BCD">
        <w:rPr>
          <w:rFonts w:ascii="Arial" w:hAnsi="Arial" w:cs="Arial"/>
          <w:b/>
          <w:bCs/>
        </w:rPr>
        <w:t>18. </w:t>
      </w:r>
      <w:r w:rsidRPr="00A64BCD">
        <w:rPr>
          <w:rFonts w:ascii="Arial" w:hAnsi="Arial" w:cs="Arial"/>
        </w:rPr>
        <w:t xml:space="preserve">(1) The holder or owner of mining lands may appoint an assessment work manager to distribute assessment work </w:t>
      </w:r>
      <w:r>
        <w:rPr>
          <w:rFonts w:ascii="Arial" w:hAnsi="Arial" w:cs="Arial"/>
        </w:rPr>
        <w:t>credits</w:t>
      </w:r>
      <w:r w:rsidRPr="00A64BCD">
        <w:rPr>
          <w:rFonts w:ascii="Arial" w:hAnsi="Arial" w:cs="Arial"/>
        </w:rPr>
        <w:t xml:space="preserve"> in the reserves for the mining lands in the place of the holder or owner in accordance with this Regulation.</w:t>
      </w:r>
    </w:p>
    <w:p w14:paraId="2877FE26" w14:textId="77777777" w:rsidR="003D298B" w:rsidRPr="00170D35" w:rsidRDefault="003D298B" w:rsidP="00170D35">
      <w:pPr>
        <w:pStyle w:val="Heading2"/>
        <w:spacing w:after="240"/>
        <w:rPr>
          <w:sz w:val="24"/>
          <w:szCs w:val="22"/>
          <w:shd w:val="clear" w:color="auto" w:fill="FFFFFF"/>
        </w:rPr>
      </w:pPr>
      <w:bookmarkStart w:id="23" w:name="_Toc92365383"/>
      <w:r w:rsidRPr="00170D35">
        <w:rPr>
          <w:sz w:val="24"/>
          <w:szCs w:val="22"/>
          <w:shd w:val="clear" w:color="auto" w:fill="FFFFFF"/>
        </w:rPr>
        <w:t>Limits on distribution of credits</w:t>
      </w:r>
      <w:bookmarkEnd w:id="23"/>
    </w:p>
    <w:p w14:paraId="0B66B07C" w14:textId="33E1883E" w:rsidR="003D298B" w:rsidRPr="00AD0C53" w:rsidRDefault="003D298B" w:rsidP="003D298B">
      <w:pPr>
        <w:pStyle w:val="clause-e"/>
        <w:shd w:val="clear" w:color="auto" w:fill="FFFFFF"/>
        <w:spacing w:before="0" w:beforeAutospacing="0" w:after="120" w:afterAutospacing="0"/>
        <w:rPr>
          <w:rFonts w:ascii="Arial" w:hAnsi="Arial" w:cs="Arial"/>
          <w:b/>
          <w:shd w:val="clear" w:color="auto" w:fill="FFFFFF"/>
        </w:rPr>
      </w:pPr>
      <w:r w:rsidRPr="00016A97">
        <w:rPr>
          <w:rFonts w:ascii="Arial" w:hAnsi="Arial" w:cs="Arial"/>
          <w:b/>
          <w:bCs/>
          <w:shd w:val="clear" w:color="auto" w:fill="FFFFFF"/>
        </w:rPr>
        <w:t>19. </w:t>
      </w:r>
      <w:r w:rsidRPr="00016A97">
        <w:rPr>
          <w:rFonts w:ascii="Arial" w:hAnsi="Arial" w:cs="Arial"/>
          <w:shd w:val="clear" w:color="auto" w:fill="FFFFFF"/>
        </w:rPr>
        <w:t xml:space="preserve">The amount of assessment work </w:t>
      </w:r>
      <w:r>
        <w:rPr>
          <w:rFonts w:ascii="Arial" w:hAnsi="Arial" w:cs="Arial"/>
          <w:shd w:val="clear" w:color="auto" w:fill="FFFFFF"/>
        </w:rPr>
        <w:t>credits</w:t>
      </w:r>
      <w:r w:rsidRPr="00016A97">
        <w:rPr>
          <w:rFonts w:ascii="Arial" w:hAnsi="Arial" w:cs="Arial"/>
          <w:shd w:val="clear" w:color="auto" w:fill="FFFFFF"/>
        </w:rPr>
        <w:t xml:space="preserve"> that may be distributed from a reserve for a mining claim or for other mining lands to a mining claim at any given time is subject to the following limitations:</w:t>
      </w:r>
    </w:p>
    <w:p w14:paraId="7D8D47A8" w14:textId="77777777" w:rsidR="003D298B" w:rsidRPr="00B66695" w:rsidRDefault="003D298B" w:rsidP="003D298B">
      <w:pPr>
        <w:pStyle w:val="paragraph-e"/>
        <w:shd w:val="clear" w:color="auto" w:fill="FFFFFF"/>
        <w:spacing w:before="0" w:beforeAutospacing="0" w:after="120" w:afterAutospacing="0"/>
        <w:ind w:left="720" w:hanging="360"/>
        <w:rPr>
          <w:rFonts w:ascii="Arial" w:hAnsi="Arial" w:cs="Arial"/>
        </w:rPr>
      </w:pPr>
      <w:r>
        <w:rPr>
          <w:rFonts w:ascii="Arial" w:hAnsi="Arial" w:cs="Arial"/>
          <w:lang w:val="en"/>
        </w:rPr>
        <w:t xml:space="preserve"> </w:t>
      </w:r>
      <w:r w:rsidRPr="00B66695">
        <w:rPr>
          <w:rFonts w:ascii="Arial" w:hAnsi="Arial" w:cs="Arial"/>
        </w:rPr>
        <w:t xml:space="preserve">1. The amount of assessment work </w:t>
      </w:r>
      <w:r>
        <w:rPr>
          <w:rFonts w:ascii="Arial" w:hAnsi="Arial" w:cs="Arial"/>
        </w:rPr>
        <w:t>credits</w:t>
      </w:r>
      <w:r w:rsidRPr="00B66695">
        <w:rPr>
          <w:rFonts w:ascii="Arial" w:hAnsi="Arial" w:cs="Arial"/>
        </w:rPr>
        <w:t xml:space="preserve"> distributed to a mining claim shall not exceed the amount required to satisfy the annual units of assessment work required for the assessment year in which the distribution is made and the five subsequent assessment years.</w:t>
      </w:r>
    </w:p>
    <w:p w14:paraId="3002E43B" w14:textId="77777777" w:rsidR="003D298B" w:rsidRPr="00B66695" w:rsidRDefault="003D298B" w:rsidP="003D298B">
      <w:pPr>
        <w:pStyle w:val="paragraph-e"/>
        <w:shd w:val="clear" w:color="auto" w:fill="FFFFFF"/>
        <w:spacing w:before="0" w:beforeAutospacing="0" w:after="120" w:afterAutospacing="0"/>
        <w:ind w:left="720" w:hanging="360"/>
        <w:rPr>
          <w:rFonts w:ascii="Arial" w:hAnsi="Arial" w:cs="Arial"/>
        </w:rPr>
      </w:pPr>
      <w:r w:rsidRPr="00B66695">
        <w:rPr>
          <w:rFonts w:ascii="Arial" w:hAnsi="Arial" w:cs="Arial"/>
        </w:rPr>
        <w:t xml:space="preserve">2. The maximum amount of assessment work </w:t>
      </w:r>
      <w:r>
        <w:rPr>
          <w:rFonts w:ascii="Arial" w:hAnsi="Arial" w:cs="Arial"/>
        </w:rPr>
        <w:t>credits</w:t>
      </w:r>
      <w:r w:rsidRPr="00B66695">
        <w:rPr>
          <w:rFonts w:ascii="Arial" w:hAnsi="Arial" w:cs="Arial"/>
        </w:rPr>
        <w:t xml:space="preserve"> that may be allocated from the reserve for a mining claim to one or more contiguous mining claims in any assessment year is,</w:t>
      </w:r>
    </w:p>
    <w:p w14:paraId="79FA69FF" w14:textId="77777777" w:rsidR="003D298B" w:rsidRPr="00B66695" w:rsidRDefault="003D298B" w:rsidP="003D298B">
      <w:pPr>
        <w:pStyle w:val="subpara-e"/>
        <w:shd w:val="clear" w:color="auto" w:fill="FFFFFF"/>
        <w:ind w:left="1080"/>
        <w:rPr>
          <w:rFonts w:ascii="Arial" w:hAnsi="Arial" w:cs="Arial"/>
        </w:rPr>
      </w:pPr>
      <w:proofErr w:type="spellStart"/>
      <w:r w:rsidRPr="00B66695">
        <w:rPr>
          <w:rFonts w:ascii="Arial" w:hAnsi="Arial" w:cs="Arial"/>
        </w:rPr>
        <w:t>i</w:t>
      </w:r>
      <w:proofErr w:type="spellEnd"/>
      <w:r w:rsidRPr="00B66695">
        <w:rPr>
          <w:rFonts w:ascii="Arial" w:hAnsi="Arial" w:cs="Arial"/>
        </w:rPr>
        <w:t>. $50,000.00, in the case of an allocation from the reserve for a boundary claim or a cell claim comprised of one or two cells,</w:t>
      </w:r>
    </w:p>
    <w:p w14:paraId="16C14F2E" w14:textId="77777777" w:rsidR="003D298B" w:rsidRPr="00B66695" w:rsidRDefault="003D298B" w:rsidP="003D298B">
      <w:pPr>
        <w:pStyle w:val="subpara-e"/>
        <w:shd w:val="clear" w:color="auto" w:fill="FFFFFF"/>
        <w:ind w:left="1080"/>
        <w:rPr>
          <w:rFonts w:ascii="Arial" w:hAnsi="Arial" w:cs="Arial"/>
        </w:rPr>
      </w:pPr>
      <w:r w:rsidRPr="00B66695">
        <w:rPr>
          <w:rFonts w:ascii="Arial" w:hAnsi="Arial" w:cs="Arial"/>
        </w:rPr>
        <w:t>ii. $100,000.00, in the case of an allocation from the reserve for a multi-cell claim comprised on three to five cells, or</w:t>
      </w:r>
    </w:p>
    <w:p w14:paraId="11074EC9" w14:textId="77777777" w:rsidR="003D298B" w:rsidRPr="00B66695" w:rsidRDefault="003D298B" w:rsidP="003D298B">
      <w:pPr>
        <w:pStyle w:val="subpara-e"/>
        <w:shd w:val="clear" w:color="auto" w:fill="FFFFFF"/>
        <w:ind w:left="1080"/>
        <w:rPr>
          <w:rFonts w:ascii="Arial" w:hAnsi="Arial" w:cs="Arial"/>
        </w:rPr>
      </w:pPr>
      <w:r w:rsidRPr="00B66695">
        <w:rPr>
          <w:rFonts w:ascii="Arial" w:hAnsi="Arial" w:cs="Arial"/>
        </w:rPr>
        <w:t>iii. $150,000.00, in the case of an allocation from the reserve for a multi-cell claim comprised of six to 25 cells.</w:t>
      </w:r>
    </w:p>
    <w:p w14:paraId="6883C19C" w14:textId="77777777" w:rsidR="00F66743" w:rsidRDefault="003D298B" w:rsidP="00F66743">
      <w:pPr>
        <w:pStyle w:val="paragraph-e"/>
        <w:shd w:val="clear" w:color="auto" w:fill="FFFFFF"/>
        <w:spacing w:before="0" w:beforeAutospacing="0" w:after="120" w:afterAutospacing="0"/>
        <w:ind w:left="720" w:hanging="360"/>
        <w:rPr>
          <w:rFonts w:ascii="Arial" w:hAnsi="Arial" w:cs="Arial"/>
        </w:rPr>
      </w:pPr>
      <w:r w:rsidRPr="00B66695">
        <w:rPr>
          <w:rFonts w:ascii="Arial" w:hAnsi="Arial" w:cs="Arial"/>
        </w:rPr>
        <w:t xml:space="preserve">3. The maximum amount of assessment work </w:t>
      </w:r>
      <w:r>
        <w:rPr>
          <w:rFonts w:ascii="Arial" w:hAnsi="Arial" w:cs="Arial"/>
        </w:rPr>
        <w:t>credits</w:t>
      </w:r>
      <w:r w:rsidRPr="00B66695">
        <w:rPr>
          <w:rFonts w:ascii="Arial" w:hAnsi="Arial" w:cs="Arial"/>
        </w:rPr>
        <w:t xml:space="preserve"> that may be allocated from the reserve for mining lands other than a mining claim to one or more contiguous mining claims in any calendar year is,</w:t>
      </w:r>
    </w:p>
    <w:p w14:paraId="773D6767" w14:textId="77777777" w:rsidR="00F66743" w:rsidRDefault="0068246E" w:rsidP="00FA5E49">
      <w:pPr>
        <w:pStyle w:val="paragraph-e"/>
        <w:shd w:val="clear" w:color="auto" w:fill="FFFFFF"/>
        <w:ind w:left="1434" w:hanging="357"/>
        <w:rPr>
          <w:rFonts w:ascii="Arial" w:hAnsi="Arial" w:cs="Arial"/>
        </w:rPr>
      </w:pPr>
      <w:r>
        <w:rPr>
          <w:rFonts w:ascii="Arial" w:hAnsi="Arial" w:cs="Arial"/>
        </w:rPr>
        <w:t xml:space="preserve"> </w:t>
      </w:r>
      <w:proofErr w:type="spellStart"/>
      <w:r w:rsidR="003D298B" w:rsidRPr="00B66695">
        <w:rPr>
          <w:rFonts w:ascii="Arial" w:hAnsi="Arial" w:cs="Arial"/>
        </w:rPr>
        <w:t>i</w:t>
      </w:r>
      <w:proofErr w:type="spellEnd"/>
      <w:r w:rsidR="003D298B" w:rsidRPr="00B66695">
        <w:rPr>
          <w:rFonts w:ascii="Arial" w:hAnsi="Arial" w:cs="Arial"/>
        </w:rPr>
        <w:t>. $50,000.00, in the case of mining lands that are no larger than 25 hectares</w:t>
      </w:r>
    </w:p>
    <w:p w14:paraId="76E2F274" w14:textId="77777777" w:rsidR="00F66743" w:rsidRDefault="003D298B" w:rsidP="00FA5E49">
      <w:pPr>
        <w:pStyle w:val="paragraph-e"/>
        <w:shd w:val="clear" w:color="auto" w:fill="FFFFFF"/>
        <w:ind w:left="1434" w:hanging="357"/>
        <w:rPr>
          <w:rFonts w:ascii="Arial" w:hAnsi="Arial" w:cs="Arial"/>
        </w:rPr>
      </w:pPr>
      <w:r>
        <w:rPr>
          <w:rFonts w:ascii="Arial" w:hAnsi="Arial" w:cs="Arial"/>
        </w:rPr>
        <w:t xml:space="preserve"> </w:t>
      </w:r>
      <w:r w:rsidRPr="00B66695">
        <w:rPr>
          <w:rFonts w:ascii="Arial" w:hAnsi="Arial" w:cs="Arial"/>
        </w:rPr>
        <w:t>ii. $100,000.00, in the case of mining lands that are larger than 25 hectares</w:t>
      </w:r>
      <w:r w:rsidR="00F66743">
        <w:rPr>
          <w:rFonts w:ascii="Arial" w:hAnsi="Arial" w:cs="Arial"/>
        </w:rPr>
        <w:t xml:space="preserve"> </w:t>
      </w:r>
      <w:r w:rsidRPr="00B66695">
        <w:rPr>
          <w:rFonts w:ascii="Arial" w:hAnsi="Arial" w:cs="Arial"/>
        </w:rPr>
        <w:t>but no larger than 100 hectares, or</w:t>
      </w:r>
      <w:r>
        <w:rPr>
          <w:rFonts w:ascii="Arial" w:hAnsi="Arial" w:cs="Arial"/>
        </w:rPr>
        <w:t xml:space="preserve">    </w:t>
      </w:r>
    </w:p>
    <w:p w14:paraId="502CA3E8" w14:textId="62D740EF" w:rsidR="003D298B" w:rsidRPr="00C84B0F" w:rsidRDefault="003D298B" w:rsidP="00FA5E49">
      <w:pPr>
        <w:pStyle w:val="paragraph-e"/>
        <w:shd w:val="clear" w:color="auto" w:fill="FFFFFF"/>
        <w:ind w:left="1434" w:hanging="357"/>
        <w:rPr>
          <w:rFonts w:ascii="Arial" w:hAnsi="Arial" w:cs="Arial"/>
        </w:rPr>
      </w:pPr>
      <w:r>
        <w:rPr>
          <w:rFonts w:ascii="Arial" w:hAnsi="Arial" w:cs="Arial"/>
        </w:rPr>
        <w:t xml:space="preserve"> </w:t>
      </w:r>
      <w:r w:rsidRPr="00B66695">
        <w:rPr>
          <w:rFonts w:ascii="Arial" w:hAnsi="Arial" w:cs="Arial"/>
        </w:rPr>
        <w:t>iii. $150,000.00, in the case of mining lands that are larger than 100 hectares.</w:t>
      </w:r>
    </w:p>
    <w:sectPr w:rsidR="003D298B" w:rsidRPr="00C84B0F">
      <w:headerReference w:type="even" r:id="rId23"/>
      <w:headerReference w:type="default" r:id="rId24"/>
      <w:footerReference w:type="default" r:id="rId25"/>
      <w:headerReference w:type="firs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737A1" w14:textId="77777777" w:rsidR="00206DBE" w:rsidRDefault="00206DBE" w:rsidP="00F72078">
      <w:pPr>
        <w:spacing w:after="0" w:line="240" w:lineRule="auto"/>
      </w:pPr>
      <w:r>
        <w:separator/>
      </w:r>
    </w:p>
  </w:endnote>
  <w:endnote w:type="continuationSeparator" w:id="0">
    <w:p w14:paraId="4CCF3DCF" w14:textId="77777777" w:rsidR="00206DBE" w:rsidRDefault="00206DBE" w:rsidP="00F72078">
      <w:pPr>
        <w:spacing w:after="0" w:line="240" w:lineRule="auto"/>
      </w:pPr>
      <w:r>
        <w:continuationSeparator/>
      </w:r>
    </w:p>
  </w:endnote>
  <w:endnote w:type="continuationNotice" w:id="1">
    <w:p w14:paraId="4F485443" w14:textId="77777777" w:rsidR="00206DBE" w:rsidRDefault="00206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80FC" w14:textId="24C244F7" w:rsidR="00A931AB" w:rsidRDefault="00A931AB">
    <w:pPr>
      <w:pStyle w:val="Footer"/>
    </w:pPr>
    <w:r>
      <w:tab/>
    </w:r>
    <w:r>
      <w:tab/>
      <w:t xml:space="preserve">Page </w:t>
    </w:r>
    <w:r>
      <w:rPr>
        <w:b/>
      </w:rPr>
      <w:fldChar w:fldCharType="begin"/>
    </w:r>
    <w:r>
      <w:rPr>
        <w:b/>
      </w:rPr>
      <w:instrText xml:space="preserve"> PAGE  \* Arabic  \* MERGEFORMAT </w:instrText>
    </w:r>
    <w:r>
      <w:rPr>
        <w:b/>
      </w:rPr>
      <w:fldChar w:fldCharType="separate"/>
    </w:r>
    <w:r>
      <w:rPr>
        <w:b/>
        <w:noProof/>
      </w:rPr>
      <w:t>14</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3790" w14:textId="77777777" w:rsidR="00206DBE" w:rsidRDefault="00206DBE" w:rsidP="00F72078">
      <w:pPr>
        <w:spacing w:after="0" w:line="240" w:lineRule="auto"/>
      </w:pPr>
      <w:r>
        <w:separator/>
      </w:r>
    </w:p>
  </w:footnote>
  <w:footnote w:type="continuationSeparator" w:id="0">
    <w:p w14:paraId="5562C05B" w14:textId="77777777" w:rsidR="00206DBE" w:rsidRDefault="00206DBE" w:rsidP="00F72078">
      <w:pPr>
        <w:spacing w:after="0" w:line="240" w:lineRule="auto"/>
      </w:pPr>
      <w:r>
        <w:continuationSeparator/>
      </w:r>
    </w:p>
  </w:footnote>
  <w:footnote w:type="continuationNotice" w:id="1">
    <w:p w14:paraId="143FD813" w14:textId="77777777" w:rsidR="00206DBE" w:rsidRDefault="00206DBE">
      <w:pPr>
        <w:spacing w:after="0" w:line="240" w:lineRule="auto"/>
      </w:pPr>
    </w:p>
  </w:footnote>
  <w:footnote w:id="2">
    <w:p w14:paraId="1B4AB6EE" w14:textId="77777777" w:rsidR="00881852" w:rsidRPr="00556097" w:rsidRDefault="00881852" w:rsidP="00881852">
      <w:pPr>
        <w:spacing w:after="0" w:line="240" w:lineRule="auto"/>
        <w:rPr>
          <w:sz w:val="20"/>
          <w:szCs w:val="20"/>
        </w:rPr>
      </w:pPr>
      <w:r>
        <w:rPr>
          <w:rStyle w:val="FootnoteReference"/>
        </w:rPr>
        <w:footnoteRef/>
      </w:r>
      <w:r>
        <w:t xml:space="preserve"> A</w:t>
      </w:r>
      <w:r w:rsidRPr="00556097">
        <w:rPr>
          <w:sz w:val="20"/>
          <w:szCs w:val="20"/>
        </w:rPr>
        <w:t xml:space="preserve">ll statements regarding legislative and regulatory requirements are accurate as of the publication date of this Policy. However, legislation and regulations may change from time to time. Up-to-date copies of the </w:t>
      </w:r>
      <w:r w:rsidRPr="00556097">
        <w:rPr>
          <w:i/>
          <w:iCs/>
          <w:sz w:val="20"/>
          <w:szCs w:val="20"/>
        </w:rPr>
        <w:t>Mining Act</w:t>
      </w:r>
      <w:r w:rsidRPr="00556097">
        <w:rPr>
          <w:sz w:val="20"/>
          <w:szCs w:val="20"/>
        </w:rPr>
        <w:t xml:space="preserve"> and O. Reg 65/18 are available at the following links:</w:t>
      </w:r>
    </w:p>
    <w:p w14:paraId="1C587738" w14:textId="77777777" w:rsidR="00881852" w:rsidRPr="00556097" w:rsidRDefault="00881852" w:rsidP="00881852">
      <w:pPr>
        <w:spacing w:after="0" w:line="240" w:lineRule="auto"/>
        <w:rPr>
          <w:rFonts w:ascii="Arial" w:eastAsia="Times New Roman" w:hAnsi="Arial" w:cs="Arial"/>
          <w:sz w:val="20"/>
          <w:szCs w:val="20"/>
        </w:rPr>
      </w:pPr>
    </w:p>
    <w:p w14:paraId="08E26003" w14:textId="77777777" w:rsidR="00881852" w:rsidRPr="00556097" w:rsidRDefault="00881852" w:rsidP="00881852">
      <w:pPr>
        <w:spacing w:after="0" w:line="240" w:lineRule="auto"/>
        <w:rPr>
          <w:rFonts w:ascii="Arial" w:eastAsia="Times New Roman" w:hAnsi="Arial" w:cs="Arial"/>
          <w:color w:val="44546A"/>
          <w:sz w:val="20"/>
          <w:szCs w:val="20"/>
        </w:rPr>
      </w:pPr>
      <w:r w:rsidRPr="00556097">
        <w:rPr>
          <w:rFonts w:ascii="Arial" w:eastAsia="Times New Roman" w:hAnsi="Arial" w:cs="Arial"/>
          <w:i/>
          <w:iCs/>
          <w:sz w:val="20"/>
          <w:szCs w:val="20"/>
        </w:rPr>
        <w:t>Mining Act</w:t>
      </w:r>
      <w:r w:rsidRPr="00556097">
        <w:rPr>
          <w:rFonts w:ascii="Arial" w:eastAsia="Times New Roman" w:hAnsi="Arial" w:cs="Arial"/>
          <w:sz w:val="20"/>
          <w:szCs w:val="20"/>
        </w:rPr>
        <w:t xml:space="preserve">: </w:t>
      </w:r>
      <w:hyperlink r:id="rId1" w:history="1">
        <w:r w:rsidRPr="00556097">
          <w:rPr>
            <w:rStyle w:val="Hyperlink"/>
            <w:rFonts w:ascii="Arial" w:eastAsia="Times New Roman" w:hAnsi="Arial" w:cs="Arial"/>
            <w:sz w:val="20"/>
            <w:szCs w:val="20"/>
          </w:rPr>
          <w:t>https://www.ontario.ca/laws/statute/90m14</w:t>
        </w:r>
      </w:hyperlink>
      <w:r w:rsidRPr="00556097">
        <w:rPr>
          <w:rFonts w:ascii="Arial" w:eastAsia="Times New Roman" w:hAnsi="Arial" w:cs="Arial"/>
          <w:sz w:val="20"/>
          <w:szCs w:val="20"/>
        </w:rPr>
        <w:t xml:space="preserve"> </w:t>
      </w:r>
    </w:p>
    <w:p w14:paraId="6F89FD32" w14:textId="77777777" w:rsidR="00881852" w:rsidRPr="00556097" w:rsidRDefault="00881852" w:rsidP="00881852">
      <w:pPr>
        <w:pStyle w:val="FootnoteText"/>
        <w:rPr>
          <w:rFonts w:ascii="Arial" w:hAnsi="Arial" w:cs="Arial"/>
          <w:lang w:val="en-US"/>
        </w:rPr>
      </w:pPr>
      <w:r w:rsidRPr="00556097">
        <w:rPr>
          <w:rFonts w:ascii="Arial" w:hAnsi="Arial" w:cs="Arial"/>
          <w:lang w:val="en-US"/>
        </w:rPr>
        <w:t xml:space="preserve">O. Reg. 65/18: Assessment Work: </w:t>
      </w:r>
      <w:hyperlink r:id="rId2" w:history="1">
        <w:r w:rsidRPr="00556097">
          <w:rPr>
            <w:rStyle w:val="Hyperlink"/>
            <w:rFonts w:ascii="Arial" w:hAnsi="Arial" w:cs="Arial"/>
            <w:lang w:val="en-US"/>
          </w:rPr>
          <w:t>https://www.ontario.ca/laws/regulation/180065</w:t>
        </w:r>
      </w:hyperlink>
    </w:p>
    <w:p w14:paraId="1BC36A84" w14:textId="77777777" w:rsidR="00881852" w:rsidRPr="00556097" w:rsidRDefault="00881852" w:rsidP="0088185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EE41" w14:textId="0C4D6E3C" w:rsidR="00A931AB" w:rsidRDefault="002C764A">
    <w:pPr>
      <w:pStyle w:val="Header"/>
    </w:pPr>
    <w:r>
      <w:rPr>
        <w:noProof/>
      </w:rPr>
      <w:pict w14:anchorId="234AE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13641"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A532" w14:textId="4161D0C5" w:rsidR="00A931AB" w:rsidRDefault="002C764A">
    <w:pPr>
      <w:pStyle w:val="Header"/>
    </w:pPr>
    <w:r>
      <w:rPr>
        <w:noProof/>
      </w:rPr>
      <w:pict w14:anchorId="21CC9A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13642"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A631" w14:textId="31448F16" w:rsidR="00A931AB" w:rsidRDefault="002C764A">
    <w:pPr>
      <w:pStyle w:val="Header"/>
    </w:pPr>
    <w:r>
      <w:rPr>
        <w:noProof/>
      </w:rPr>
      <w:pict w14:anchorId="5E8BB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13640"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B95"/>
    <w:multiLevelType w:val="hybridMultilevel"/>
    <w:tmpl w:val="D1C03C4C"/>
    <w:lvl w:ilvl="0" w:tplc="1E74CE10">
      <w:start w:val="1"/>
      <w:numFmt w:val="lowerLetter"/>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 w15:restartNumberingAfterBreak="0">
    <w:nsid w:val="11286E99"/>
    <w:multiLevelType w:val="hybridMultilevel"/>
    <w:tmpl w:val="3404F398"/>
    <w:lvl w:ilvl="0" w:tplc="99A6F812">
      <w:start w:val="1"/>
      <w:numFmt w:val="lowerRoman"/>
      <w:lvlText w:val="(%1)"/>
      <w:lvlJc w:val="left"/>
      <w:pPr>
        <w:ind w:left="1080" w:hanging="360"/>
      </w:pPr>
      <w:rPr>
        <w:rFonts w:hint="default"/>
      </w:rPr>
    </w:lvl>
    <w:lvl w:ilvl="1" w:tplc="10090019">
      <w:start w:val="1"/>
      <w:numFmt w:val="lowerLetter"/>
      <w:lvlText w:val="%2."/>
      <w:lvlJc w:val="left"/>
      <w:pPr>
        <w:ind w:left="1800" w:hanging="360"/>
      </w:pPr>
    </w:lvl>
    <w:lvl w:ilvl="2" w:tplc="D72C3B9C">
      <w:start w:val="1"/>
      <w:numFmt w:val="lowerLetter"/>
      <w:lvlText w:val="(%3)"/>
      <w:lvlJc w:val="left"/>
      <w:pPr>
        <w:ind w:left="2700" w:hanging="360"/>
      </w:pPr>
      <w:rPr>
        <w:rFonts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4EF4138"/>
    <w:multiLevelType w:val="hybridMultilevel"/>
    <w:tmpl w:val="C822481E"/>
    <w:lvl w:ilvl="0" w:tplc="D466CA3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0B3619"/>
    <w:multiLevelType w:val="hybridMultilevel"/>
    <w:tmpl w:val="EA36BFEC"/>
    <w:lvl w:ilvl="0" w:tplc="DE88C09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11432C1"/>
    <w:multiLevelType w:val="hybridMultilevel"/>
    <w:tmpl w:val="AAE0D3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2562E3"/>
    <w:multiLevelType w:val="hybridMultilevel"/>
    <w:tmpl w:val="5CBAC74E"/>
    <w:lvl w:ilvl="0" w:tplc="0BC6F2A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6256C31"/>
    <w:multiLevelType w:val="hybridMultilevel"/>
    <w:tmpl w:val="D7A6B64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C3C0B62"/>
    <w:multiLevelType w:val="hybridMultilevel"/>
    <w:tmpl w:val="DB444A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801406"/>
    <w:multiLevelType w:val="hybridMultilevel"/>
    <w:tmpl w:val="A0508848"/>
    <w:lvl w:ilvl="0" w:tplc="0B9E13F4">
      <w:start w:val="1"/>
      <w:numFmt w:val="lowerLetter"/>
      <w:lvlText w:val="(%1)"/>
      <w:lvlJc w:val="left"/>
      <w:pPr>
        <w:ind w:left="644" w:hanging="360"/>
      </w:pPr>
      <w:rPr>
        <w:rFonts w:hint="default"/>
      </w:rPr>
    </w:lvl>
    <w:lvl w:ilvl="1" w:tplc="10090019">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9" w15:restartNumberingAfterBreak="0">
    <w:nsid w:val="464B5BC5"/>
    <w:multiLevelType w:val="hybridMultilevel"/>
    <w:tmpl w:val="D9588760"/>
    <w:lvl w:ilvl="0" w:tplc="CCCE7AD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9592213"/>
    <w:multiLevelType w:val="hybridMultilevel"/>
    <w:tmpl w:val="F12E293A"/>
    <w:lvl w:ilvl="0" w:tplc="99A6F812">
      <w:start w:val="1"/>
      <w:numFmt w:val="lowerRoman"/>
      <w:lvlText w:val="(%1)"/>
      <w:lvlJc w:val="left"/>
      <w:pPr>
        <w:ind w:left="1004" w:hanging="360"/>
      </w:pPr>
      <w:rPr>
        <w:rFonts w:hint="default"/>
      </w:rPr>
    </w:lvl>
    <w:lvl w:ilvl="1" w:tplc="99A6F812">
      <w:start w:val="1"/>
      <w:numFmt w:val="lowerRoman"/>
      <w:lvlText w:val="(%2)"/>
      <w:lvlJc w:val="left"/>
      <w:pPr>
        <w:ind w:left="1724" w:hanging="360"/>
      </w:pPr>
      <w:rPr>
        <w:rFonts w:hint="default"/>
      </w:r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1" w15:restartNumberingAfterBreak="0">
    <w:nsid w:val="5033009B"/>
    <w:multiLevelType w:val="hybridMultilevel"/>
    <w:tmpl w:val="4FEEEE50"/>
    <w:lvl w:ilvl="0" w:tplc="2F5EA88A">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33020AF"/>
    <w:multiLevelType w:val="hybridMultilevel"/>
    <w:tmpl w:val="4698B250"/>
    <w:lvl w:ilvl="0" w:tplc="0BC6F2AC">
      <w:start w:val="1"/>
      <w:numFmt w:val="lowerRoman"/>
      <w:lvlText w:val="(%1)"/>
      <w:lvlJc w:val="left"/>
      <w:pPr>
        <w:ind w:left="1145"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6A80F82"/>
    <w:multiLevelType w:val="hybridMultilevel"/>
    <w:tmpl w:val="C69008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C9017D9"/>
    <w:multiLevelType w:val="hybridMultilevel"/>
    <w:tmpl w:val="2758A06E"/>
    <w:lvl w:ilvl="0" w:tplc="FEB8973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FD63437"/>
    <w:multiLevelType w:val="hybridMultilevel"/>
    <w:tmpl w:val="C3B0E274"/>
    <w:lvl w:ilvl="0" w:tplc="0B9E13F4">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3"/>
  </w:num>
  <w:num w:numId="2">
    <w:abstractNumId w:val="7"/>
  </w:num>
  <w:num w:numId="3">
    <w:abstractNumId w:val="6"/>
  </w:num>
  <w:num w:numId="4">
    <w:abstractNumId w:val="5"/>
  </w:num>
  <w:num w:numId="5">
    <w:abstractNumId w:val="9"/>
  </w:num>
  <w:num w:numId="6">
    <w:abstractNumId w:val="4"/>
  </w:num>
  <w:num w:numId="7">
    <w:abstractNumId w:val="14"/>
  </w:num>
  <w:num w:numId="8">
    <w:abstractNumId w:val="3"/>
  </w:num>
  <w:num w:numId="9">
    <w:abstractNumId w:val="12"/>
  </w:num>
  <w:num w:numId="10">
    <w:abstractNumId w:val="11"/>
  </w:num>
  <w:num w:numId="11">
    <w:abstractNumId w:val="0"/>
  </w:num>
  <w:num w:numId="12">
    <w:abstractNumId w:val="2"/>
  </w:num>
  <w:num w:numId="13">
    <w:abstractNumId w:val="8"/>
  </w:num>
  <w:num w:numId="14">
    <w:abstractNumId w:val="1"/>
  </w:num>
  <w:num w:numId="15">
    <w:abstractNumId w:val="10"/>
  </w:num>
  <w:num w:numId="1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61"/>
    <w:rsid w:val="00000B11"/>
    <w:rsid w:val="00002B6D"/>
    <w:rsid w:val="0000390E"/>
    <w:rsid w:val="00003D22"/>
    <w:rsid w:val="00007732"/>
    <w:rsid w:val="000151A2"/>
    <w:rsid w:val="0001609B"/>
    <w:rsid w:val="00016A97"/>
    <w:rsid w:val="00016B46"/>
    <w:rsid w:val="00022BCF"/>
    <w:rsid w:val="00024176"/>
    <w:rsid w:val="000261D5"/>
    <w:rsid w:val="00033F80"/>
    <w:rsid w:val="00034E34"/>
    <w:rsid w:val="000375D0"/>
    <w:rsid w:val="00044633"/>
    <w:rsid w:val="00044D5E"/>
    <w:rsid w:val="00045CC7"/>
    <w:rsid w:val="0004629F"/>
    <w:rsid w:val="000469AA"/>
    <w:rsid w:val="00050331"/>
    <w:rsid w:val="0005104B"/>
    <w:rsid w:val="00052F2D"/>
    <w:rsid w:val="00055675"/>
    <w:rsid w:val="0006011A"/>
    <w:rsid w:val="00061842"/>
    <w:rsid w:val="0006206C"/>
    <w:rsid w:val="00062F83"/>
    <w:rsid w:val="00063DC8"/>
    <w:rsid w:val="0006583B"/>
    <w:rsid w:val="00065925"/>
    <w:rsid w:val="00082003"/>
    <w:rsid w:val="00084BA0"/>
    <w:rsid w:val="00085B14"/>
    <w:rsid w:val="00086CA5"/>
    <w:rsid w:val="00087F46"/>
    <w:rsid w:val="00087F8F"/>
    <w:rsid w:val="000917B5"/>
    <w:rsid w:val="000924D7"/>
    <w:rsid w:val="000925E9"/>
    <w:rsid w:val="00095A60"/>
    <w:rsid w:val="00096DB6"/>
    <w:rsid w:val="00097215"/>
    <w:rsid w:val="000A0119"/>
    <w:rsid w:val="000A2A15"/>
    <w:rsid w:val="000A3E5C"/>
    <w:rsid w:val="000A4A4E"/>
    <w:rsid w:val="000A4B40"/>
    <w:rsid w:val="000A68F8"/>
    <w:rsid w:val="000A6FD2"/>
    <w:rsid w:val="000B1ADA"/>
    <w:rsid w:val="000B1EAF"/>
    <w:rsid w:val="000B2416"/>
    <w:rsid w:val="000B5768"/>
    <w:rsid w:val="000B66CD"/>
    <w:rsid w:val="000B71A1"/>
    <w:rsid w:val="000C0F98"/>
    <w:rsid w:val="000C1119"/>
    <w:rsid w:val="000C168B"/>
    <w:rsid w:val="000C1B3F"/>
    <w:rsid w:val="000C5575"/>
    <w:rsid w:val="000D11C5"/>
    <w:rsid w:val="000D41CA"/>
    <w:rsid w:val="000D557C"/>
    <w:rsid w:val="000D6D5D"/>
    <w:rsid w:val="000E3D00"/>
    <w:rsid w:val="000E42AC"/>
    <w:rsid w:val="000E4E8F"/>
    <w:rsid w:val="000F00E0"/>
    <w:rsid w:val="000F1ADE"/>
    <w:rsid w:val="0010254D"/>
    <w:rsid w:val="0010334A"/>
    <w:rsid w:val="00104B26"/>
    <w:rsid w:val="00105022"/>
    <w:rsid w:val="00105168"/>
    <w:rsid w:val="00111AE5"/>
    <w:rsid w:val="0012247B"/>
    <w:rsid w:val="001227F8"/>
    <w:rsid w:val="001228DC"/>
    <w:rsid w:val="00122DEA"/>
    <w:rsid w:val="0012335C"/>
    <w:rsid w:val="00124B6E"/>
    <w:rsid w:val="00126413"/>
    <w:rsid w:val="00130C33"/>
    <w:rsid w:val="001312F4"/>
    <w:rsid w:val="00132737"/>
    <w:rsid w:val="00133F6C"/>
    <w:rsid w:val="00134871"/>
    <w:rsid w:val="0013571E"/>
    <w:rsid w:val="00140A5D"/>
    <w:rsid w:val="0014500E"/>
    <w:rsid w:val="001457FC"/>
    <w:rsid w:val="001470F9"/>
    <w:rsid w:val="001501E0"/>
    <w:rsid w:val="00151348"/>
    <w:rsid w:val="0015683A"/>
    <w:rsid w:val="00160D6E"/>
    <w:rsid w:val="00162B1E"/>
    <w:rsid w:val="00163FD2"/>
    <w:rsid w:val="001655F5"/>
    <w:rsid w:val="00170D35"/>
    <w:rsid w:val="001720A7"/>
    <w:rsid w:val="001776EB"/>
    <w:rsid w:val="00184AE6"/>
    <w:rsid w:val="0018643B"/>
    <w:rsid w:val="001911CA"/>
    <w:rsid w:val="00193C7B"/>
    <w:rsid w:val="00195516"/>
    <w:rsid w:val="00195E93"/>
    <w:rsid w:val="00196EA8"/>
    <w:rsid w:val="001A0E85"/>
    <w:rsid w:val="001A5542"/>
    <w:rsid w:val="001A59AA"/>
    <w:rsid w:val="001B22CA"/>
    <w:rsid w:val="001B2573"/>
    <w:rsid w:val="001B485C"/>
    <w:rsid w:val="001B5B66"/>
    <w:rsid w:val="001B5F05"/>
    <w:rsid w:val="001B652B"/>
    <w:rsid w:val="001B6F68"/>
    <w:rsid w:val="001B7AAF"/>
    <w:rsid w:val="001C0068"/>
    <w:rsid w:val="001C0A37"/>
    <w:rsid w:val="001C0B27"/>
    <w:rsid w:val="001C15E6"/>
    <w:rsid w:val="001C37B4"/>
    <w:rsid w:val="001C56B5"/>
    <w:rsid w:val="001D5E05"/>
    <w:rsid w:val="001E0346"/>
    <w:rsid w:val="001E4D5E"/>
    <w:rsid w:val="001F129E"/>
    <w:rsid w:val="001F2D44"/>
    <w:rsid w:val="001F44F7"/>
    <w:rsid w:val="001F6B65"/>
    <w:rsid w:val="001F7D36"/>
    <w:rsid w:val="00202C7B"/>
    <w:rsid w:val="00203176"/>
    <w:rsid w:val="00206DBE"/>
    <w:rsid w:val="0021022A"/>
    <w:rsid w:val="002110BE"/>
    <w:rsid w:val="00213210"/>
    <w:rsid w:val="002133E3"/>
    <w:rsid w:val="00213CE0"/>
    <w:rsid w:val="002156EF"/>
    <w:rsid w:val="00220515"/>
    <w:rsid w:val="0022384F"/>
    <w:rsid w:val="00225BE4"/>
    <w:rsid w:val="00226173"/>
    <w:rsid w:val="002262C2"/>
    <w:rsid w:val="0023302F"/>
    <w:rsid w:val="00235F7F"/>
    <w:rsid w:val="002368D3"/>
    <w:rsid w:val="00241040"/>
    <w:rsid w:val="00245597"/>
    <w:rsid w:val="0024596E"/>
    <w:rsid w:val="00245B99"/>
    <w:rsid w:val="00260796"/>
    <w:rsid w:val="00260B85"/>
    <w:rsid w:val="0026121C"/>
    <w:rsid w:val="0026201B"/>
    <w:rsid w:val="0026340A"/>
    <w:rsid w:val="00263CE4"/>
    <w:rsid w:val="002657E4"/>
    <w:rsid w:val="0026603B"/>
    <w:rsid w:val="00266CD9"/>
    <w:rsid w:val="002702C0"/>
    <w:rsid w:val="0028001C"/>
    <w:rsid w:val="00280AAF"/>
    <w:rsid w:val="00280FDF"/>
    <w:rsid w:val="002832B8"/>
    <w:rsid w:val="0028472A"/>
    <w:rsid w:val="0028640E"/>
    <w:rsid w:val="00287047"/>
    <w:rsid w:val="0029092C"/>
    <w:rsid w:val="002977A4"/>
    <w:rsid w:val="002A0879"/>
    <w:rsid w:val="002A0998"/>
    <w:rsid w:val="002A0B8C"/>
    <w:rsid w:val="002A120D"/>
    <w:rsid w:val="002A3288"/>
    <w:rsid w:val="002A63BF"/>
    <w:rsid w:val="002A670E"/>
    <w:rsid w:val="002A6AA3"/>
    <w:rsid w:val="002B072A"/>
    <w:rsid w:val="002B0ABD"/>
    <w:rsid w:val="002B0BA9"/>
    <w:rsid w:val="002B2156"/>
    <w:rsid w:val="002B3B3F"/>
    <w:rsid w:val="002B3E79"/>
    <w:rsid w:val="002B4612"/>
    <w:rsid w:val="002B7F3A"/>
    <w:rsid w:val="002C11DC"/>
    <w:rsid w:val="002C15CA"/>
    <w:rsid w:val="002C63CE"/>
    <w:rsid w:val="002C764A"/>
    <w:rsid w:val="002D26DE"/>
    <w:rsid w:val="002D3018"/>
    <w:rsid w:val="002D4C5A"/>
    <w:rsid w:val="002D4CE9"/>
    <w:rsid w:val="002D6A68"/>
    <w:rsid w:val="002D6E49"/>
    <w:rsid w:val="002E250E"/>
    <w:rsid w:val="002E40FC"/>
    <w:rsid w:val="002E6863"/>
    <w:rsid w:val="002E6FF6"/>
    <w:rsid w:val="002E74C0"/>
    <w:rsid w:val="002E7C37"/>
    <w:rsid w:val="002F4A38"/>
    <w:rsid w:val="002F5FF6"/>
    <w:rsid w:val="002F7676"/>
    <w:rsid w:val="002F768C"/>
    <w:rsid w:val="002F7B36"/>
    <w:rsid w:val="003038B1"/>
    <w:rsid w:val="003055B7"/>
    <w:rsid w:val="00312B9A"/>
    <w:rsid w:val="00317F1F"/>
    <w:rsid w:val="003256DA"/>
    <w:rsid w:val="00331976"/>
    <w:rsid w:val="003321EA"/>
    <w:rsid w:val="0033455A"/>
    <w:rsid w:val="00335BA6"/>
    <w:rsid w:val="0033604D"/>
    <w:rsid w:val="0033718F"/>
    <w:rsid w:val="00341E6C"/>
    <w:rsid w:val="00342C05"/>
    <w:rsid w:val="00342F36"/>
    <w:rsid w:val="0034526C"/>
    <w:rsid w:val="00350321"/>
    <w:rsid w:val="003573E1"/>
    <w:rsid w:val="00361B9A"/>
    <w:rsid w:val="003624F6"/>
    <w:rsid w:val="00362D24"/>
    <w:rsid w:val="00363DA7"/>
    <w:rsid w:val="0036413B"/>
    <w:rsid w:val="003671E8"/>
    <w:rsid w:val="003706DD"/>
    <w:rsid w:val="00371092"/>
    <w:rsid w:val="00371BD7"/>
    <w:rsid w:val="0037240B"/>
    <w:rsid w:val="0038550E"/>
    <w:rsid w:val="00386965"/>
    <w:rsid w:val="00391047"/>
    <w:rsid w:val="0039282D"/>
    <w:rsid w:val="00393CA2"/>
    <w:rsid w:val="00394589"/>
    <w:rsid w:val="00396B41"/>
    <w:rsid w:val="003A0A6D"/>
    <w:rsid w:val="003A41D5"/>
    <w:rsid w:val="003B034E"/>
    <w:rsid w:val="003B4F35"/>
    <w:rsid w:val="003B5893"/>
    <w:rsid w:val="003B64EF"/>
    <w:rsid w:val="003B659B"/>
    <w:rsid w:val="003B7F13"/>
    <w:rsid w:val="003C5222"/>
    <w:rsid w:val="003C7A0A"/>
    <w:rsid w:val="003C7B1F"/>
    <w:rsid w:val="003D0368"/>
    <w:rsid w:val="003D298B"/>
    <w:rsid w:val="003E5F47"/>
    <w:rsid w:val="003E6971"/>
    <w:rsid w:val="003E6A10"/>
    <w:rsid w:val="003F2EEA"/>
    <w:rsid w:val="004009C7"/>
    <w:rsid w:val="00400C44"/>
    <w:rsid w:val="00401EDC"/>
    <w:rsid w:val="00404226"/>
    <w:rsid w:val="004045C7"/>
    <w:rsid w:val="0040473A"/>
    <w:rsid w:val="00404C1A"/>
    <w:rsid w:val="00405289"/>
    <w:rsid w:val="00413BC5"/>
    <w:rsid w:val="00414889"/>
    <w:rsid w:val="00415236"/>
    <w:rsid w:val="00415C86"/>
    <w:rsid w:val="0041610B"/>
    <w:rsid w:val="00422BB7"/>
    <w:rsid w:val="00423EA7"/>
    <w:rsid w:val="00426CA2"/>
    <w:rsid w:val="00430879"/>
    <w:rsid w:val="004309EB"/>
    <w:rsid w:val="00430BDA"/>
    <w:rsid w:val="00433FAC"/>
    <w:rsid w:val="004347D7"/>
    <w:rsid w:val="00435736"/>
    <w:rsid w:val="004422EA"/>
    <w:rsid w:val="00443F32"/>
    <w:rsid w:val="004459AF"/>
    <w:rsid w:val="0045103D"/>
    <w:rsid w:val="004516A3"/>
    <w:rsid w:val="00452B3D"/>
    <w:rsid w:val="0045456E"/>
    <w:rsid w:val="004555F6"/>
    <w:rsid w:val="00455FFF"/>
    <w:rsid w:val="004605B9"/>
    <w:rsid w:val="00461834"/>
    <w:rsid w:val="004662FE"/>
    <w:rsid w:val="00467017"/>
    <w:rsid w:val="004708FD"/>
    <w:rsid w:val="0047626A"/>
    <w:rsid w:val="004768BE"/>
    <w:rsid w:val="0048233E"/>
    <w:rsid w:val="00484682"/>
    <w:rsid w:val="004869F7"/>
    <w:rsid w:val="00486A01"/>
    <w:rsid w:val="00487378"/>
    <w:rsid w:val="00491AB0"/>
    <w:rsid w:val="00493606"/>
    <w:rsid w:val="0049363B"/>
    <w:rsid w:val="00495B21"/>
    <w:rsid w:val="00496B2A"/>
    <w:rsid w:val="004973F5"/>
    <w:rsid w:val="00497DBC"/>
    <w:rsid w:val="004A14C2"/>
    <w:rsid w:val="004A2238"/>
    <w:rsid w:val="004A392D"/>
    <w:rsid w:val="004A41D2"/>
    <w:rsid w:val="004B023C"/>
    <w:rsid w:val="004B1D43"/>
    <w:rsid w:val="004B2415"/>
    <w:rsid w:val="004B291B"/>
    <w:rsid w:val="004B347D"/>
    <w:rsid w:val="004B69F7"/>
    <w:rsid w:val="004B6AE2"/>
    <w:rsid w:val="004B6FB2"/>
    <w:rsid w:val="004C0AEC"/>
    <w:rsid w:val="004C5F3E"/>
    <w:rsid w:val="004C6F58"/>
    <w:rsid w:val="004C746D"/>
    <w:rsid w:val="004C761A"/>
    <w:rsid w:val="004D11F3"/>
    <w:rsid w:val="004D399A"/>
    <w:rsid w:val="004D664A"/>
    <w:rsid w:val="004D6D23"/>
    <w:rsid w:val="004E096C"/>
    <w:rsid w:val="004E0ADD"/>
    <w:rsid w:val="004E1711"/>
    <w:rsid w:val="004E7AAA"/>
    <w:rsid w:val="004F006C"/>
    <w:rsid w:val="004F0DB8"/>
    <w:rsid w:val="004F1B03"/>
    <w:rsid w:val="004F20C3"/>
    <w:rsid w:val="004F328F"/>
    <w:rsid w:val="004F5503"/>
    <w:rsid w:val="005000EE"/>
    <w:rsid w:val="00500232"/>
    <w:rsid w:val="005025B8"/>
    <w:rsid w:val="005049FB"/>
    <w:rsid w:val="005050B6"/>
    <w:rsid w:val="005054C4"/>
    <w:rsid w:val="00506842"/>
    <w:rsid w:val="00511D63"/>
    <w:rsid w:val="0051300F"/>
    <w:rsid w:val="00513132"/>
    <w:rsid w:val="00514391"/>
    <w:rsid w:val="00516F6F"/>
    <w:rsid w:val="0051783A"/>
    <w:rsid w:val="005179DE"/>
    <w:rsid w:val="0052063D"/>
    <w:rsid w:val="00522A2E"/>
    <w:rsid w:val="00522BA0"/>
    <w:rsid w:val="0052338F"/>
    <w:rsid w:val="00523883"/>
    <w:rsid w:val="005239AE"/>
    <w:rsid w:val="00524EBD"/>
    <w:rsid w:val="00530DCB"/>
    <w:rsid w:val="00532AD0"/>
    <w:rsid w:val="005331D2"/>
    <w:rsid w:val="00533CE6"/>
    <w:rsid w:val="00535DF5"/>
    <w:rsid w:val="00540B68"/>
    <w:rsid w:val="005462B6"/>
    <w:rsid w:val="005505FD"/>
    <w:rsid w:val="00550BC8"/>
    <w:rsid w:val="00550DBE"/>
    <w:rsid w:val="005515DD"/>
    <w:rsid w:val="00553375"/>
    <w:rsid w:val="0055406A"/>
    <w:rsid w:val="005568DF"/>
    <w:rsid w:val="005617CD"/>
    <w:rsid w:val="00565369"/>
    <w:rsid w:val="005707CD"/>
    <w:rsid w:val="00573B0A"/>
    <w:rsid w:val="005741EB"/>
    <w:rsid w:val="005767DD"/>
    <w:rsid w:val="0057719E"/>
    <w:rsid w:val="0057735C"/>
    <w:rsid w:val="00581499"/>
    <w:rsid w:val="00583C47"/>
    <w:rsid w:val="00585015"/>
    <w:rsid w:val="00587BE6"/>
    <w:rsid w:val="0059117E"/>
    <w:rsid w:val="0059159C"/>
    <w:rsid w:val="00591AC6"/>
    <w:rsid w:val="00594B2D"/>
    <w:rsid w:val="00594CFD"/>
    <w:rsid w:val="00595679"/>
    <w:rsid w:val="005A671E"/>
    <w:rsid w:val="005A75DF"/>
    <w:rsid w:val="005B69EF"/>
    <w:rsid w:val="005C0E1E"/>
    <w:rsid w:val="005C1BD4"/>
    <w:rsid w:val="005C2D98"/>
    <w:rsid w:val="005C2FA8"/>
    <w:rsid w:val="005C2FAF"/>
    <w:rsid w:val="005C6A7B"/>
    <w:rsid w:val="005C6B4D"/>
    <w:rsid w:val="005D0642"/>
    <w:rsid w:val="005D1231"/>
    <w:rsid w:val="005D26EE"/>
    <w:rsid w:val="005E0C69"/>
    <w:rsid w:val="005E0EC9"/>
    <w:rsid w:val="005E259A"/>
    <w:rsid w:val="005E6D06"/>
    <w:rsid w:val="005F265F"/>
    <w:rsid w:val="005F43E1"/>
    <w:rsid w:val="00600767"/>
    <w:rsid w:val="00605D99"/>
    <w:rsid w:val="00613F77"/>
    <w:rsid w:val="006153D4"/>
    <w:rsid w:val="00615AFE"/>
    <w:rsid w:val="006168AF"/>
    <w:rsid w:val="006175AD"/>
    <w:rsid w:val="00621324"/>
    <w:rsid w:val="0062351F"/>
    <w:rsid w:val="00623DCC"/>
    <w:rsid w:val="00623F72"/>
    <w:rsid w:val="00624942"/>
    <w:rsid w:val="00624B02"/>
    <w:rsid w:val="00627922"/>
    <w:rsid w:val="006308CF"/>
    <w:rsid w:val="00631047"/>
    <w:rsid w:val="00631166"/>
    <w:rsid w:val="00633344"/>
    <w:rsid w:val="00634DDD"/>
    <w:rsid w:val="00635961"/>
    <w:rsid w:val="00637132"/>
    <w:rsid w:val="006376A0"/>
    <w:rsid w:val="00642CBE"/>
    <w:rsid w:val="006434F8"/>
    <w:rsid w:val="00644560"/>
    <w:rsid w:val="00645349"/>
    <w:rsid w:val="0064613E"/>
    <w:rsid w:val="0064669E"/>
    <w:rsid w:val="006472D6"/>
    <w:rsid w:val="00651B1E"/>
    <w:rsid w:val="00652018"/>
    <w:rsid w:val="00653243"/>
    <w:rsid w:val="006565C1"/>
    <w:rsid w:val="00657385"/>
    <w:rsid w:val="006609C9"/>
    <w:rsid w:val="00661BCA"/>
    <w:rsid w:val="00663112"/>
    <w:rsid w:val="00672D93"/>
    <w:rsid w:val="00673B08"/>
    <w:rsid w:val="00675BD9"/>
    <w:rsid w:val="00677BF9"/>
    <w:rsid w:val="0068246E"/>
    <w:rsid w:val="00682B58"/>
    <w:rsid w:val="0068300B"/>
    <w:rsid w:val="0068348F"/>
    <w:rsid w:val="00683CE7"/>
    <w:rsid w:val="00686279"/>
    <w:rsid w:val="0069420C"/>
    <w:rsid w:val="00695E04"/>
    <w:rsid w:val="006971F3"/>
    <w:rsid w:val="006A03E6"/>
    <w:rsid w:val="006B03FB"/>
    <w:rsid w:val="006B3F80"/>
    <w:rsid w:val="006C022F"/>
    <w:rsid w:val="006C0FBA"/>
    <w:rsid w:val="006C546C"/>
    <w:rsid w:val="006C5C9F"/>
    <w:rsid w:val="006C7751"/>
    <w:rsid w:val="006C795E"/>
    <w:rsid w:val="006D0B6A"/>
    <w:rsid w:val="006D1879"/>
    <w:rsid w:val="006D3E3B"/>
    <w:rsid w:val="006D5EF7"/>
    <w:rsid w:val="006D7211"/>
    <w:rsid w:val="006D72AA"/>
    <w:rsid w:val="006E1E5A"/>
    <w:rsid w:val="006E3226"/>
    <w:rsid w:val="006E40DA"/>
    <w:rsid w:val="006E6DB9"/>
    <w:rsid w:val="006F29E9"/>
    <w:rsid w:val="006F2F23"/>
    <w:rsid w:val="006F48AE"/>
    <w:rsid w:val="006F6339"/>
    <w:rsid w:val="006F71E7"/>
    <w:rsid w:val="00702265"/>
    <w:rsid w:val="007025C9"/>
    <w:rsid w:val="0070440C"/>
    <w:rsid w:val="00705D85"/>
    <w:rsid w:val="00713072"/>
    <w:rsid w:val="0071409C"/>
    <w:rsid w:val="00716C8A"/>
    <w:rsid w:val="007220B3"/>
    <w:rsid w:val="007238F9"/>
    <w:rsid w:val="00725A66"/>
    <w:rsid w:val="00730188"/>
    <w:rsid w:val="00730582"/>
    <w:rsid w:val="00730E60"/>
    <w:rsid w:val="007321B4"/>
    <w:rsid w:val="007328B8"/>
    <w:rsid w:val="00735078"/>
    <w:rsid w:val="00735581"/>
    <w:rsid w:val="007367B2"/>
    <w:rsid w:val="0073782E"/>
    <w:rsid w:val="00740258"/>
    <w:rsid w:val="00742F66"/>
    <w:rsid w:val="00743520"/>
    <w:rsid w:val="00743810"/>
    <w:rsid w:val="00745605"/>
    <w:rsid w:val="00747A63"/>
    <w:rsid w:val="00756075"/>
    <w:rsid w:val="00763CD9"/>
    <w:rsid w:val="0076431C"/>
    <w:rsid w:val="00764387"/>
    <w:rsid w:val="00764BDA"/>
    <w:rsid w:val="00765B83"/>
    <w:rsid w:val="00767151"/>
    <w:rsid w:val="00767B69"/>
    <w:rsid w:val="00770639"/>
    <w:rsid w:val="007707B1"/>
    <w:rsid w:val="00771E74"/>
    <w:rsid w:val="0077261D"/>
    <w:rsid w:val="00777FA6"/>
    <w:rsid w:val="00786F10"/>
    <w:rsid w:val="00792194"/>
    <w:rsid w:val="00794C32"/>
    <w:rsid w:val="007A2624"/>
    <w:rsid w:val="007A4511"/>
    <w:rsid w:val="007A62B1"/>
    <w:rsid w:val="007A7151"/>
    <w:rsid w:val="007B141C"/>
    <w:rsid w:val="007B5F4A"/>
    <w:rsid w:val="007B5FCD"/>
    <w:rsid w:val="007B74CC"/>
    <w:rsid w:val="007C49F2"/>
    <w:rsid w:val="007C7194"/>
    <w:rsid w:val="007D23AA"/>
    <w:rsid w:val="007D6DDD"/>
    <w:rsid w:val="007D75D7"/>
    <w:rsid w:val="007E1773"/>
    <w:rsid w:val="007E2AEC"/>
    <w:rsid w:val="007E3556"/>
    <w:rsid w:val="007F1FDC"/>
    <w:rsid w:val="007F547B"/>
    <w:rsid w:val="007F54DC"/>
    <w:rsid w:val="007F7CED"/>
    <w:rsid w:val="00801BEB"/>
    <w:rsid w:val="0080261E"/>
    <w:rsid w:val="00803F6E"/>
    <w:rsid w:val="0080648D"/>
    <w:rsid w:val="008074B9"/>
    <w:rsid w:val="008079E3"/>
    <w:rsid w:val="008114E6"/>
    <w:rsid w:val="00813841"/>
    <w:rsid w:val="008145FD"/>
    <w:rsid w:val="00815B1A"/>
    <w:rsid w:val="008171C5"/>
    <w:rsid w:val="008206E7"/>
    <w:rsid w:val="00821220"/>
    <w:rsid w:val="00822B4F"/>
    <w:rsid w:val="00826776"/>
    <w:rsid w:val="00827661"/>
    <w:rsid w:val="008321F7"/>
    <w:rsid w:val="00833715"/>
    <w:rsid w:val="00834B05"/>
    <w:rsid w:val="00834D8F"/>
    <w:rsid w:val="008363F0"/>
    <w:rsid w:val="00844041"/>
    <w:rsid w:val="00845261"/>
    <w:rsid w:val="00846D56"/>
    <w:rsid w:val="00855C6D"/>
    <w:rsid w:val="008631C4"/>
    <w:rsid w:val="00866B92"/>
    <w:rsid w:val="00873C04"/>
    <w:rsid w:val="008764C8"/>
    <w:rsid w:val="008773F3"/>
    <w:rsid w:val="00880887"/>
    <w:rsid w:val="00881852"/>
    <w:rsid w:val="008827E3"/>
    <w:rsid w:val="008842E7"/>
    <w:rsid w:val="00884864"/>
    <w:rsid w:val="0088508F"/>
    <w:rsid w:val="00887A04"/>
    <w:rsid w:val="00891D62"/>
    <w:rsid w:val="00891EE3"/>
    <w:rsid w:val="00891FC9"/>
    <w:rsid w:val="0089279B"/>
    <w:rsid w:val="008934AE"/>
    <w:rsid w:val="008A4727"/>
    <w:rsid w:val="008A67CB"/>
    <w:rsid w:val="008A70FB"/>
    <w:rsid w:val="008B1768"/>
    <w:rsid w:val="008B340E"/>
    <w:rsid w:val="008B450D"/>
    <w:rsid w:val="008B4FB9"/>
    <w:rsid w:val="008C09B7"/>
    <w:rsid w:val="008C14B4"/>
    <w:rsid w:val="008C361F"/>
    <w:rsid w:val="008C71E0"/>
    <w:rsid w:val="008C73C3"/>
    <w:rsid w:val="008D237B"/>
    <w:rsid w:val="008D7BCE"/>
    <w:rsid w:val="008D7DA0"/>
    <w:rsid w:val="008E090A"/>
    <w:rsid w:val="008E2296"/>
    <w:rsid w:val="008E2350"/>
    <w:rsid w:val="008E6083"/>
    <w:rsid w:val="008F1D38"/>
    <w:rsid w:val="008F1D86"/>
    <w:rsid w:val="008F1E88"/>
    <w:rsid w:val="008F227B"/>
    <w:rsid w:val="008F3F99"/>
    <w:rsid w:val="008F49E8"/>
    <w:rsid w:val="0090025B"/>
    <w:rsid w:val="009013A1"/>
    <w:rsid w:val="0090404A"/>
    <w:rsid w:val="009043D6"/>
    <w:rsid w:val="00904BC4"/>
    <w:rsid w:val="00904C25"/>
    <w:rsid w:val="00905930"/>
    <w:rsid w:val="00913B77"/>
    <w:rsid w:val="00913C0D"/>
    <w:rsid w:val="00914D9C"/>
    <w:rsid w:val="009171AA"/>
    <w:rsid w:val="00917D5F"/>
    <w:rsid w:val="00921856"/>
    <w:rsid w:val="00923E53"/>
    <w:rsid w:val="00923FB0"/>
    <w:rsid w:val="009244D5"/>
    <w:rsid w:val="009352E9"/>
    <w:rsid w:val="00936CA6"/>
    <w:rsid w:val="009415A2"/>
    <w:rsid w:val="0094368B"/>
    <w:rsid w:val="00951325"/>
    <w:rsid w:val="00952A00"/>
    <w:rsid w:val="00960737"/>
    <w:rsid w:val="00960928"/>
    <w:rsid w:val="00962776"/>
    <w:rsid w:val="00963C71"/>
    <w:rsid w:val="00967346"/>
    <w:rsid w:val="00975101"/>
    <w:rsid w:val="00976596"/>
    <w:rsid w:val="00982447"/>
    <w:rsid w:val="0098282B"/>
    <w:rsid w:val="00982E77"/>
    <w:rsid w:val="00983B99"/>
    <w:rsid w:val="0098462D"/>
    <w:rsid w:val="00985513"/>
    <w:rsid w:val="00987538"/>
    <w:rsid w:val="009951CC"/>
    <w:rsid w:val="00995E85"/>
    <w:rsid w:val="009965E7"/>
    <w:rsid w:val="0099751D"/>
    <w:rsid w:val="009A0518"/>
    <w:rsid w:val="009A2D44"/>
    <w:rsid w:val="009A53AD"/>
    <w:rsid w:val="009A656C"/>
    <w:rsid w:val="009A7030"/>
    <w:rsid w:val="009B0147"/>
    <w:rsid w:val="009B1D63"/>
    <w:rsid w:val="009B209B"/>
    <w:rsid w:val="009B236A"/>
    <w:rsid w:val="009B2D81"/>
    <w:rsid w:val="009B5ED0"/>
    <w:rsid w:val="009B65DE"/>
    <w:rsid w:val="009B6AB4"/>
    <w:rsid w:val="009B6EE8"/>
    <w:rsid w:val="009B77A1"/>
    <w:rsid w:val="009B77F8"/>
    <w:rsid w:val="009B7E4E"/>
    <w:rsid w:val="009C27BE"/>
    <w:rsid w:val="009C5C91"/>
    <w:rsid w:val="009C621F"/>
    <w:rsid w:val="009C7339"/>
    <w:rsid w:val="009D0EBE"/>
    <w:rsid w:val="009D219B"/>
    <w:rsid w:val="009D2690"/>
    <w:rsid w:val="009D380E"/>
    <w:rsid w:val="009D3D1E"/>
    <w:rsid w:val="009D6F0D"/>
    <w:rsid w:val="009D73AB"/>
    <w:rsid w:val="009E028D"/>
    <w:rsid w:val="009E1832"/>
    <w:rsid w:val="009E19E5"/>
    <w:rsid w:val="009E1D30"/>
    <w:rsid w:val="009E242A"/>
    <w:rsid w:val="009E57A4"/>
    <w:rsid w:val="009F13F4"/>
    <w:rsid w:val="009F2261"/>
    <w:rsid w:val="009F2494"/>
    <w:rsid w:val="009F443E"/>
    <w:rsid w:val="009F5565"/>
    <w:rsid w:val="009F55EA"/>
    <w:rsid w:val="00A005EA"/>
    <w:rsid w:val="00A00E88"/>
    <w:rsid w:val="00A0149A"/>
    <w:rsid w:val="00A01F89"/>
    <w:rsid w:val="00A02118"/>
    <w:rsid w:val="00A021FD"/>
    <w:rsid w:val="00A04627"/>
    <w:rsid w:val="00A07071"/>
    <w:rsid w:val="00A07242"/>
    <w:rsid w:val="00A10BE4"/>
    <w:rsid w:val="00A1656B"/>
    <w:rsid w:val="00A21605"/>
    <w:rsid w:val="00A22A99"/>
    <w:rsid w:val="00A25B55"/>
    <w:rsid w:val="00A31FCE"/>
    <w:rsid w:val="00A33E90"/>
    <w:rsid w:val="00A34A1E"/>
    <w:rsid w:val="00A36B54"/>
    <w:rsid w:val="00A370C4"/>
    <w:rsid w:val="00A409CF"/>
    <w:rsid w:val="00A41408"/>
    <w:rsid w:val="00A455B0"/>
    <w:rsid w:val="00A4582B"/>
    <w:rsid w:val="00A465EB"/>
    <w:rsid w:val="00A4736E"/>
    <w:rsid w:val="00A508DF"/>
    <w:rsid w:val="00A54467"/>
    <w:rsid w:val="00A56F34"/>
    <w:rsid w:val="00A57465"/>
    <w:rsid w:val="00A64BCD"/>
    <w:rsid w:val="00A73109"/>
    <w:rsid w:val="00A731AA"/>
    <w:rsid w:val="00A73CD1"/>
    <w:rsid w:val="00A73D4E"/>
    <w:rsid w:val="00A752CD"/>
    <w:rsid w:val="00A76308"/>
    <w:rsid w:val="00A77188"/>
    <w:rsid w:val="00A806F6"/>
    <w:rsid w:val="00A8165B"/>
    <w:rsid w:val="00A81F90"/>
    <w:rsid w:val="00A83FB0"/>
    <w:rsid w:val="00A86A57"/>
    <w:rsid w:val="00A87128"/>
    <w:rsid w:val="00A91D40"/>
    <w:rsid w:val="00A92DA8"/>
    <w:rsid w:val="00A92E03"/>
    <w:rsid w:val="00A9309A"/>
    <w:rsid w:val="00A931AB"/>
    <w:rsid w:val="00A963FC"/>
    <w:rsid w:val="00AA0B6F"/>
    <w:rsid w:val="00AA1B61"/>
    <w:rsid w:val="00AA1B70"/>
    <w:rsid w:val="00AA1C21"/>
    <w:rsid w:val="00AA2078"/>
    <w:rsid w:val="00AA27D8"/>
    <w:rsid w:val="00AA300D"/>
    <w:rsid w:val="00AA37A2"/>
    <w:rsid w:val="00AA3E15"/>
    <w:rsid w:val="00AA3EC4"/>
    <w:rsid w:val="00AA43E1"/>
    <w:rsid w:val="00AB44A8"/>
    <w:rsid w:val="00AB4FE5"/>
    <w:rsid w:val="00AC21F3"/>
    <w:rsid w:val="00AC272E"/>
    <w:rsid w:val="00AC3F1D"/>
    <w:rsid w:val="00AC785F"/>
    <w:rsid w:val="00AD0C53"/>
    <w:rsid w:val="00AD219C"/>
    <w:rsid w:val="00AD249B"/>
    <w:rsid w:val="00AD71CE"/>
    <w:rsid w:val="00AD733A"/>
    <w:rsid w:val="00AE3A3C"/>
    <w:rsid w:val="00AE66BE"/>
    <w:rsid w:val="00AF2162"/>
    <w:rsid w:val="00AF2B2A"/>
    <w:rsid w:val="00AF2F2D"/>
    <w:rsid w:val="00AF3881"/>
    <w:rsid w:val="00AF41BB"/>
    <w:rsid w:val="00AF56E0"/>
    <w:rsid w:val="00AF5F8D"/>
    <w:rsid w:val="00AF6F9A"/>
    <w:rsid w:val="00AF7454"/>
    <w:rsid w:val="00B007F8"/>
    <w:rsid w:val="00B02CE8"/>
    <w:rsid w:val="00B03D36"/>
    <w:rsid w:val="00B04D1A"/>
    <w:rsid w:val="00B06A20"/>
    <w:rsid w:val="00B12DC2"/>
    <w:rsid w:val="00B14463"/>
    <w:rsid w:val="00B20FF9"/>
    <w:rsid w:val="00B21078"/>
    <w:rsid w:val="00B23C99"/>
    <w:rsid w:val="00B25DC0"/>
    <w:rsid w:val="00B30D12"/>
    <w:rsid w:val="00B31140"/>
    <w:rsid w:val="00B34CE6"/>
    <w:rsid w:val="00B41B00"/>
    <w:rsid w:val="00B41CEF"/>
    <w:rsid w:val="00B43CE7"/>
    <w:rsid w:val="00B46308"/>
    <w:rsid w:val="00B50363"/>
    <w:rsid w:val="00B539CD"/>
    <w:rsid w:val="00B60485"/>
    <w:rsid w:val="00B65E93"/>
    <w:rsid w:val="00B66695"/>
    <w:rsid w:val="00B671B3"/>
    <w:rsid w:val="00B70671"/>
    <w:rsid w:val="00B73280"/>
    <w:rsid w:val="00B74E82"/>
    <w:rsid w:val="00B80193"/>
    <w:rsid w:val="00B82614"/>
    <w:rsid w:val="00B84E2D"/>
    <w:rsid w:val="00B93223"/>
    <w:rsid w:val="00B936BC"/>
    <w:rsid w:val="00B94341"/>
    <w:rsid w:val="00B951AF"/>
    <w:rsid w:val="00B9621A"/>
    <w:rsid w:val="00B976A0"/>
    <w:rsid w:val="00BA0D83"/>
    <w:rsid w:val="00BA16F3"/>
    <w:rsid w:val="00BA286D"/>
    <w:rsid w:val="00BA6B1A"/>
    <w:rsid w:val="00BA6B98"/>
    <w:rsid w:val="00BA7675"/>
    <w:rsid w:val="00BB3759"/>
    <w:rsid w:val="00BB3992"/>
    <w:rsid w:val="00BB445B"/>
    <w:rsid w:val="00BC7CD1"/>
    <w:rsid w:val="00BD3A64"/>
    <w:rsid w:val="00BD3C3A"/>
    <w:rsid w:val="00BD4088"/>
    <w:rsid w:val="00BD4BBD"/>
    <w:rsid w:val="00BE1F29"/>
    <w:rsid w:val="00BE5C07"/>
    <w:rsid w:val="00BE5CD7"/>
    <w:rsid w:val="00BE5F65"/>
    <w:rsid w:val="00BE6B69"/>
    <w:rsid w:val="00BE7DD8"/>
    <w:rsid w:val="00BE7F89"/>
    <w:rsid w:val="00BF1910"/>
    <w:rsid w:val="00BF1C85"/>
    <w:rsid w:val="00BF3B76"/>
    <w:rsid w:val="00BF3B90"/>
    <w:rsid w:val="00BF4042"/>
    <w:rsid w:val="00C029AC"/>
    <w:rsid w:val="00C03A03"/>
    <w:rsid w:val="00C03F18"/>
    <w:rsid w:val="00C057A1"/>
    <w:rsid w:val="00C1266B"/>
    <w:rsid w:val="00C16247"/>
    <w:rsid w:val="00C206D6"/>
    <w:rsid w:val="00C228B6"/>
    <w:rsid w:val="00C23251"/>
    <w:rsid w:val="00C26625"/>
    <w:rsid w:val="00C273B1"/>
    <w:rsid w:val="00C2771E"/>
    <w:rsid w:val="00C30763"/>
    <w:rsid w:val="00C33103"/>
    <w:rsid w:val="00C341CF"/>
    <w:rsid w:val="00C376FB"/>
    <w:rsid w:val="00C37A96"/>
    <w:rsid w:val="00C442F5"/>
    <w:rsid w:val="00C448A4"/>
    <w:rsid w:val="00C45791"/>
    <w:rsid w:val="00C46F6B"/>
    <w:rsid w:val="00C46FDA"/>
    <w:rsid w:val="00C47278"/>
    <w:rsid w:val="00C47763"/>
    <w:rsid w:val="00C50F23"/>
    <w:rsid w:val="00C5136E"/>
    <w:rsid w:val="00C51F1E"/>
    <w:rsid w:val="00C527BC"/>
    <w:rsid w:val="00C54CD1"/>
    <w:rsid w:val="00C55825"/>
    <w:rsid w:val="00C55FB7"/>
    <w:rsid w:val="00C55FF3"/>
    <w:rsid w:val="00C6228C"/>
    <w:rsid w:val="00C63CE2"/>
    <w:rsid w:val="00C65B71"/>
    <w:rsid w:val="00C66EBA"/>
    <w:rsid w:val="00C762BC"/>
    <w:rsid w:val="00C7657F"/>
    <w:rsid w:val="00C800E3"/>
    <w:rsid w:val="00C81DC7"/>
    <w:rsid w:val="00C81EFC"/>
    <w:rsid w:val="00C8250E"/>
    <w:rsid w:val="00C84B0F"/>
    <w:rsid w:val="00C93AB7"/>
    <w:rsid w:val="00CA0168"/>
    <w:rsid w:val="00CA0D90"/>
    <w:rsid w:val="00CA2592"/>
    <w:rsid w:val="00CA273C"/>
    <w:rsid w:val="00CA3E72"/>
    <w:rsid w:val="00CB0CD1"/>
    <w:rsid w:val="00CB1C15"/>
    <w:rsid w:val="00CC034D"/>
    <w:rsid w:val="00CC267A"/>
    <w:rsid w:val="00CC3999"/>
    <w:rsid w:val="00CC4075"/>
    <w:rsid w:val="00CC68A6"/>
    <w:rsid w:val="00CC72BA"/>
    <w:rsid w:val="00CC7457"/>
    <w:rsid w:val="00CD24E7"/>
    <w:rsid w:val="00CD342E"/>
    <w:rsid w:val="00CD34B5"/>
    <w:rsid w:val="00CD5038"/>
    <w:rsid w:val="00CE5583"/>
    <w:rsid w:val="00CE792C"/>
    <w:rsid w:val="00CF7829"/>
    <w:rsid w:val="00D10D03"/>
    <w:rsid w:val="00D11788"/>
    <w:rsid w:val="00D14438"/>
    <w:rsid w:val="00D153AB"/>
    <w:rsid w:val="00D16B41"/>
    <w:rsid w:val="00D24636"/>
    <w:rsid w:val="00D3554C"/>
    <w:rsid w:val="00D35DA8"/>
    <w:rsid w:val="00D37B55"/>
    <w:rsid w:val="00D42601"/>
    <w:rsid w:val="00D42FED"/>
    <w:rsid w:val="00D456F8"/>
    <w:rsid w:val="00D46950"/>
    <w:rsid w:val="00D47B99"/>
    <w:rsid w:val="00D51469"/>
    <w:rsid w:val="00D5235C"/>
    <w:rsid w:val="00D57873"/>
    <w:rsid w:val="00D6429F"/>
    <w:rsid w:val="00D71C59"/>
    <w:rsid w:val="00D76410"/>
    <w:rsid w:val="00D77961"/>
    <w:rsid w:val="00D77F2B"/>
    <w:rsid w:val="00D81F03"/>
    <w:rsid w:val="00D82425"/>
    <w:rsid w:val="00D82594"/>
    <w:rsid w:val="00D825E1"/>
    <w:rsid w:val="00D83F89"/>
    <w:rsid w:val="00D8463B"/>
    <w:rsid w:val="00D856A1"/>
    <w:rsid w:val="00D864A6"/>
    <w:rsid w:val="00D94B23"/>
    <w:rsid w:val="00D95C7A"/>
    <w:rsid w:val="00DA0308"/>
    <w:rsid w:val="00DA16E6"/>
    <w:rsid w:val="00DA27EA"/>
    <w:rsid w:val="00DA63DB"/>
    <w:rsid w:val="00DA6B5D"/>
    <w:rsid w:val="00DB0671"/>
    <w:rsid w:val="00DB147D"/>
    <w:rsid w:val="00DB14FF"/>
    <w:rsid w:val="00DB6475"/>
    <w:rsid w:val="00DB7B5E"/>
    <w:rsid w:val="00DC270A"/>
    <w:rsid w:val="00DC29C7"/>
    <w:rsid w:val="00DC2C39"/>
    <w:rsid w:val="00DC2CEA"/>
    <w:rsid w:val="00DC2D6E"/>
    <w:rsid w:val="00DD0F0E"/>
    <w:rsid w:val="00DD17C5"/>
    <w:rsid w:val="00DD233D"/>
    <w:rsid w:val="00DD31E1"/>
    <w:rsid w:val="00DD34E2"/>
    <w:rsid w:val="00DD4360"/>
    <w:rsid w:val="00DE3E84"/>
    <w:rsid w:val="00DE4588"/>
    <w:rsid w:val="00DE6A7A"/>
    <w:rsid w:val="00DE6E03"/>
    <w:rsid w:val="00DE7E14"/>
    <w:rsid w:val="00DF0EA1"/>
    <w:rsid w:val="00DF23F5"/>
    <w:rsid w:val="00E027CD"/>
    <w:rsid w:val="00E02A6E"/>
    <w:rsid w:val="00E032D0"/>
    <w:rsid w:val="00E03A74"/>
    <w:rsid w:val="00E0451E"/>
    <w:rsid w:val="00E05846"/>
    <w:rsid w:val="00E062FC"/>
    <w:rsid w:val="00E109F7"/>
    <w:rsid w:val="00E137C4"/>
    <w:rsid w:val="00E15BF2"/>
    <w:rsid w:val="00E161C6"/>
    <w:rsid w:val="00E169B8"/>
    <w:rsid w:val="00E24FA3"/>
    <w:rsid w:val="00E25AA2"/>
    <w:rsid w:val="00E261C4"/>
    <w:rsid w:val="00E2666E"/>
    <w:rsid w:val="00E26B77"/>
    <w:rsid w:val="00E30963"/>
    <w:rsid w:val="00E34E65"/>
    <w:rsid w:val="00E428EA"/>
    <w:rsid w:val="00E452C3"/>
    <w:rsid w:val="00E47667"/>
    <w:rsid w:val="00E607E6"/>
    <w:rsid w:val="00E64541"/>
    <w:rsid w:val="00E64C30"/>
    <w:rsid w:val="00E663C0"/>
    <w:rsid w:val="00E665DB"/>
    <w:rsid w:val="00E700E9"/>
    <w:rsid w:val="00E7554A"/>
    <w:rsid w:val="00E75D1E"/>
    <w:rsid w:val="00E76685"/>
    <w:rsid w:val="00E82BA0"/>
    <w:rsid w:val="00E86E91"/>
    <w:rsid w:val="00E91B79"/>
    <w:rsid w:val="00E924BA"/>
    <w:rsid w:val="00E93709"/>
    <w:rsid w:val="00E93FE0"/>
    <w:rsid w:val="00E963F0"/>
    <w:rsid w:val="00EA0355"/>
    <w:rsid w:val="00EA4956"/>
    <w:rsid w:val="00EA65D7"/>
    <w:rsid w:val="00EA7FB5"/>
    <w:rsid w:val="00EB0063"/>
    <w:rsid w:val="00EB0B18"/>
    <w:rsid w:val="00EB2435"/>
    <w:rsid w:val="00EB2B66"/>
    <w:rsid w:val="00EB41F2"/>
    <w:rsid w:val="00EB4C41"/>
    <w:rsid w:val="00EB7945"/>
    <w:rsid w:val="00EC0417"/>
    <w:rsid w:val="00EC4732"/>
    <w:rsid w:val="00EC623D"/>
    <w:rsid w:val="00ED0138"/>
    <w:rsid w:val="00ED03AD"/>
    <w:rsid w:val="00ED2FB0"/>
    <w:rsid w:val="00ED59C4"/>
    <w:rsid w:val="00ED736F"/>
    <w:rsid w:val="00EE121F"/>
    <w:rsid w:val="00EE2E12"/>
    <w:rsid w:val="00EE2E24"/>
    <w:rsid w:val="00EE3D3D"/>
    <w:rsid w:val="00EE6B57"/>
    <w:rsid w:val="00EE6E53"/>
    <w:rsid w:val="00EF4DB2"/>
    <w:rsid w:val="00F0047D"/>
    <w:rsid w:val="00F0171C"/>
    <w:rsid w:val="00F018DF"/>
    <w:rsid w:val="00F02082"/>
    <w:rsid w:val="00F026FA"/>
    <w:rsid w:val="00F04974"/>
    <w:rsid w:val="00F06BC8"/>
    <w:rsid w:val="00F12FC4"/>
    <w:rsid w:val="00F16CCF"/>
    <w:rsid w:val="00F17B57"/>
    <w:rsid w:val="00F21CBC"/>
    <w:rsid w:val="00F220ED"/>
    <w:rsid w:val="00F22985"/>
    <w:rsid w:val="00F230E5"/>
    <w:rsid w:val="00F24B94"/>
    <w:rsid w:val="00F25128"/>
    <w:rsid w:val="00F252BC"/>
    <w:rsid w:val="00F30870"/>
    <w:rsid w:val="00F31371"/>
    <w:rsid w:val="00F3192F"/>
    <w:rsid w:val="00F3453B"/>
    <w:rsid w:val="00F3770A"/>
    <w:rsid w:val="00F37D9C"/>
    <w:rsid w:val="00F37E28"/>
    <w:rsid w:val="00F41577"/>
    <w:rsid w:val="00F43D9E"/>
    <w:rsid w:val="00F4521A"/>
    <w:rsid w:val="00F45EE1"/>
    <w:rsid w:val="00F55E00"/>
    <w:rsid w:val="00F61F85"/>
    <w:rsid w:val="00F6297C"/>
    <w:rsid w:val="00F642E4"/>
    <w:rsid w:val="00F652D9"/>
    <w:rsid w:val="00F66743"/>
    <w:rsid w:val="00F66F2E"/>
    <w:rsid w:val="00F702D1"/>
    <w:rsid w:val="00F72078"/>
    <w:rsid w:val="00F723E2"/>
    <w:rsid w:val="00F72BF5"/>
    <w:rsid w:val="00F72EB0"/>
    <w:rsid w:val="00F74242"/>
    <w:rsid w:val="00F75A3C"/>
    <w:rsid w:val="00F83172"/>
    <w:rsid w:val="00F83DCD"/>
    <w:rsid w:val="00F84325"/>
    <w:rsid w:val="00F85186"/>
    <w:rsid w:val="00F8761F"/>
    <w:rsid w:val="00F90870"/>
    <w:rsid w:val="00F91586"/>
    <w:rsid w:val="00F958A3"/>
    <w:rsid w:val="00F97148"/>
    <w:rsid w:val="00F975DA"/>
    <w:rsid w:val="00FA1F9D"/>
    <w:rsid w:val="00FA3E73"/>
    <w:rsid w:val="00FA4670"/>
    <w:rsid w:val="00FA5E49"/>
    <w:rsid w:val="00FA62DB"/>
    <w:rsid w:val="00FA6E88"/>
    <w:rsid w:val="00FA7A02"/>
    <w:rsid w:val="00FB11EB"/>
    <w:rsid w:val="00FB321D"/>
    <w:rsid w:val="00FB40C5"/>
    <w:rsid w:val="00FB4DBA"/>
    <w:rsid w:val="00FB62D6"/>
    <w:rsid w:val="00FB6963"/>
    <w:rsid w:val="00FB6DC9"/>
    <w:rsid w:val="00FC26C1"/>
    <w:rsid w:val="00FC49C7"/>
    <w:rsid w:val="00FC71BD"/>
    <w:rsid w:val="00FD037E"/>
    <w:rsid w:val="00FD0BAD"/>
    <w:rsid w:val="00FD5DD9"/>
    <w:rsid w:val="00FD5E1A"/>
    <w:rsid w:val="00FE0D85"/>
    <w:rsid w:val="00FE1D7F"/>
    <w:rsid w:val="00FE363E"/>
    <w:rsid w:val="00FE3922"/>
    <w:rsid w:val="00FE4578"/>
    <w:rsid w:val="00FE58B4"/>
    <w:rsid w:val="00FF2FB4"/>
    <w:rsid w:val="00FF36D3"/>
    <w:rsid w:val="00FF3BA2"/>
    <w:rsid w:val="00FF3D11"/>
    <w:rsid w:val="00FF7B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57F130"/>
  <w15:docId w15:val="{AC9E6252-F808-4605-B1FE-AB619904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61"/>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qFormat/>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827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14438"/>
    <w:pPr>
      <w:tabs>
        <w:tab w:val="right" w:leader="dot" w:pos="9350"/>
      </w:tabs>
      <w:spacing w:after="100" w:line="240" w:lineRule="auto"/>
    </w:pPr>
  </w:style>
  <w:style w:type="character" w:styleId="Hyperlink">
    <w:name w:val="Hyperlink"/>
    <w:basedOn w:val="DefaultParagraphFont"/>
    <w:uiPriority w:val="99"/>
    <w:unhideWhenUsed/>
    <w:rsid w:val="00827661"/>
    <w:rPr>
      <w:color w:val="5F5F5F" w:themeColor="hyperlink"/>
      <w:u w:val="single"/>
    </w:rPr>
  </w:style>
  <w:style w:type="paragraph" w:styleId="TOC2">
    <w:name w:val="toc 2"/>
    <w:basedOn w:val="Normal"/>
    <w:next w:val="Normal"/>
    <w:autoRedefine/>
    <w:uiPriority w:val="39"/>
    <w:unhideWhenUsed/>
    <w:rsid w:val="00827661"/>
    <w:pPr>
      <w:spacing w:after="100"/>
      <w:ind w:left="220"/>
    </w:pPr>
  </w:style>
  <w:style w:type="character" w:styleId="CommentReference">
    <w:name w:val="annotation reference"/>
    <w:basedOn w:val="DefaultParagraphFont"/>
    <w:uiPriority w:val="99"/>
    <w:semiHidden/>
    <w:unhideWhenUsed/>
    <w:rsid w:val="00827661"/>
    <w:rPr>
      <w:sz w:val="16"/>
      <w:szCs w:val="16"/>
    </w:rPr>
  </w:style>
  <w:style w:type="paragraph" w:styleId="CommentText">
    <w:name w:val="annotation text"/>
    <w:basedOn w:val="Normal"/>
    <w:link w:val="CommentTextChar"/>
    <w:uiPriority w:val="99"/>
    <w:unhideWhenUsed/>
    <w:rsid w:val="00827661"/>
    <w:pPr>
      <w:spacing w:line="240" w:lineRule="auto"/>
    </w:pPr>
    <w:rPr>
      <w:sz w:val="20"/>
      <w:szCs w:val="20"/>
    </w:rPr>
  </w:style>
  <w:style w:type="character" w:customStyle="1" w:styleId="CommentTextChar">
    <w:name w:val="Comment Text Char"/>
    <w:basedOn w:val="DefaultParagraphFont"/>
    <w:link w:val="CommentText"/>
    <w:uiPriority w:val="99"/>
    <w:rsid w:val="00827661"/>
    <w:rPr>
      <w:sz w:val="20"/>
      <w:szCs w:val="20"/>
    </w:rPr>
  </w:style>
  <w:style w:type="paragraph" w:styleId="CommentSubject">
    <w:name w:val="annotation subject"/>
    <w:basedOn w:val="CommentText"/>
    <w:next w:val="CommentText"/>
    <w:link w:val="CommentSubjectChar"/>
    <w:uiPriority w:val="99"/>
    <w:semiHidden/>
    <w:unhideWhenUsed/>
    <w:rsid w:val="00827661"/>
    <w:rPr>
      <w:b/>
      <w:bCs/>
    </w:rPr>
  </w:style>
  <w:style w:type="character" w:customStyle="1" w:styleId="CommentSubjectChar">
    <w:name w:val="Comment Subject Char"/>
    <w:basedOn w:val="CommentTextChar"/>
    <w:link w:val="CommentSubject"/>
    <w:uiPriority w:val="99"/>
    <w:semiHidden/>
    <w:rsid w:val="00827661"/>
    <w:rPr>
      <w:b/>
      <w:bCs/>
      <w:sz w:val="20"/>
      <w:szCs w:val="20"/>
    </w:rPr>
  </w:style>
  <w:style w:type="paragraph" w:customStyle="1" w:styleId="subsection-e">
    <w:name w:val="subsection-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e">
    <w:name w:val="paragraph-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clause-e">
    <w:name w:val="clause-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ubclause-e">
    <w:name w:val="subclause-e"/>
    <w:basedOn w:val="Normal"/>
    <w:rsid w:val="00AE66B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B976A0"/>
    <w:pPr>
      <w:spacing w:after="0" w:line="240" w:lineRule="auto"/>
    </w:pPr>
  </w:style>
  <w:style w:type="character" w:styleId="UnresolvedMention">
    <w:name w:val="Unresolved Mention"/>
    <w:basedOn w:val="DefaultParagraphFont"/>
    <w:uiPriority w:val="99"/>
    <w:semiHidden/>
    <w:unhideWhenUsed/>
    <w:rsid w:val="00C228B6"/>
    <w:rPr>
      <w:color w:val="808080"/>
      <w:shd w:val="clear" w:color="auto" w:fill="E6E6E6"/>
    </w:rPr>
  </w:style>
  <w:style w:type="character" w:styleId="PlaceholderText">
    <w:name w:val="Placeholder Text"/>
    <w:basedOn w:val="DefaultParagraphFont"/>
    <w:uiPriority w:val="99"/>
    <w:semiHidden/>
    <w:rsid w:val="00393CA2"/>
    <w:rPr>
      <w:color w:val="808080"/>
    </w:rPr>
  </w:style>
  <w:style w:type="character" w:styleId="FollowedHyperlink">
    <w:name w:val="FollowedHyperlink"/>
    <w:basedOn w:val="DefaultParagraphFont"/>
    <w:uiPriority w:val="99"/>
    <w:semiHidden/>
    <w:unhideWhenUsed/>
    <w:rsid w:val="008773F3"/>
    <w:rPr>
      <w:color w:val="919191" w:themeColor="followedHyperlink"/>
      <w:u w:val="single"/>
    </w:rPr>
  </w:style>
  <w:style w:type="paragraph" w:customStyle="1" w:styleId="subpara-e">
    <w:name w:val="subpara-e"/>
    <w:basedOn w:val="Normal"/>
    <w:rsid w:val="00594B2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Caption">
    <w:name w:val="caption"/>
    <w:basedOn w:val="Normal"/>
    <w:next w:val="Normal"/>
    <w:uiPriority w:val="35"/>
    <w:unhideWhenUsed/>
    <w:rsid w:val="00E76685"/>
    <w:pPr>
      <w:spacing w:line="240" w:lineRule="auto"/>
    </w:pPr>
    <w:rPr>
      <w:i/>
      <w:iCs/>
      <w:color w:val="000000" w:themeColor="text2"/>
      <w:sz w:val="18"/>
      <w:szCs w:val="18"/>
    </w:rPr>
  </w:style>
  <w:style w:type="paragraph" w:customStyle="1" w:styleId="section-e">
    <w:name w:val="section-e"/>
    <w:basedOn w:val="Normal"/>
    <w:rsid w:val="000F00E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FootnoteText">
    <w:name w:val="footnote text"/>
    <w:basedOn w:val="Normal"/>
    <w:link w:val="FootnoteTextChar"/>
    <w:uiPriority w:val="99"/>
    <w:semiHidden/>
    <w:unhideWhenUsed/>
    <w:rsid w:val="00CD50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038"/>
    <w:rPr>
      <w:sz w:val="20"/>
      <w:szCs w:val="20"/>
    </w:rPr>
  </w:style>
  <w:style w:type="character" w:styleId="FootnoteReference">
    <w:name w:val="footnote reference"/>
    <w:basedOn w:val="DefaultParagraphFont"/>
    <w:uiPriority w:val="99"/>
    <w:semiHidden/>
    <w:unhideWhenUsed/>
    <w:rsid w:val="00CD5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7826">
      <w:bodyDiv w:val="1"/>
      <w:marLeft w:val="0"/>
      <w:marRight w:val="0"/>
      <w:marTop w:val="0"/>
      <w:marBottom w:val="0"/>
      <w:divBdr>
        <w:top w:val="none" w:sz="0" w:space="0" w:color="auto"/>
        <w:left w:val="none" w:sz="0" w:space="0" w:color="auto"/>
        <w:bottom w:val="none" w:sz="0" w:space="0" w:color="auto"/>
        <w:right w:val="none" w:sz="0" w:space="0" w:color="auto"/>
      </w:divBdr>
    </w:div>
    <w:div w:id="162281441">
      <w:bodyDiv w:val="1"/>
      <w:marLeft w:val="0"/>
      <w:marRight w:val="0"/>
      <w:marTop w:val="0"/>
      <w:marBottom w:val="0"/>
      <w:divBdr>
        <w:top w:val="none" w:sz="0" w:space="0" w:color="auto"/>
        <w:left w:val="none" w:sz="0" w:space="0" w:color="auto"/>
        <w:bottom w:val="none" w:sz="0" w:space="0" w:color="auto"/>
        <w:right w:val="none" w:sz="0" w:space="0" w:color="auto"/>
      </w:divBdr>
    </w:div>
    <w:div w:id="337313926">
      <w:bodyDiv w:val="1"/>
      <w:marLeft w:val="0"/>
      <w:marRight w:val="0"/>
      <w:marTop w:val="0"/>
      <w:marBottom w:val="0"/>
      <w:divBdr>
        <w:top w:val="none" w:sz="0" w:space="0" w:color="auto"/>
        <w:left w:val="none" w:sz="0" w:space="0" w:color="auto"/>
        <w:bottom w:val="none" w:sz="0" w:space="0" w:color="auto"/>
        <w:right w:val="none" w:sz="0" w:space="0" w:color="auto"/>
      </w:divBdr>
    </w:div>
    <w:div w:id="605503113">
      <w:bodyDiv w:val="1"/>
      <w:marLeft w:val="0"/>
      <w:marRight w:val="0"/>
      <w:marTop w:val="0"/>
      <w:marBottom w:val="0"/>
      <w:divBdr>
        <w:top w:val="none" w:sz="0" w:space="0" w:color="auto"/>
        <w:left w:val="none" w:sz="0" w:space="0" w:color="auto"/>
        <w:bottom w:val="none" w:sz="0" w:space="0" w:color="auto"/>
        <w:right w:val="none" w:sz="0" w:space="0" w:color="auto"/>
      </w:divBdr>
    </w:div>
    <w:div w:id="734471431">
      <w:bodyDiv w:val="1"/>
      <w:marLeft w:val="0"/>
      <w:marRight w:val="0"/>
      <w:marTop w:val="0"/>
      <w:marBottom w:val="0"/>
      <w:divBdr>
        <w:top w:val="none" w:sz="0" w:space="0" w:color="auto"/>
        <w:left w:val="none" w:sz="0" w:space="0" w:color="auto"/>
        <w:bottom w:val="none" w:sz="0" w:space="0" w:color="auto"/>
        <w:right w:val="none" w:sz="0" w:space="0" w:color="auto"/>
      </w:divBdr>
    </w:div>
    <w:div w:id="872041600">
      <w:bodyDiv w:val="1"/>
      <w:marLeft w:val="0"/>
      <w:marRight w:val="0"/>
      <w:marTop w:val="0"/>
      <w:marBottom w:val="0"/>
      <w:divBdr>
        <w:top w:val="none" w:sz="0" w:space="0" w:color="auto"/>
        <w:left w:val="none" w:sz="0" w:space="0" w:color="auto"/>
        <w:bottom w:val="none" w:sz="0" w:space="0" w:color="auto"/>
        <w:right w:val="none" w:sz="0" w:space="0" w:color="auto"/>
      </w:divBdr>
    </w:div>
    <w:div w:id="878710172">
      <w:bodyDiv w:val="1"/>
      <w:marLeft w:val="0"/>
      <w:marRight w:val="0"/>
      <w:marTop w:val="0"/>
      <w:marBottom w:val="0"/>
      <w:divBdr>
        <w:top w:val="none" w:sz="0" w:space="0" w:color="auto"/>
        <w:left w:val="none" w:sz="0" w:space="0" w:color="auto"/>
        <w:bottom w:val="none" w:sz="0" w:space="0" w:color="auto"/>
        <w:right w:val="none" w:sz="0" w:space="0" w:color="auto"/>
      </w:divBdr>
    </w:div>
    <w:div w:id="973098768">
      <w:bodyDiv w:val="1"/>
      <w:marLeft w:val="0"/>
      <w:marRight w:val="0"/>
      <w:marTop w:val="0"/>
      <w:marBottom w:val="0"/>
      <w:divBdr>
        <w:top w:val="none" w:sz="0" w:space="0" w:color="auto"/>
        <w:left w:val="none" w:sz="0" w:space="0" w:color="auto"/>
        <w:bottom w:val="none" w:sz="0" w:space="0" w:color="auto"/>
        <w:right w:val="none" w:sz="0" w:space="0" w:color="auto"/>
      </w:divBdr>
    </w:div>
    <w:div w:id="1040478894">
      <w:bodyDiv w:val="1"/>
      <w:marLeft w:val="0"/>
      <w:marRight w:val="0"/>
      <w:marTop w:val="0"/>
      <w:marBottom w:val="0"/>
      <w:divBdr>
        <w:top w:val="none" w:sz="0" w:space="0" w:color="auto"/>
        <w:left w:val="none" w:sz="0" w:space="0" w:color="auto"/>
        <w:bottom w:val="none" w:sz="0" w:space="0" w:color="auto"/>
        <w:right w:val="none" w:sz="0" w:space="0" w:color="auto"/>
      </w:divBdr>
    </w:div>
    <w:div w:id="1070611790">
      <w:bodyDiv w:val="1"/>
      <w:marLeft w:val="0"/>
      <w:marRight w:val="0"/>
      <w:marTop w:val="0"/>
      <w:marBottom w:val="0"/>
      <w:divBdr>
        <w:top w:val="none" w:sz="0" w:space="0" w:color="auto"/>
        <w:left w:val="none" w:sz="0" w:space="0" w:color="auto"/>
        <w:bottom w:val="none" w:sz="0" w:space="0" w:color="auto"/>
        <w:right w:val="none" w:sz="0" w:space="0" w:color="auto"/>
      </w:divBdr>
    </w:div>
    <w:div w:id="1128820050">
      <w:bodyDiv w:val="1"/>
      <w:marLeft w:val="0"/>
      <w:marRight w:val="0"/>
      <w:marTop w:val="0"/>
      <w:marBottom w:val="0"/>
      <w:divBdr>
        <w:top w:val="none" w:sz="0" w:space="0" w:color="auto"/>
        <w:left w:val="none" w:sz="0" w:space="0" w:color="auto"/>
        <w:bottom w:val="none" w:sz="0" w:space="0" w:color="auto"/>
        <w:right w:val="none" w:sz="0" w:space="0" w:color="auto"/>
      </w:divBdr>
    </w:div>
    <w:div w:id="1337615852">
      <w:bodyDiv w:val="1"/>
      <w:marLeft w:val="0"/>
      <w:marRight w:val="0"/>
      <w:marTop w:val="0"/>
      <w:marBottom w:val="0"/>
      <w:divBdr>
        <w:top w:val="none" w:sz="0" w:space="0" w:color="auto"/>
        <w:left w:val="none" w:sz="0" w:space="0" w:color="auto"/>
        <w:bottom w:val="none" w:sz="0" w:space="0" w:color="auto"/>
        <w:right w:val="none" w:sz="0" w:space="0" w:color="auto"/>
      </w:divBdr>
    </w:div>
    <w:div w:id="1458140200">
      <w:bodyDiv w:val="1"/>
      <w:marLeft w:val="0"/>
      <w:marRight w:val="0"/>
      <w:marTop w:val="0"/>
      <w:marBottom w:val="0"/>
      <w:divBdr>
        <w:top w:val="none" w:sz="0" w:space="0" w:color="auto"/>
        <w:left w:val="none" w:sz="0" w:space="0" w:color="auto"/>
        <w:bottom w:val="none" w:sz="0" w:space="0" w:color="auto"/>
        <w:right w:val="none" w:sz="0" w:space="0" w:color="auto"/>
      </w:divBdr>
    </w:div>
    <w:div w:id="1574317510">
      <w:bodyDiv w:val="1"/>
      <w:marLeft w:val="0"/>
      <w:marRight w:val="0"/>
      <w:marTop w:val="0"/>
      <w:marBottom w:val="0"/>
      <w:divBdr>
        <w:top w:val="none" w:sz="0" w:space="0" w:color="auto"/>
        <w:left w:val="none" w:sz="0" w:space="0" w:color="auto"/>
        <w:bottom w:val="none" w:sz="0" w:space="0" w:color="auto"/>
        <w:right w:val="none" w:sz="0" w:space="0" w:color="auto"/>
      </w:divBdr>
    </w:div>
    <w:div w:id="1900944248">
      <w:bodyDiv w:val="1"/>
      <w:marLeft w:val="0"/>
      <w:marRight w:val="0"/>
      <w:marTop w:val="0"/>
      <w:marBottom w:val="0"/>
      <w:divBdr>
        <w:top w:val="none" w:sz="0" w:space="0" w:color="auto"/>
        <w:left w:val="none" w:sz="0" w:space="0" w:color="auto"/>
        <w:bottom w:val="none" w:sz="0" w:space="0" w:color="auto"/>
        <w:right w:val="none" w:sz="0" w:space="0" w:color="auto"/>
      </w:divBdr>
    </w:div>
    <w:div w:id="1950355374">
      <w:bodyDiv w:val="1"/>
      <w:marLeft w:val="0"/>
      <w:marRight w:val="0"/>
      <w:marTop w:val="0"/>
      <w:marBottom w:val="0"/>
      <w:divBdr>
        <w:top w:val="none" w:sz="0" w:space="0" w:color="auto"/>
        <w:left w:val="none" w:sz="0" w:space="0" w:color="auto"/>
        <w:bottom w:val="none" w:sz="0" w:space="0" w:color="auto"/>
        <w:right w:val="none" w:sz="0" w:space="0" w:color="auto"/>
      </w:divBdr>
    </w:div>
    <w:div w:id="1973245992">
      <w:bodyDiv w:val="1"/>
      <w:marLeft w:val="0"/>
      <w:marRight w:val="0"/>
      <w:marTop w:val="0"/>
      <w:marBottom w:val="0"/>
      <w:divBdr>
        <w:top w:val="none" w:sz="0" w:space="0" w:color="auto"/>
        <w:left w:val="none" w:sz="0" w:space="0" w:color="auto"/>
        <w:bottom w:val="none" w:sz="0" w:space="0" w:color="auto"/>
        <w:right w:val="none" w:sz="0" w:space="0" w:color="auto"/>
      </w:divBdr>
    </w:div>
    <w:div w:id="2053768015">
      <w:bodyDiv w:val="1"/>
      <w:marLeft w:val="0"/>
      <w:marRight w:val="0"/>
      <w:marTop w:val="0"/>
      <w:marBottom w:val="0"/>
      <w:divBdr>
        <w:top w:val="none" w:sz="0" w:space="0" w:color="auto"/>
        <w:left w:val="none" w:sz="0" w:space="0" w:color="auto"/>
        <w:bottom w:val="none" w:sz="0" w:space="0" w:color="auto"/>
        <w:right w:val="none" w:sz="0" w:space="0" w:color="auto"/>
      </w:divBdr>
    </w:div>
    <w:div w:id="2094741624">
      <w:bodyDiv w:val="1"/>
      <w:marLeft w:val="0"/>
      <w:marRight w:val="0"/>
      <w:marTop w:val="0"/>
      <w:marBottom w:val="0"/>
      <w:divBdr>
        <w:top w:val="none" w:sz="0" w:space="0" w:color="auto"/>
        <w:left w:val="none" w:sz="0" w:space="0" w:color="auto"/>
        <w:bottom w:val="none" w:sz="0" w:space="0" w:color="auto"/>
        <w:right w:val="none" w:sz="0" w:space="0" w:color="auto"/>
      </w:divBdr>
    </w:div>
    <w:div w:id="2109347272">
      <w:bodyDiv w:val="1"/>
      <w:marLeft w:val="0"/>
      <w:marRight w:val="0"/>
      <w:marTop w:val="0"/>
      <w:marBottom w:val="0"/>
      <w:divBdr>
        <w:top w:val="none" w:sz="0" w:space="0" w:color="auto"/>
        <w:left w:val="none" w:sz="0" w:space="0" w:color="auto"/>
        <w:bottom w:val="none" w:sz="0" w:space="0" w:color="auto"/>
        <w:right w:val="none" w:sz="0" w:space="0" w:color="auto"/>
      </w:divBdr>
    </w:div>
    <w:div w:id="213844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ndm.gov.on.ca/en/mines-and-minerals/mlas/directive5-4-submit-pending-distribution" TargetMode="External"/><Relationship Id="rId18" Type="http://schemas.openxmlformats.org/officeDocument/2006/relationships/image" Target="media/image4.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hyperlink" Target="https://www.mndm.gov.on.ca/en/mines-and-minerals/mlas/directive5-7-distribute-approved-credits" TargetMode="External"/><Relationship Id="rId17" Type="http://schemas.openxmlformats.org/officeDocument/2006/relationships/image" Target="media/image3.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mndm.gov.on.ca/en/mines-and-minerals/mlas/directive5-6-payment-in-place-for-new-claim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ndm.gov.on.ca/en/mines-and-minerals/mlas/directive5-4-revise-pending-distribution" TargetMode="External"/><Relationship Id="rId22" Type="http://schemas.openxmlformats.org/officeDocument/2006/relationships/image" Target="media/image8.jpe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ntario.ca/laws/regulation/180065" TargetMode="External"/><Relationship Id="rId1" Type="http://schemas.openxmlformats.org/officeDocument/2006/relationships/hyperlink" Target="https://www.ontario.ca/laws/statute/90m14"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AE639A25A41499B2EB88132C11E97" ma:contentTypeVersion="12" ma:contentTypeDescription="Create a new document." ma:contentTypeScope="" ma:versionID="18068253be947f06b9d040b8c306354b">
  <xsd:schema xmlns:xsd="http://www.w3.org/2001/XMLSchema" xmlns:xs="http://www.w3.org/2001/XMLSchema" xmlns:p="http://schemas.microsoft.com/office/2006/metadata/properties" xmlns:ns3="9d05bc67-33e7-45fa-bdd0-1eed3678b005" xmlns:ns4="e65c8633-95e1-4d18-9ccd-1b5af635d791" targetNamespace="http://schemas.microsoft.com/office/2006/metadata/properties" ma:root="true" ma:fieldsID="976fe88f36620c502d5cacd0fd544e8c" ns3:_="" ns4:_="">
    <xsd:import namespace="9d05bc67-33e7-45fa-bdd0-1eed3678b005"/>
    <xsd:import namespace="e65c8633-95e1-4d18-9ccd-1b5af635d7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5bc67-33e7-45fa-bdd0-1eed3678b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5c8633-95e1-4d18-9ccd-1b5af635d79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2D179-D788-4308-9A4E-A0EA9CF1B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5bc67-33e7-45fa-bdd0-1eed3678b005"/>
    <ds:schemaRef ds:uri="e65c8633-95e1-4d18-9ccd-1b5af635d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7E709-71AA-40CC-9360-68477D0AAB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2ABF39-88F8-4662-83B9-25467003FC04}">
  <ds:schemaRefs>
    <ds:schemaRef ds:uri="http://schemas.microsoft.com/sharepoint/v3/contenttype/forms"/>
  </ds:schemaRefs>
</ds:datastoreItem>
</file>

<file path=customXml/itemProps4.xml><?xml version="1.0" encoding="utf-8"?>
<ds:datastoreItem xmlns:ds="http://schemas.openxmlformats.org/officeDocument/2006/customXml" ds:itemID="{E91B1546-0550-4F73-BBCB-15EFAA7C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Gordey, Erin (MNDM)</dc:creator>
  <cp:keywords/>
  <dc:description/>
  <cp:lastModifiedBy>Fortin, Sophie (ENDM)</cp:lastModifiedBy>
  <cp:revision>22</cp:revision>
  <cp:lastPrinted>2019-10-17T13:15:00Z</cp:lastPrinted>
  <dcterms:created xsi:type="dcterms:W3CDTF">2021-12-21T22:24:00Z</dcterms:created>
  <dcterms:modified xsi:type="dcterms:W3CDTF">2022-07-13T20:12:00Z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0x01010071FAE639A25A41499B2EB88132C11E97</vt:lpwstr>
  </property>
  <property fmtid="{D5CDD505-2E9C-101B-9397-08002B2CF9AE}" pid="3" name="MSIP_Label_034a106e-6316-442c-ad35-738afd673d2b_Enabled">
    <vt:lpwstr>true</vt:lpwstr>
  </property>
  <property fmtid="{D5CDD505-2E9C-101B-9397-08002B2CF9AE}" pid="4" name="MSIP_Label_034a106e-6316-442c-ad35-738afd673d2b_SetDate">
    <vt:lpwstr>2021-09-02T12:58:44Z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