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DB09" w14:textId="42357C08" w:rsidR="00591F1C" w:rsidRDefault="00733BBF" w:rsidP="00591F1C">
      <w:pPr>
        <w:pStyle w:val="Heading1"/>
        <w:rPr>
          <w:lang w:val="en-US"/>
        </w:rPr>
      </w:pPr>
      <w:proofErr w:type="spellStart"/>
      <w:r w:rsidRPr="00733BBF">
        <w:rPr>
          <w:lang w:val="en-US"/>
        </w:rPr>
        <w:t>Annexe</w:t>
      </w:r>
      <w:proofErr w:type="spellEnd"/>
      <w:r w:rsidRPr="00733BBF">
        <w:rPr>
          <w:lang w:val="en-US"/>
        </w:rPr>
        <w:t xml:space="preserve"> </w:t>
      </w:r>
      <w:proofErr w:type="gramStart"/>
      <w:r w:rsidRPr="00733BBF">
        <w:rPr>
          <w:lang w:val="en-US"/>
        </w:rPr>
        <w:t>2 :</w:t>
      </w:r>
      <w:proofErr w:type="gramEnd"/>
      <w:r w:rsidRPr="00733BBF">
        <w:rPr>
          <w:lang w:val="en-US"/>
        </w:rPr>
        <w:t xml:space="preserve"> Modifications </w:t>
      </w:r>
      <w:proofErr w:type="spellStart"/>
      <w:r w:rsidRPr="00733BBF">
        <w:rPr>
          <w:lang w:val="en-US"/>
        </w:rPr>
        <w:t>proposées</w:t>
      </w:r>
      <w:proofErr w:type="spellEnd"/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591F1C" w:rsidRPr="00AB08CE" w14:paraId="77C4D9EC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8CC3" w14:textId="244F9DBE" w:rsidR="00591F1C" w:rsidRPr="00AB08CE" w:rsidRDefault="00733BBF" w:rsidP="00E16C2A">
            <w:pPr>
              <w:rPr>
                <w:b/>
                <w:bCs/>
              </w:rPr>
            </w:pPr>
            <w:proofErr w:type="spellStart"/>
            <w:r w:rsidRPr="00733BBF">
              <w:rPr>
                <w:b/>
                <w:bCs/>
              </w:rPr>
              <w:t>Amendement</w:t>
            </w:r>
            <w:proofErr w:type="spellEnd"/>
            <w:r w:rsidRPr="00733BBF">
              <w:rPr>
                <w:b/>
                <w:bCs/>
              </w:rPr>
              <w:t xml:space="preserve"> </w:t>
            </w:r>
            <w:proofErr w:type="spellStart"/>
            <w:r w:rsidRPr="00733BBF">
              <w:rPr>
                <w:b/>
                <w:bCs/>
              </w:rPr>
              <w:t>proposé</w:t>
            </w:r>
            <w:proofErr w:type="spellEnd"/>
          </w:p>
        </w:tc>
      </w:tr>
      <w:tr w:rsidR="00591F1C" w:rsidRPr="00AB08CE" w14:paraId="6B4BD5DA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1EB4" w14:textId="05958A78" w:rsidR="00591F1C" w:rsidRPr="00AB08CE" w:rsidRDefault="00733BBF" w:rsidP="00591F1C">
            <w:pPr>
              <w:numPr>
                <w:ilvl w:val="0"/>
                <w:numId w:val="1"/>
              </w:numPr>
              <w:spacing w:after="0"/>
              <w:contextualSpacing/>
            </w:pPr>
            <w:proofErr w:type="spellStart"/>
            <w:r w:rsidRPr="00733BBF">
              <w:t>Élargir</w:t>
            </w:r>
            <w:proofErr w:type="spellEnd"/>
            <w:r w:rsidRPr="00733BBF">
              <w:t xml:space="preserve"> la </w:t>
            </w:r>
            <w:proofErr w:type="spellStart"/>
            <w:r w:rsidRPr="00733BBF">
              <w:t>liste</w:t>
            </w:r>
            <w:proofErr w:type="spellEnd"/>
            <w:r w:rsidRPr="00733BBF">
              <w:t xml:space="preserve"> des </w:t>
            </w:r>
            <w:proofErr w:type="spellStart"/>
            <w:r w:rsidRPr="00733BBF">
              <w:t>municipalités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concernées</w:t>
            </w:r>
            <w:proofErr w:type="spellEnd"/>
            <w:r w:rsidRPr="00733BBF">
              <w:t xml:space="preserve"> pour y </w:t>
            </w:r>
            <w:proofErr w:type="spellStart"/>
            <w:r w:rsidRPr="00733BBF">
              <w:t>inclure</w:t>
            </w:r>
            <w:proofErr w:type="spellEnd"/>
            <w:r w:rsidRPr="00733BBF">
              <w:t xml:space="preserve"> 21 </w:t>
            </w:r>
            <w:proofErr w:type="spellStart"/>
            <w:r w:rsidRPr="00733BBF">
              <w:t>nouvelles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municipalités</w:t>
            </w:r>
            <w:proofErr w:type="spellEnd"/>
            <w:r w:rsidRPr="00733BBF">
              <w:t xml:space="preserve">. </w:t>
            </w:r>
            <w:proofErr w:type="spellStart"/>
            <w:r w:rsidRPr="00733BBF">
              <w:t>Voir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l’annexe</w:t>
            </w:r>
            <w:proofErr w:type="spellEnd"/>
            <w:r w:rsidRPr="00733BBF">
              <w:t xml:space="preserve"> 1 pour </w:t>
            </w:r>
            <w:proofErr w:type="spellStart"/>
            <w:r w:rsidRPr="00733BBF">
              <w:t>une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liste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complète</w:t>
            </w:r>
            <w:proofErr w:type="spellEnd"/>
            <w:r w:rsidRPr="00733BBF">
              <w:t>.</w:t>
            </w:r>
          </w:p>
        </w:tc>
      </w:tr>
      <w:tr w:rsidR="00591F1C" w:rsidRPr="00AB08CE" w14:paraId="63208D6E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ECB4" w14:textId="6FCF56C4" w:rsidR="00591F1C" w:rsidRPr="00AB08CE" w:rsidRDefault="00733BBF" w:rsidP="00591F1C">
            <w:pPr>
              <w:numPr>
                <w:ilvl w:val="0"/>
                <w:numId w:val="1"/>
              </w:numPr>
              <w:spacing w:after="0"/>
              <w:contextualSpacing/>
            </w:pPr>
            <w:proofErr w:type="spellStart"/>
            <w:r w:rsidRPr="00733BBF">
              <w:t>Exiger</w:t>
            </w:r>
            <w:proofErr w:type="spellEnd"/>
            <w:r w:rsidRPr="00733BBF">
              <w:t xml:space="preserve"> des </w:t>
            </w:r>
            <w:proofErr w:type="spellStart"/>
            <w:r w:rsidRPr="00733BBF">
              <w:t>municipalités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qu’elles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indiquent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quand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une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demande</w:t>
            </w:r>
            <w:proofErr w:type="spellEnd"/>
            <w:r w:rsidRPr="00733BBF">
              <w:t xml:space="preserve"> a </w:t>
            </w:r>
            <w:proofErr w:type="spellStart"/>
            <w:r w:rsidRPr="00733BBF">
              <w:t>été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retirée</w:t>
            </w:r>
            <w:proofErr w:type="spellEnd"/>
            <w:r w:rsidRPr="00733BBF">
              <w:t>.</w:t>
            </w:r>
          </w:p>
        </w:tc>
      </w:tr>
      <w:tr w:rsidR="00591F1C" w:rsidRPr="00AB08CE" w14:paraId="618EA3D2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9F35" w14:textId="1C463441" w:rsidR="00591F1C" w:rsidRPr="00AB08CE" w:rsidRDefault="00733BBF" w:rsidP="00591F1C">
            <w:pPr>
              <w:numPr>
                <w:ilvl w:val="0"/>
                <w:numId w:val="1"/>
              </w:numPr>
              <w:spacing w:after="0"/>
              <w:contextualSpacing/>
            </w:pPr>
            <w:r w:rsidRPr="00733BBF">
              <w:t xml:space="preserve">Faire de </w:t>
            </w:r>
            <w:proofErr w:type="spellStart"/>
            <w:r w:rsidRPr="00733BBF">
              <w:t>l’enregistrement</w:t>
            </w:r>
            <w:proofErr w:type="spellEnd"/>
            <w:r w:rsidRPr="00733BBF">
              <w:t xml:space="preserve"> d’un plan de </w:t>
            </w:r>
            <w:proofErr w:type="spellStart"/>
            <w:r w:rsidRPr="00733BBF">
              <w:t>lotissement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une</w:t>
            </w:r>
            <w:proofErr w:type="spellEnd"/>
            <w:r w:rsidRPr="00733BBF">
              <w:t xml:space="preserve"> « </w:t>
            </w:r>
            <w:proofErr w:type="spellStart"/>
            <w:r w:rsidRPr="00733BBF">
              <w:t>mesure</w:t>
            </w:r>
            <w:proofErr w:type="spellEnd"/>
            <w:r w:rsidRPr="00733BBF">
              <w:t xml:space="preserve"> à signaler ». </w:t>
            </w:r>
            <w:proofErr w:type="spellStart"/>
            <w:r w:rsidRPr="00733BBF">
              <w:t>Actuellement</w:t>
            </w:r>
            <w:proofErr w:type="spellEnd"/>
            <w:r w:rsidRPr="00733BBF">
              <w:t xml:space="preserve">, </w:t>
            </w:r>
            <w:proofErr w:type="spellStart"/>
            <w:r w:rsidRPr="00733BBF">
              <w:t>seules</w:t>
            </w:r>
            <w:proofErr w:type="spellEnd"/>
            <w:r w:rsidRPr="00733BBF">
              <w:t xml:space="preserve"> les </w:t>
            </w:r>
            <w:proofErr w:type="spellStart"/>
            <w:r w:rsidRPr="00733BBF">
              <w:t>demandes</w:t>
            </w:r>
            <w:proofErr w:type="spellEnd"/>
            <w:r w:rsidRPr="00733BBF">
              <w:t xml:space="preserve"> qui </w:t>
            </w:r>
            <w:proofErr w:type="spellStart"/>
            <w:r w:rsidRPr="00733BBF">
              <w:t>sont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soumises</w:t>
            </w:r>
            <w:proofErr w:type="spellEnd"/>
            <w:r w:rsidRPr="00733BBF">
              <w:t xml:space="preserve">, </w:t>
            </w:r>
            <w:proofErr w:type="spellStart"/>
            <w:r w:rsidRPr="00733BBF">
              <w:t>décidées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ou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contestées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doivent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être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signalées</w:t>
            </w:r>
            <w:proofErr w:type="spellEnd"/>
            <w:r w:rsidRPr="00733BBF">
              <w:t xml:space="preserve">. </w:t>
            </w:r>
            <w:proofErr w:type="spellStart"/>
            <w:r w:rsidRPr="00733BBF">
              <w:t>Cela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ferait</w:t>
            </w:r>
            <w:proofErr w:type="spellEnd"/>
            <w:r w:rsidRPr="00733BBF">
              <w:t xml:space="preserve"> de </w:t>
            </w:r>
            <w:proofErr w:type="spellStart"/>
            <w:r w:rsidRPr="00733BBF">
              <w:t>l’enregistrement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une</w:t>
            </w:r>
            <w:proofErr w:type="spellEnd"/>
            <w:r w:rsidRPr="00733BBF">
              <w:t xml:space="preserve"> « </w:t>
            </w:r>
            <w:proofErr w:type="spellStart"/>
            <w:r w:rsidRPr="00733BBF">
              <w:t>mesure</w:t>
            </w:r>
            <w:proofErr w:type="spellEnd"/>
            <w:r w:rsidRPr="00733BBF">
              <w:t xml:space="preserve"> à signaler ».</w:t>
            </w:r>
          </w:p>
        </w:tc>
      </w:tr>
      <w:tr w:rsidR="00591F1C" w:rsidRPr="00AB08CE" w14:paraId="1558A9E2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9AF6" w14:textId="5022B623" w:rsidR="00591F1C" w:rsidRPr="00AB08CE" w:rsidRDefault="00733BBF" w:rsidP="00591F1C">
            <w:pPr>
              <w:numPr>
                <w:ilvl w:val="0"/>
                <w:numId w:val="1"/>
              </w:numPr>
              <w:spacing w:after="0"/>
              <w:contextualSpacing/>
            </w:pPr>
            <w:r w:rsidRPr="00733BBF">
              <w:t xml:space="preserve">Faire de </w:t>
            </w:r>
            <w:proofErr w:type="spellStart"/>
            <w:r w:rsidRPr="00733BBF">
              <w:t>l’enregistrement</w:t>
            </w:r>
            <w:proofErr w:type="spellEnd"/>
            <w:r w:rsidRPr="00733BBF">
              <w:t xml:space="preserve"> d’un plan de </w:t>
            </w:r>
            <w:proofErr w:type="spellStart"/>
            <w:r w:rsidRPr="00733BBF">
              <w:t>copropriété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une</w:t>
            </w:r>
            <w:proofErr w:type="spellEnd"/>
            <w:r w:rsidRPr="00733BBF">
              <w:t xml:space="preserve"> « </w:t>
            </w:r>
            <w:proofErr w:type="spellStart"/>
            <w:r w:rsidRPr="00733BBF">
              <w:t>mesure</w:t>
            </w:r>
            <w:proofErr w:type="spellEnd"/>
            <w:r w:rsidRPr="00733BBF">
              <w:t xml:space="preserve"> à signaler ». </w:t>
            </w:r>
            <w:proofErr w:type="spellStart"/>
            <w:r w:rsidRPr="00733BBF">
              <w:t>Actuellement</w:t>
            </w:r>
            <w:proofErr w:type="spellEnd"/>
            <w:r w:rsidRPr="00733BBF">
              <w:t xml:space="preserve">, </w:t>
            </w:r>
            <w:proofErr w:type="spellStart"/>
            <w:r w:rsidRPr="00733BBF">
              <w:t>seules</w:t>
            </w:r>
            <w:proofErr w:type="spellEnd"/>
            <w:r w:rsidRPr="00733BBF">
              <w:t xml:space="preserve"> les </w:t>
            </w:r>
            <w:proofErr w:type="spellStart"/>
            <w:r w:rsidRPr="00733BBF">
              <w:t>demandes</w:t>
            </w:r>
            <w:proofErr w:type="spellEnd"/>
            <w:r w:rsidRPr="00733BBF">
              <w:t xml:space="preserve"> qui </w:t>
            </w:r>
            <w:proofErr w:type="spellStart"/>
            <w:r w:rsidRPr="00733BBF">
              <w:t>sont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soumises</w:t>
            </w:r>
            <w:proofErr w:type="spellEnd"/>
            <w:r w:rsidRPr="00733BBF">
              <w:t xml:space="preserve">, </w:t>
            </w:r>
            <w:proofErr w:type="spellStart"/>
            <w:r w:rsidRPr="00733BBF">
              <w:t>décidées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ou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portées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en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appel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doivent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être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signalées</w:t>
            </w:r>
            <w:proofErr w:type="spellEnd"/>
            <w:r w:rsidRPr="00733BBF">
              <w:t xml:space="preserve">. </w:t>
            </w:r>
            <w:proofErr w:type="spellStart"/>
            <w:r w:rsidRPr="00733BBF">
              <w:t>Cela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ferait</w:t>
            </w:r>
            <w:proofErr w:type="spellEnd"/>
            <w:r w:rsidRPr="00733BBF">
              <w:t xml:space="preserve"> de </w:t>
            </w:r>
            <w:proofErr w:type="spellStart"/>
            <w:r w:rsidRPr="00733BBF">
              <w:t>l’enregistrement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une</w:t>
            </w:r>
            <w:proofErr w:type="spellEnd"/>
            <w:r w:rsidRPr="00733BBF">
              <w:t xml:space="preserve"> « </w:t>
            </w:r>
            <w:proofErr w:type="spellStart"/>
            <w:r w:rsidRPr="00733BBF">
              <w:t>mesure</w:t>
            </w:r>
            <w:proofErr w:type="spellEnd"/>
            <w:r w:rsidRPr="00733BBF">
              <w:t xml:space="preserve"> à signaler ».</w:t>
            </w:r>
          </w:p>
        </w:tc>
      </w:tr>
      <w:tr w:rsidR="00591F1C" w:rsidRPr="00AB08CE" w14:paraId="35624181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6C4" w14:textId="59523790" w:rsidR="00591F1C" w:rsidRPr="00AB08CE" w:rsidRDefault="00733BBF" w:rsidP="00591F1C">
            <w:pPr>
              <w:numPr>
                <w:ilvl w:val="0"/>
                <w:numId w:val="1"/>
              </w:numPr>
              <w:spacing w:after="0"/>
              <w:contextualSpacing/>
            </w:pPr>
            <w:r w:rsidRPr="00733BBF">
              <w:t xml:space="preserve">Pour les </w:t>
            </w:r>
            <w:proofErr w:type="spellStart"/>
            <w:r w:rsidRPr="00733BBF">
              <w:t>demandes</w:t>
            </w:r>
            <w:proofErr w:type="spellEnd"/>
            <w:r w:rsidRPr="00733BBF">
              <w:t xml:space="preserve"> de modification du plan </w:t>
            </w:r>
            <w:proofErr w:type="spellStart"/>
            <w:r w:rsidRPr="00733BBF">
              <w:t>officiel</w:t>
            </w:r>
            <w:proofErr w:type="spellEnd"/>
            <w:r w:rsidRPr="00733BBF">
              <w:t xml:space="preserve">, de modification du </w:t>
            </w:r>
            <w:proofErr w:type="spellStart"/>
            <w:r w:rsidRPr="00733BBF">
              <w:t>règlement</w:t>
            </w:r>
            <w:proofErr w:type="spellEnd"/>
            <w:r w:rsidRPr="00733BBF">
              <w:t xml:space="preserve"> de </w:t>
            </w:r>
            <w:proofErr w:type="spellStart"/>
            <w:r w:rsidRPr="00733BBF">
              <w:t>zonage</w:t>
            </w:r>
            <w:proofErr w:type="spellEnd"/>
            <w:r w:rsidRPr="00733BBF">
              <w:t xml:space="preserve">, de plan </w:t>
            </w:r>
            <w:proofErr w:type="spellStart"/>
            <w:r w:rsidRPr="00733BBF">
              <w:t>d'implantation</w:t>
            </w:r>
            <w:proofErr w:type="spellEnd"/>
            <w:r w:rsidRPr="00733BBF">
              <w:t xml:space="preserve"> et de </w:t>
            </w:r>
            <w:proofErr w:type="spellStart"/>
            <w:r w:rsidRPr="00733BBF">
              <w:t>dérogation</w:t>
            </w:r>
            <w:proofErr w:type="spellEnd"/>
            <w:r w:rsidRPr="00733BBF">
              <w:t xml:space="preserve"> </w:t>
            </w:r>
            <w:proofErr w:type="spellStart"/>
            <w:proofErr w:type="gramStart"/>
            <w:r w:rsidRPr="00733BBF">
              <w:t>mineure</w:t>
            </w:r>
            <w:proofErr w:type="spellEnd"/>
            <w:r w:rsidRPr="00733BBF">
              <w:t xml:space="preserve"> :</w:t>
            </w:r>
            <w:proofErr w:type="gramEnd"/>
            <w:r w:rsidRPr="00733BBF">
              <w:t xml:space="preserve"> </w:t>
            </w:r>
            <w:proofErr w:type="spellStart"/>
            <w:r w:rsidRPr="00733BBF">
              <w:t>si</w:t>
            </w:r>
            <w:proofErr w:type="spellEnd"/>
            <w:r w:rsidRPr="00733BBF">
              <w:t xml:space="preserve"> la </w:t>
            </w:r>
            <w:proofErr w:type="spellStart"/>
            <w:r w:rsidRPr="00733BBF">
              <w:t>demande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comprenait</w:t>
            </w:r>
            <w:proofErr w:type="spellEnd"/>
            <w:r w:rsidRPr="00733BBF">
              <w:t xml:space="preserve"> un </w:t>
            </w:r>
            <w:proofErr w:type="spellStart"/>
            <w:r w:rsidRPr="00733BBF">
              <w:t>nombre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suggéré</w:t>
            </w:r>
            <w:proofErr w:type="spellEnd"/>
            <w:r w:rsidRPr="00733BBF">
              <w:t xml:space="preserve"> de futures </w:t>
            </w:r>
            <w:proofErr w:type="spellStart"/>
            <w:r w:rsidRPr="00733BBF">
              <w:t>unités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résidentielles</w:t>
            </w:r>
            <w:proofErr w:type="spellEnd"/>
            <w:r w:rsidRPr="00733BBF">
              <w:t xml:space="preserve"> qui </w:t>
            </w:r>
            <w:proofErr w:type="spellStart"/>
            <w:r w:rsidRPr="00733BBF">
              <w:t>seraient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activées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si</w:t>
            </w:r>
            <w:proofErr w:type="spellEnd"/>
            <w:r w:rsidRPr="00733BBF">
              <w:t xml:space="preserve"> la </w:t>
            </w:r>
            <w:proofErr w:type="spellStart"/>
            <w:r w:rsidRPr="00733BBF">
              <w:t>demande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était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approuvée</w:t>
            </w:r>
            <w:proofErr w:type="spellEnd"/>
            <w:r w:rsidRPr="00733BBF">
              <w:t xml:space="preserve">, le </w:t>
            </w:r>
            <w:proofErr w:type="spellStart"/>
            <w:r w:rsidRPr="00733BBF">
              <w:t>nombre</w:t>
            </w:r>
            <w:proofErr w:type="spellEnd"/>
            <w:r w:rsidRPr="00733BBF">
              <w:t xml:space="preserve"> de futures </w:t>
            </w:r>
            <w:proofErr w:type="spellStart"/>
            <w:r w:rsidRPr="00733BBF">
              <w:t>unités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résidentielles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suggérées</w:t>
            </w:r>
            <w:proofErr w:type="spellEnd"/>
            <w:r w:rsidRPr="00733BBF">
              <w:t>.</w:t>
            </w:r>
          </w:p>
        </w:tc>
      </w:tr>
      <w:tr w:rsidR="00591F1C" w:rsidRPr="00AB08CE" w14:paraId="5CEA8DA4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4BD5" w14:textId="1CB85B1F" w:rsidR="00733BBF" w:rsidRPr="00733BBF" w:rsidRDefault="00733BBF" w:rsidP="00733B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Times New Roman"/>
              </w:rPr>
            </w:pPr>
            <w:proofErr w:type="spellStart"/>
            <w:r w:rsidRPr="00733BBF">
              <w:rPr>
                <w:rFonts w:ascii="Arial" w:eastAsia="Arial" w:hAnsi="Arial" w:cs="Times New Roman"/>
              </w:rPr>
              <w:t>Exiger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municipalités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qu'elles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fournissent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un tableau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récapitulatif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pour </w:t>
            </w:r>
            <w:proofErr w:type="spellStart"/>
            <w:r w:rsidRPr="00733BBF">
              <w:rPr>
                <w:rFonts w:ascii="Arial" w:eastAsia="Arial" w:hAnsi="Arial" w:cs="Times New Roman"/>
              </w:rPr>
              <w:t>chaque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type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permis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construire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avec </w:t>
            </w:r>
            <w:proofErr w:type="spellStart"/>
            <w:r w:rsidRPr="00733BBF">
              <w:rPr>
                <w:rFonts w:ascii="Arial" w:eastAsia="Arial" w:hAnsi="Arial" w:cs="Times New Roman"/>
              </w:rPr>
              <w:t>leurs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rapports </w:t>
            </w:r>
            <w:proofErr w:type="spellStart"/>
            <w:r w:rsidRPr="00733BBF">
              <w:rPr>
                <w:rFonts w:ascii="Arial" w:eastAsia="Arial" w:hAnsi="Arial" w:cs="Times New Roman"/>
              </w:rPr>
              <w:t>trimestriels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. Le tableau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devrait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être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accessible au public pendant </w:t>
            </w:r>
            <w:proofErr w:type="spellStart"/>
            <w:r w:rsidRPr="00733BBF">
              <w:rPr>
                <w:rFonts w:ascii="Arial" w:eastAsia="Arial" w:hAnsi="Arial" w:cs="Times New Roman"/>
              </w:rPr>
              <w:t>une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période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cinq ans. Le tableau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comprendra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les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éléments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proofErr w:type="gramStart"/>
            <w:r w:rsidRPr="00733BBF">
              <w:rPr>
                <w:rFonts w:ascii="Arial" w:eastAsia="Arial" w:hAnsi="Arial" w:cs="Times New Roman"/>
              </w:rPr>
              <w:t>suivants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:</w:t>
            </w:r>
            <w:proofErr w:type="gramEnd"/>
          </w:p>
          <w:p w14:paraId="3CA4FEAC" w14:textId="2671C91B" w:rsidR="00733BBF" w:rsidRPr="00733BBF" w:rsidRDefault="00733BBF" w:rsidP="00733B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Times New Roman"/>
              </w:rPr>
            </w:pPr>
            <w:r w:rsidRPr="00733BBF">
              <w:rPr>
                <w:rFonts w:ascii="Arial" w:eastAsia="Arial" w:hAnsi="Arial" w:cs="Times New Roman"/>
              </w:rPr>
              <w:t xml:space="preserve">Le </w:t>
            </w:r>
            <w:proofErr w:type="spellStart"/>
            <w:r w:rsidRPr="00733BBF">
              <w:rPr>
                <w:rFonts w:ascii="Arial" w:eastAsia="Arial" w:hAnsi="Arial" w:cs="Times New Roman"/>
              </w:rPr>
              <w:t>nombre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total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actives, y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compris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une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la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entre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chaque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instrument de planification.</w:t>
            </w:r>
          </w:p>
          <w:p w14:paraId="20CAF397" w14:textId="3559A9E2" w:rsidR="00733BBF" w:rsidRPr="00733BBF" w:rsidRDefault="00733BBF" w:rsidP="00733B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Times New Roman"/>
              </w:rPr>
            </w:pPr>
            <w:r w:rsidRPr="00733BBF">
              <w:rPr>
                <w:rFonts w:ascii="Arial" w:eastAsia="Arial" w:hAnsi="Arial" w:cs="Times New Roman"/>
              </w:rPr>
              <w:t xml:space="preserve">Le </w:t>
            </w:r>
            <w:proofErr w:type="spellStart"/>
            <w:r w:rsidRPr="00733BBF">
              <w:rPr>
                <w:rFonts w:ascii="Arial" w:eastAsia="Arial" w:hAnsi="Arial" w:cs="Times New Roman"/>
              </w:rPr>
              <w:t>nombre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total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nouvelles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, y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compris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une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la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entre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chaque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instrument de planification.</w:t>
            </w:r>
          </w:p>
          <w:p w14:paraId="24EF98EF" w14:textId="34F782EC" w:rsidR="00733BBF" w:rsidRPr="00733BBF" w:rsidRDefault="00733BBF" w:rsidP="00733B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Times New Roman"/>
              </w:rPr>
            </w:pPr>
            <w:r w:rsidRPr="00733BBF">
              <w:rPr>
                <w:rFonts w:ascii="Arial" w:eastAsia="Arial" w:hAnsi="Arial" w:cs="Times New Roman"/>
              </w:rPr>
              <w:t xml:space="preserve">Le </w:t>
            </w:r>
            <w:proofErr w:type="spellStart"/>
            <w:r w:rsidRPr="00733BBF">
              <w:rPr>
                <w:rFonts w:ascii="Arial" w:eastAsia="Arial" w:hAnsi="Arial" w:cs="Times New Roman"/>
              </w:rPr>
              <w:t>nombre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total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tranchées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, y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compris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une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la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entre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chaque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instrument de planification.</w:t>
            </w:r>
          </w:p>
          <w:p w14:paraId="16CAE1B1" w14:textId="1CCCF4FF" w:rsidR="00733BBF" w:rsidRPr="00733BBF" w:rsidRDefault="00733BBF" w:rsidP="00733B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Times New Roman"/>
              </w:rPr>
            </w:pPr>
            <w:r w:rsidRPr="00733BBF">
              <w:rPr>
                <w:rFonts w:ascii="Arial" w:eastAsia="Arial" w:hAnsi="Arial" w:cs="Times New Roman"/>
              </w:rPr>
              <w:t xml:space="preserve">Le </w:t>
            </w:r>
            <w:proofErr w:type="spellStart"/>
            <w:r w:rsidRPr="00733BBF">
              <w:rPr>
                <w:rFonts w:ascii="Arial" w:eastAsia="Arial" w:hAnsi="Arial" w:cs="Times New Roman"/>
              </w:rPr>
              <w:t>nombre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total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faisant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l'objet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d'un </w:t>
            </w:r>
            <w:proofErr w:type="spellStart"/>
            <w:r w:rsidRPr="00733BBF">
              <w:rPr>
                <w:rFonts w:ascii="Arial" w:eastAsia="Arial" w:hAnsi="Arial" w:cs="Times New Roman"/>
              </w:rPr>
              <w:t>appel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, y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compris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une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la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entre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chaque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instrument de planification.</w:t>
            </w:r>
          </w:p>
          <w:p w14:paraId="0041071D" w14:textId="7C4946EB" w:rsidR="00733BBF" w:rsidRPr="00733BBF" w:rsidRDefault="00733BBF" w:rsidP="00733B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Times New Roman"/>
              </w:rPr>
            </w:pPr>
            <w:r w:rsidRPr="00733BBF">
              <w:rPr>
                <w:rFonts w:ascii="Arial" w:eastAsia="Arial" w:hAnsi="Arial" w:cs="Times New Roman"/>
              </w:rPr>
              <w:t xml:space="preserve">Le </w:t>
            </w:r>
            <w:proofErr w:type="spellStart"/>
            <w:r w:rsidRPr="00733BBF">
              <w:rPr>
                <w:rFonts w:ascii="Arial" w:eastAsia="Arial" w:hAnsi="Arial" w:cs="Times New Roman"/>
              </w:rPr>
              <w:t>nombre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total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retirées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, y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compris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une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la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entre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chaque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instrument de planification.</w:t>
            </w:r>
          </w:p>
          <w:p w14:paraId="59BAA5C5" w14:textId="3CC67D90" w:rsidR="00733BBF" w:rsidRPr="00733BBF" w:rsidRDefault="00733BBF" w:rsidP="00733B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Times New Roman"/>
              </w:rPr>
            </w:pPr>
            <w:r w:rsidRPr="00733BBF">
              <w:rPr>
                <w:rFonts w:ascii="Arial" w:eastAsia="Arial" w:hAnsi="Arial" w:cs="Times New Roman"/>
              </w:rPr>
              <w:t xml:space="preserve">Le </w:t>
            </w:r>
            <w:proofErr w:type="spellStart"/>
            <w:r w:rsidRPr="00733BBF">
              <w:rPr>
                <w:rFonts w:ascii="Arial" w:eastAsia="Arial" w:hAnsi="Arial" w:cs="Times New Roman"/>
              </w:rPr>
              <w:t>pourcentage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du total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tranchées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au-</w:t>
            </w:r>
            <w:proofErr w:type="spellStart"/>
            <w:r w:rsidRPr="00733BBF">
              <w:rPr>
                <w:rFonts w:ascii="Arial" w:eastAsia="Arial" w:hAnsi="Arial" w:cs="Times New Roman"/>
              </w:rPr>
              <w:t>delà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délais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légaux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applicables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, y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compris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une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la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répartition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entre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chaque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instrument de planification.</w:t>
            </w:r>
          </w:p>
          <w:p w14:paraId="68766649" w14:textId="63B63C22" w:rsidR="00733BBF" w:rsidRPr="00733BBF" w:rsidRDefault="00733BBF" w:rsidP="00733B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Times New Roman"/>
              </w:rPr>
            </w:pPr>
            <w:r w:rsidRPr="00733BBF">
              <w:rPr>
                <w:rFonts w:ascii="Arial" w:eastAsia="Arial" w:hAnsi="Arial" w:cs="Times New Roman"/>
              </w:rPr>
              <w:t xml:space="preserve">Le </w:t>
            </w:r>
            <w:proofErr w:type="spellStart"/>
            <w:r w:rsidRPr="00733BBF">
              <w:rPr>
                <w:rFonts w:ascii="Arial" w:eastAsia="Arial" w:hAnsi="Arial" w:cs="Times New Roman"/>
              </w:rPr>
              <w:t>nombre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total de nouveaux lots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résidentiels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et </w:t>
            </w:r>
            <w:proofErr w:type="spellStart"/>
            <w:r w:rsidRPr="00733BBF">
              <w:rPr>
                <w:rFonts w:ascii="Arial" w:eastAsia="Arial" w:hAnsi="Arial" w:cs="Times New Roman"/>
              </w:rPr>
              <w:t>d'unités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copropriété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résidentiels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proposés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à </w:t>
            </w:r>
            <w:proofErr w:type="spellStart"/>
            <w:r w:rsidRPr="00733BBF">
              <w:rPr>
                <w:rFonts w:ascii="Arial" w:eastAsia="Arial" w:hAnsi="Arial" w:cs="Times New Roman"/>
              </w:rPr>
              <w:t>partir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plans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lotissement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,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consentement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et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description</w:t>
            </w:r>
          </w:p>
          <w:p w14:paraId="213EE014" w14:textId="325BD769" w:rsidR="00733BBF" w:rsidRPr="00733BBF" w:rsidRDefault="00733BBF" w:rsidP="00733BBF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left="1276" w:hanging="283"/>
              <w:rPr>
                <w:rFonts w:ascii="Arial" w:eastAsia="Arial" w:hAnsi="Arial" w:cs="Times New Roman"/>
              </w:rPr>
            </w:pPr>
            <w:proofErr w:type="spellStart"/>
            <w:r w:rsidRPr="00733BBF">
              <w:rPr>
                <w:rFonts w:ascii="Arial" w:eastAsia="Arial" w:hAnsi="Arial" w:cs="Times New Roman"/>
              </w:rPr>
              <w:t>Nombre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total de nouveaux lots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résidentiels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proposés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à </w:t>
            </w:r>
            <w:proofErr w:type="spellStart"/>
            <w:r w:rsidRPr="00733BBF">
              <w:rPr>
                <w:rFonts w:ascii="Arial" w:eastAsia="Arial" w:hAnsi="Arial" w:cs="Times New Roman"/>
              </w:rPr>
              <w:t>partir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plans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lotissement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et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consentement</w:t>
            </w:r>
            <w:proofErr w:type="spellEnd"/>
          </w:p>
          <w:p w14:paraId="042725C7" w14:textId="5EF93D7F" w:rsidR="00733BBF" w:rsidRPr="00733BBF" w:rsidRDefault="00733BBF" w:rsidP="00733BBF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ind w:left="1276" w:hanging="283"/>
              <w:rPr>
                <w:rFonts w:ascii="Arial" w:eastAsia="Arial" w:hAnsi="Arial" w:cs="Times New Roman"/>
              </w:rPr>
            </w:pPr>
            <w:proofErr w:type="spellStart"/>
            <w:r w:rsidRPr="00733BBF">
              <w:rPr>
                <w:rFonts w:ascii="Arial" w:eastAsia="Arial" w:hAnsi="Arial" w:cs="Times New Roman"/>
              </w:rPr>
              <w:t>Nombre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total de nouveaux </w:t>
            </w:r>
            <w:proofErr w:type="spellStart"/>
            <w:r w:rsidRPr="00733BBF">
              <w:rPr>
                <w:rFonts w:ascii="Arial" w:eastAsia="Arial" w:hAnsi="Arial" w:cs="Times New Roman"/>
              </w:rPr>
              <w:t>logements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en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copropriété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proposés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à </w:t>
            </w:r>
            <w:proofErr w:type="spellStart"/>
            <w:r w:rsidRPr="00733BBF">
              <w:rPr>
                <w:rFonts w:ascii="Arial" w:eastAsia="Arial" w:hAnsi="Arial" w:cs="Times New Roman"/>
              </w:rPr>
              <w:t>partir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description</w:t>
            </w:r>
          </w:p>
          <w:p w14:paraId="6CE0F3D8" w14:textId="572B0544" w:rsidR="00733BBF" w:rsidRPr="00733BBF" w:rsidRDefault="00733BBF" w:rsidP="00733B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Times New Roman"/>
              </w:rPr>
            </w:pPr>
            <w:proofErr w:type="spellStart"/>
            <w:r w:rsidRPr="00733BBF">
              <w:rPr>
                <w:rFonts w:ascii="Arial" w:eastAsia="Arial" w:hAnsi="Arial" w:cs="Times New Roman"/>
              </w:rPr>
              <w:t>Nombre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total de nouveaux lots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résidentiels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et de nouveaux </w:t>
            </w:r>
            <w:proofErr w:type="spellStart"/>
            <w:r w:rsidRPr="00733BBF">
              <w:rPr>
                <w:rFonts w:ascii="Arial" w:eastAsia="Arial" w:hAnsi="Arial" w:cs="Times New Roman"/>
              </w:rPr>
              <w:t>logements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en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lastRenderedPageBreak/>
              <w:t>copropriété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approuvés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à </w:t>
            </w:r>
            <w:proofErr w:type="spellStart"/>
            <w:r w:rsidRPr="00733BBF">
              <w:rPr>
                <w:rFonts w:ascii="Arial" w:eastAsia="Arial" w:hAnsi="Arial" w:cs="Times New Roman"/>
              </w:rPr>
              <w:t>partir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plans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lotissement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,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consentement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et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description </w:t>
            </w:r>
            <w:proofErr w:type="spellStart"/>
            <w:r w:rsidRPr="00733BBF">
              <w:rPr>
                <w:rFonts w:ascii="Arial" w:eastAsia="Arial" w:hAnsi="Arial" w:cs="Times New Roman"/>
              </w:rPr>
              <w:t>approuvées</w:t>
            </w:r>
            <w:proofErr w:type="spellEnd"/>
          </w:p>
          <w:p w14:paraId="0CF79A49" w14:textId="77777777" w:rsidR="00733BBF" w:rsidRPr="00733BBF" w:rsidRDefault="00733BBF" w:rsidP="00733BBF">
            <w:pPr>
              <w:spacing w:after="0" w:line="240" w:lineRule="auto"/>
              <w:contextualSpacing/>
              <w:rPr>
                <w:rFonts w:ascii="Arial" w:eastAsia="Arial" w:hAnsi="Arial" w:cs="Times New Roman"/>
              </w:rPr>
            </w:pPr>
            <w:proofErr w:type="spellStart"/>
            <w:r w:rsidRPr="00733BBF">
              <w:rPr>
                <w:rFonts w:ascii="Arial" w:eastAsia="Arial" w:hAnsi="Arial" w:cs="Times New Roman"/>
              </w:rPr>
              <w:t>i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. </w:t>
            </w:r>
            <w:proofErr w:type="spellStart"/>
            <w:r w:rsidRPr="00733BBF">
              <w:rPr>
                <w:rFonts w:ascii="Arial" w:eastAsia="Arial" w:hAnsi="Arial" w:cs="Times New Roman"/>
              </w:rPr>
              <w:t>Nombre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total de nouveaux lots </w:t>
            </w:r>
            <w:proofErr w:type="spellStart"/>
            <w:r w:rsidRPr="00733BBF">
              <w:rPr>
                <w:rFonts w:ascii="Arial" w:eastAsia="Arial" w:hAnsi="Arial" w:cs="Times New Roman"/>
              </w:rPr>
              <w:t>résidentiels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approuvés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à </w:t>
            </w:r>
            <w:proofErr w:type="spellStart"/>
            <w:r w:rsidRPr="00733BBF">
              <w:rPr>
                <w:rFonts w:ascii="Arial" w:eastAsia="Arial" w:hAnsi="Arial" w:cs="Times New Roman"/>
              </w:rPr>
              <w:t>partir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plans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lotissement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et de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consentement</w:t>
            </w:r>
            <w:proofErr w:type="spellEnd"/>
          </w:p>
          <w:p w14:paraId="11E69CE4" w14:textId="77777777" w:rsidR="00733BBF" w:rsidRPr="00733BBF" w:rsidRDefault="00733BBF" w:rsidP="00733BBF">
            <w:pPr>
              <w:spacing w:after="0" w:line="240" w:lineRule="auto"/>
              <w:contextualSpacing/>
              <w:rPr>
                <w:rFonts w:ascii="Arial" w:eastAsia="Arial" w:hAnsi="Arial" w:cs="Times New Roman"/>
              </w:rPr>
            </w:pPr>
            <w:r w:rsidRPr="00733BBF">
              <w:rPr>
                <w:rFonts w:ascii="Arial" w:eastAsia="Arial" w:hAnsi="Arial" w:cs="Times New Roman"/>
              </w:rPr>
              <w:t xml:space="preserve">ii. </w:t>
            </w:r>
            <w:proofErr w:type="spellStart"/>
            <w:r w:rsidRPr="00733BBF">
              <w:rPr>
                <w:rFonts w:ascii="Arial" w:eastAsia="Arial" w:hAnsi="Arial" w:cs="Times New Roman"/>
              </w:rPr>
              <w:t>Nombre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total de nouveaux </w:t>
            </w:r>
            <w:proofErr w:type="spellStart"/>
            <w:r w:rsidRPr="00733BBF">
              <w:rPr>
                <w:rFonts w:ascii="Arial" w:eastAsia="Arial" w:hAnsi="Arial" w:cs="Times New Roman"/>
              </w:rPr>
              <w:t>logements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en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copropriété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</w:t>
            </w:r>
            <w:proofErr w:type="spellStart"/>
            <w:r w:rsidRPr="00733BBF">
              <w:rPr>
                <w:rFonts w:ascii="Arial" w:eastAsia="Arial" w:hAnsi="Arial" w:cs="Times New Roman"/>
              </w:rPr>
              <w:t>approuvés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à </w:t>
            </w:r>
            <w:proofErr w:type="spellStart"/>
            <w:r w:rsidRPr="00733BBF">
              <w:rPr>
                <w:rFonts w:ascii="Arial" w:eastAsia="Arial" w:hAnsi="Arial" w:cs="Times New Roman"/>
              </w:rPr>
              <w:t>partir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des </w:t>
            </w:r>
            <w:proofErr w:type="spellStart"/>
            <w:r w:rsidRPr="00733BBF">
              <w:rPr>
                <w:rFonts w:ascii="Arial" w:eastAsia="Arial" w:hAnsi="Arial" w:cs="Times New Roman"/>
              </w:rPr>
              <w:t>demandes</w:t>
            </w:r>
            <w:proofErr w:type="spellEnd"/>
            <w:r w:rsidRPr="00733BBF">
              <w:rPr>
                <w:rFonts w:ascii="Arial" w:eastAsia="Arial" w:hAnsi="Arial" w:cs="Times New Roman"/>
              </w:rPr>
              <w:t xml:space="preserve"> de description</w:t>
            </w:r>
          </w:p>
          <w:p w14:paraId="61719193" w14:textId="571D9D69" w:rsidR="00591F1C" w:rsidRPr="009B352F" w:rsidRDefault="00733BBF" w:rsidP="00733BBF">
            <w:pPr>
              <w:spacing w:after="0"/>
              <w:contextualSpacing/>
            </w:pPr>
            <w:r w:rsidRPr="00733BBF">
              <w:t>(</w:t>
            </w:r>
            <w:proofErr w:type="spellStart"/>
            <w:r w:rsidRPr="00733BBF">
              <w:t>i</w:t>
            </w:r>
            <w:proofErr w:type="spellEnd"/>
            <w:r w:rsidRPr="00733BBF">
              <w:t xml:space="preserve">) </w:t>
            </w:r>
            <w:proofErr w:type="spellStart"/>
            <w:r w:rsidRPr="00733BBF">
              <w:t>Nombre</w:t>
            </w:r>
            <w:proofErr w:type="spellEnd"/>
            <w:r w:rsidRPr="00733BBF">
              <w:t xml:space="preserve"> total de </w:t>
            </w:r>
            <w:proofErr w:type="spellStart"/>
            <w:r w:rsidRPr="00733BBF">
              <w:t>demandes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soumises</w:t>
            </w:r>
            <w:proofErr w:type="spellEnd"/>
            <w:r w:rsidRPr="00733BBF">
              <w:t xml:space="preserve"> pour </w:t>
            </w:r>
            <w:proofErr w:type="spellStart"/>
            <w:r w:rsidRPr="00733BBF">
              <w:t>l'agrandissement</w:t>
            </w:r>
            <w:proofErr w:type="spellEnd"/>
            <w:r w:rsidRPr="00733BBF">
              <w:t xml:space="preserve"> des </w:t>
            </w:r>
            <w:proofErr w:type="spellStart"/>
            <w:r w:rsidRPr="00733BBF">
              <w:t>limites</w:t>
            </w:r>
            <w:proofErr w:type="spellEnd"/>
            <w:r w:rsidRPr="00733BBF">
              <w:t xml:space="preserve"> de la zone </w:t>
            </w:r>
            <w:proofErr w:type="spellStart"/>
            <w:r w:rsidRPr="00733BBF">
              <w:t>d'implantation</w:t>
            </w:r>
            <w:proofErr w:type="spellEnd"/>
          </w:p>
        </w:tc>
      </w:tr>
      <w:tr w:rsidR="00591F1C" w:rsidRPr="00AB08CE" w14:paraId="5910B26D" w14:textId="77777777" w:rsidTr="00E16C2A">
        <w:trPr>
          <w:trHeight w:val="29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B33B" w14:textId="7A556AE5" w:rsidR="00591F1C" w:rsidRPr="00AB08CE" w:rsidRDefault="00733BBF" w:rsidP="00591F1C">
            <w:pPr>
              <w:numPr>
                <w:ilvl w:val="0"/>
                <w:numId w:val="1"/>
              </w:numPr>
              <w:spacing w:after="0"/>
              <w:contextualSpacing/>
            </w:pPr>
            <w:proofErr w:type="spellStart"/>
            <w:r w:rsidRPr="00733BBF">
              <w:lastRenderedPageBreak/>
              <w:t>Fournir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une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copie</w:t>
            </w:r>
            <w:proofErr w:type="spellEnd"/>
            <w:r w:rsidRPr="00733BBF">
              <w:t xml:space="preserve"> des </w:t>
            </w:r>
            <w:proofErr w:type="spellStart"/>
            <w:r w:rsidRPr="00733BBF">
              <w:t>données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géospatiales</w:t>
            </w:r>
            <w:proofErr w:type="spellEnd"/>
            <w:r w:rsidRPr="00733BBF">
              <w:t xml:space="preserve"> de la </w:t>
            </w:r>
            <w:proofErr w:type="spellStart"/>
            <w:r w:rsidRPr="00733BBF">
              <w:t>municipalité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identifiant</w:t>
            </w:r>
            <w:proofErr w:type="spellEnd"/>
            <w:r w:rsidRPr="00733BBF">
              <w:t xml:space="preserve"> les terrains </w:t>
            </w:r>
            <w:proofErr w:type="spellStart"/>
            <w:r w:rsidRPr="00733BBF">
              <w:t>désignés</w:t>
            </w:r>
            <w:proofErr w:type="spellEnd"/>
            <w:r w:rsidRPr="00733BBF">
              <w:t xml:space="preserve"> et </w:t>
            </w:r>
            <w:proofErr w:type="spellStart"/>
            <w:r w:rsidRPr="00733BBF">
              <w:t>disponibles</w:t>
            </w:r>
            <w:proofErr w:type="spellEnd"/>
            <w:r w:rsidRPr="00733BBF">
              <w:t xml:space="preserve"> pour le </w:t>
            </w:r>
            <w:proofErr w:type="spellStart"/>
            <w:r w:rsidRPr="00733BBF">
              <w:t>développement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résidentiel</w:t>
            </w:r>
            <w:proofErr w:type="spellEnd"/>
            <w:r w:rsidRPr="00733BBF">
              <w:t xml:space="preserve">, </w:t>
            </w:r>
            <w:proofErr w:type="spellStart"/>
            <w:r w:rsidRPr="00733BBF">
              <w:t>comme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l’exige</w:t>
            </w:r>
            <w:proofErr w:type="spellEnd"/>
            <w:r w:rsidRPr="00733BBF">
              <w:t xml:space="preserve"> </w:t>
            </w:r>
            <w:proofErr w:type="spellStart"/>
            <w:r w:rsidRPr="00733BBF">
              <w:t>l’article</w:t>
            </w:r>
            <w:proofErr w:type="spellEnd"/>
            <w:r w:rsidRPr="00733BBF">
              <w:t xml:space="preserve"> 2.1.4 b) de la </w:t>
            </w:r>
            <w:proofErr w:type="spellStart"/>
            <w:r w:rsidRPr="00733BBF">
              <w:t>Déclaration</w:t>
            </w:r>
            <w:proofErr w:type="spellEnd"/>
            <w:r w:rsidRPr="00733BBF">
              <w:t xml:space="preserve"> de planification </w:t>
            </w:r>
            <w:proofErr w:type="spellStart"/>
            <w:r w:rsidRPr="00733BBF">
              <w:t>provinciale</w:t>
            </w:r>
            <w:proofErr w:type="spellEnd"/>
            <w:r w:rsidRPr="00733BBF">
              <w:t xml:space="preserve"> de 2024</w:t>
            </w:r>
          </w:p>
        </w:tc>
      </w:tr>
    </w:tbl>
    <w:p w14:paraId="7099F130" w14:textId="77777777" w:rsidR="00591F1C" w:rsidRPr="00407D0A" w:rsidRDefault="00591F1C" w:rsidP="00591F1C">
      <w:pPr>
        <w:rPr>
          <w:lang w:val="en-US"/>
        </w:rPr>
      </w:pPr>
    </w:p>
    <w:p w14:paraId="1F2A3BD3" w14:textId="77777777" w:rsidR="00E30E24" w:rsidRPr="00F85186" w:rsidRDefault="00E30E24" w:rsidP="00F61F85"/>
    <w:sectPr w:rsidR="00E30E24" w:rsidRPr="00F8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B7CB" w14:textId="77777777" w:rsidR="00591F1C" w:rsidRDefault="00591F1C" w:rsidP="00F72078">
      <w:pPr>
        <w:spacing w:line="240" w:lineRule="auto"/>
      </w:pPr>
      <w:r>
        <w:separator/>
      </w:r>
    </w:p>
  </w:endnote>
  <w:endnote w:type="continuationSeparator" w:id="0">
    <w:p w14:paraId="5F1A00AB" w14:textId="77777777" w:rsidR="00591F1C" w:rsidRDefault="00591F1C" w:rsidP="00F72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04EF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24E6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2B9F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C70C" w14:textId="77777777" w:rsidR="00591F1C" w:rsidRDefault="00591F1C" w:rsidP="00F72078">
      <w:pPr>
        <w:spacing w:line="240" w:lineRule="auto"/>
      </w:pPr>
      <w:r>
        <w:separator/>
      </w:r>
    </w:p>
  </w:footnote>
  <w:footnote w:type="continuationSeparator" w:id="0">
    <w:p w14:paraId="12883A26" w14:textId="77777777" w:rsidR="00591F1C" w:rsidRDefault="00591F1C" w:rsidP="00F72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FC36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4BDC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F439" w14:textId="77777777"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AC"/>
    <w:multiLevelType w:val="hybridMultilevel"/>
    <w:tmpl w:val="54B05E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1867A3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466B3"/>
    <w:multiLevelType w:val="hybridMultilevel"/>
    <w:tmpl w:val="24AEABB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35DA"/>
    <w:multiLevelType w:val="hybridMultilevel"/>
    <w:tmpl w:val="3A948896"/>
    <w:lvl w:ilvl="0" w:tplc="9612BB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D6B90"/>
    <w:multiLevelType w:val="hybridMultilevel"/>
    <w:tmpl w:val="8B7479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D2E4B"/>
    <w:multiLevelType w:val="hybridMultilevel"/>
    <w:tmpl w:val="18F8217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1328E"/>
    <w:multiLevelType w:val="hybridMultilevel"/>
    <w:tmpl w:val="57FA9FC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20782">
    <w:abstractNumId w:val="4"/>
  </w:num>
  <w:num w:numId="2" w16cid:durableId="1205829083">
    <w:abstractNumId w:val="0"/>
  </w:num>
  <w:num w:numId="3" w16cid:durableId="2098012710">
    <w:abstractNumId w:val="4"/>
  </w:num>
  <w:num w:numId="4" w16cid:durableId="1179274195">
    <w:abstractNumId w:val="1"/>
  </w:num>
  <w:num w:numId="5" w16cid:durableId="1171873209">
    <w:abstractNumId w:val="2"/>
  </w:num>
  <w:num w:numId="6" w16cid:durableId="1565945542">
    <w:abstractNumId w:val="5"/>
  </w:num>
  <w:num w:numId="7" w16cid:durableId="130619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1F1C"/>
    <w:rsid w:val="000A0119"/>
    <w:rsid w:val="001C37B4"/>
    <w:rsid w:val="001F129E"/>
    <w:rsid w:val="00225BE4"/>
    <w:rsid w:val="002E6FF6"/>
    <w:rsid w:val="00317F1F"/>
    <w:rsid w:val="0036413B"/>
    <w:rsid w:val="00385CFD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591F1C"/>
    <w:rsid w:val="00624B02"/>
    <w:rsid w:val="00695E04"/>
    <w:rsid w:val="006C7751"/>
    <w:rsid w:val="006D72AA"/>
    <w:rsid w:val="00733BBF"/>
    <w:rsid w:val="00767151"/>
    <w:rsid w:val="007707B1"/>
    <w:rsid w:val="00794C32"/>
    <w:rsid w:val="007D6DDD"/>
    <w:rsid w:val="009B1D63"/>
    <w:rsid w:val="009B65DE"/>
    <w:rsid w:val="009E1453"/>
    <w:rsid w:val="00A4736E"/>
    <w:rsid w:val="00A963FC"/>
    <w:rsid w:val="00AD71CE"/>
    <w:rsid w:val="00B93223"/>
    <w:rsid w:val="00BF7178"/>
    <w:rsid w:val="00C029AC"/>
    <w:rsid w:val="00C442F5"/>
    <w:rsid w:val="00C93AB7"/>
    <w:rsid w:val="00CC034D"/>
    <w:rsid w:val="00D83F89"/>
    <w:rsid w:val="00E30E24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5879"/>
  <w15:chartTrackingRefBased/>
  <w15:docId w15:val="{36D9A213-325C-48F0-9FE9-66BE8284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F1C"/>
    <w:pPr>
      <w:spacing w:after="200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1F1C"/>
    <w:pPr>
      <w:spacing w:line="240" w:lineRule="auto"/>
    </w:pPr>
    <w:rPr>
      <w:rFonts w:ascii="Arial" w:eastAsia="Arial" w:hAnsi="Arial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David (MMAH)</dc:creator>
  <cp:keywords/>
  <dc:description/>
  <cp:lastModifiedBy>MacLeod, David (MMAH)</cp:lastModifiedBy>
  <cp:revision>2</cp:revision>
  <dcterms:created xsi:type="dcterms:W3CDTF">2024-11-14T23:55:00Z</dcterms:created>
  <dcterms:modified xsi:type="dcterms:W3CDTF">2024-11-14T23:55:00Z</dcterms:modified>
</cp:coreProperties>
</file>