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24" w:rsidRPr="007270E4" w:rsidRDefault="007270E4" w:rsidP="00E9286B">
      <w:pPr>
        <w:ind w:left="0"/>
        <w:contextualSpacing/>
        <w:jc w:val="center"/>
        <w:rPr>
          <w:rFonts w:cs="Calibri"/>
          <w:b/>
          <w:sz w:val="24"/>
          <w:szCs w:val="24"/>
          <w:u w:val="single"/>
        </w:rPr>
      </w:pPr>
      <w:r w:rsidRPr="007270E4">
        <w:rPr>
          <w:rFonts w:cs="Calibri"/>
          <w:b/>
          <w:sz w:val="24"/>
          <w:szCs w:val="24"/>
          <w:u w:val="single"/>
        </w:rPr>
        <w:t>Re:</w:t>
      </w:r>
      <w:r>
        <w:rPr>
          <w:rFonts w:cs="Calibri"/>
          <w:b/>
          <w:sz w:val="24"/>
          <w:szCs w:val="24"/>
          <w:u w:val="single"/>
        </w:rPr>
        <w:t xml:space="preserve"> Bill 66 Section </w:t>
      </w:r>
      <w:proofErr w:type="gramStart"/>
      <w:r>
        <w:rPr>
          <w:rFonts w:cs="Calibri"/>
          <w:b/>
          <w:sz w:val="24"/>
          <w:szCs w:val="24"/>
          <w:u w:val="single"/>
        </w:rPr>
        <w:t xml:space="preserve">10 </w:t>
      </w:r>
      <w:r w:rsidRPr="007270E4">
        <w:rPr>
          <w:rFonts w:cs="Calibri"/>
          <w:b/>
          <w:sz w:val="24"/>
          <w:szCs w:val="24"/>
          <w:u w:val="single"/>
        </w:rPr>
        <w:t xml:space="preserve"> </w:t>
      </w:r>
      <w:r w:rsidR="00FB30A6">
        <w:rPr>
          <w:rFonts w:cs="Calibri"/>
          <w:b/>
          <w:sz w:val="24"/>
          <w:szCs w:val="24"/>
          <w:u w:val="single"/>
        </w:rPr>
        <w:t>Open</w:t>
      </w:r>
      <w:proofErr w:type="gramEnd"/>
      <w:r w:rsidR="00FB30A6">
        <w:rPr>
          <w:rFonts w:cs="Calibri"/>
          <w:b/>
          <w:sz w:val="24"/>
          <w:szCs w:val="24"/>
          <w:u w:val="single"/>
        </w:rPr>
        <w:t xml:space="preserve"> for Business Zoning Bylaw</w:t>
      </w:r>
      <w:r w:rsidR="00174224" w:rsidRPr="007270E4">
        <w:rPr>
          <w:rFonts w:cs="Calibri"/>
          <w:b/>
          <w:sz w:val="24"/>
          <w:szCs w:val="24"/>
          <w:u w:val="single"/>
        </w:rPr>
        <w:t xml:space="preserve"> Provide Solutions to Problems That Do Not Exist</w:t>
      </w:r>
    </w:p>
    <w:p w:rsidR="00174224" w:rsidRPr="00F46AB2" w:rsidRDefault="00174224" w:rsidP="00174224">
      <w:pPr>
        <w:ind w:left="-270"/>
        <w:rPr>
          <w:rFonts w:cs="Calibri"/>
          <w:sz w:val="20"/>
          <w:szCs w:val="20"/>
        </w:rPr>
      </w:pPr>
    </w:p>
    <w:p w:rsidR="00E6793C" w:rsidRDefault="00FB30A6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proposed Open for Business Bylaw</w:t>
      </w:r>
      <w:r w:rsidR="00174224" w:rsidRPr="00F46AB2">
        <w:rPr>
          <w:rFonts w:cs="Calibri"/>
          <w:sz w:val="24"/>
          <w:szCs w:val="24"/>
        </w:rPr>
        <w:t xml:space="preserve"> largely </w:t>
      </w:r>
      <w:r w:rsidR="00174224" w:rsidRPr="008B0745">
        <w:rPr>
          <w:rFonts w:cs="Calibri"/>
          <w:sz w:val="24"/>
          <w:szCs w:val="24"/>
        </w:rPr>
        <w:t>replicate</w:t>
      </w:r>
      <w:r w:rsidR="006250F3" w:rsidRPr="008B0745">
        <w:rPr>
          <w:rFonts w:cs="Calibri"/>
          <w:sz w:val="24"/>
          <w:szCs w:val="24"/>
        </w:rPr>
        <w:t>s</w:t>
      </w:r>
      <w:r w:rsidR="00174224" w:rsidRPr="00F46AB2">
        <w:rPr>
          <w:rFonts w:cs="Calibri"/>
          <w:sz w:val="24"/>
          <w:szCs w:val="24"/>
        </w:rPr>
        <w:t xml:space="preserve"> at the municipal level existing</w:t>
      </w:r>
      <w:r w:rsidR="00174224" w:rsidRPr="00B0567D">
        <w:rPr>
          <w:rFonts w:cs="Calibri"/>
          <w:sz w:val="24"/>
          <w:szCs w:val="24"/>
        </w:rPr>
        <w:t xml:space="preserve"> provincial powers, toward a goal of identifying new employment lands - when credible independent studies show there is no shortage of employment lands. </w:t>
      </w:r>
      <w:r w:rsidR="00E6793C">
        <w:rPr>
          <w:rFonts w:cs="Calibri"/>
          <w:sz w:val="24"/>
          <w:szCs w:val="24"/>
        </w:rPr>
        <w:t xml:space="preserve">The chart below provides the amount of designated available employment lands currently available in Greenbelt municipalities. </w:t>
      </w:r>
    </w:p>
    <w:p w:rsidR="00E6793C" w:rsidRPr="00E6793C" w:rsidRDefault="00E6793C" w:rsidP="00E6793C">
      <w:pPr>
        <w:ind w:left="-270"/>
        <w:rPr>
          <w:rFonts w:cs="Calibri"/>
          <w:sz w:val="24"/>
          <w:szCs w:val="24"/>
        </w:rPr>
      </w:pPr>
      <w:r w:rsidRPr="00E6793C">
        <w:rPr>
          <w:rFonts w:cs="Calibri"/>
          <w:sz w:val="24"/>
          <w:szCs w:val="24"/>
        </w:rPr>
        <w:fldChar w:fldCharType="begin"/>
      </w:r>
      <w:r w:rsidRPr="00E6793C">
        <w:rPr>
          <w:rFonts w:cs="Calibri"/>
          <w:sz w:val="24"/>
          <w:szCs w:val="24"/>
        </w:rPr>
        <w:instrText xml:space="preserve"> INCLUDEPICTURE "cid:image004.jpg@01D4AF7D.2239C090" \* MERGEFORMATINET </w:instrText>
      </w:r>
      <w:r w:rsidRPr="00E6793C">
        <w:rPr>
          <w:rFonts w:cs="Calibri"/>
          <w:sz w:val="24"/>
          <w:szCs w:val="24"/>
        </w:rPr>
        <w:fldChar w:fldCharType="separate"/>
      </w:r>
      <w:r w:rsidRPr="00E6793C">
        <w:rPr>
          <w:rFonts w:cs="Calibri"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Rectangle 3" descr="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AB5C3" id="Rectangle 3" o:spid="_x0000_s1026" alt="image004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 w:rsidRPr="00E6793C">
        <w:rPr>
          <w:rFonts w:cs="Calibri"/>
          <w:sz w:val="24"/>
          <w:szCs w:val="24"/>
        </w:rPr>
        <w:fldChar w:fldCharType="end"/>
      </w:r>
      <w:r>
        <w:rPr>
          <w:rFonts w:cs="Calibri"/>
          <w:noProof/>
          <w:sz w:val="24"/>
          <w:szCs w:val="24"/>
        </w:rPr>
        <w:drawing>
          <wp:inline distT="0" distB="0" distL="0" distR="0" wp14:anchorId="56F15BCC" wp14:editId="045B77F5">
            <wp:extent cx="4659330" cy="17145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376" cy="172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24" w:rsidRPr="00E6793C" w:rsidRDefault="00E6793C" w:rsidP="00E6793C">
      <w:pPr>
        <w:ind w:left="0"/>
        <w:rPr>
          <w:rFonts w:ascii="Times New Roman" w:eastAsia="Times New Roman" w:hAnsi="Times New Roman"/>
          <w:sz w:val="24"/>
          <w:szCs w:val="24"/>
        </w:rPr>
      </w:pPr>
      <w:r w:rsidRPr="00E6793C">
        <w:rPr>
          <w:rFonts w:ascii="Times New Roman" w:eastAsia="Times New Roman" w:hAnsi="Times New Roman"/>
          <w:sz w:val="24"/>
          <w:szCs w:val="24"/>
        </w:rPr>
        <w:fldChar w:fldCharType="begin"/>
      </w:r>
      <w:r w:rsidRPr="00E6793C">
        <w:rPr>
          <w:rFonts w:ascii="Times New Roman" w:eastAsia="Times New Roman" w:hAnsi="Times New Roman"/>
          <w:sz w:val="24"/>
          <w:szCs w:val="24"/>
        </w:rPr>
        <w:instrText xml:space="preserve"> INCLUDEPICTURE "cid:image004.jpg@01D4AF7D.2239C090" \* MERGEFORMATINET </w:instrText>
      </w:r>
      <w:r w:rsidRPr="00E6793C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E6793C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Rectangle 4" descr="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F10EE0" id="Rectangle 4" o:spid="_x0000_s1026" alt="image004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" filled="f" stroked="f">
                <o:lock v:ext="edit" aspectratio="t"/>
                <w10:anchorlock/>
              </v:rect>
            </w:pict>
          </mc:Fallback>
        </mc:AlternateContent>
      </w:r>
      <w:r w:rsidRPr="00E6793C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174224" w:rsidRDefault="00174224" w:rsidP="007270E4">
      <w:pPr>
        <w:ind w:left="-270"/>
        <w:rPr>
          <w:rFonts w:cs="Calibri"/>
          <w:sz w:val="24"/>
          <w:szCs w:val="24"/>
        </w:rPr>
      </w:pPr>
      <w:r w:rsidRPr="00B0567D">
        <w:rPr>
          <w:rFonts w:cs="Calibri"/>
          <w:sz w:val="24"/>
          <w:szCs w:val="24"/>
        </w:rPr>
        <w:t>There is therefore no need to trample the Greenbelt and other natural areas; the delegation of the proposed new municipal powers is unnecessary; and, ironically, the Open for Business bylaws will create more red tape and confusion about what protocols are in place in which areas of the Province than the red t</w:t>
      </w:r>
      <w:r w:rsidR="007270E4">
        <w:rPr>
          <w:rFonts w:cs="Calibri"/>
          <w:sz w:val="24"/>
          <w:szCs w:val="24"/>
        </w:rPr>
        <w:t xml:space="preserve">ape they purport to eliminate. </w:t>
      </w:r>
    </w:p>
    <w:p w:rsidR="00174224" w:rsidRPr="006202B0" w:rsidRDefault="00174224" w:rsidP="00174224">
      <w:pPr>
        <w:ind w:left="-270"/>
        <w:rPr>
          <w:rFonts w:cs="Calibri"/>
          <w:sz w:val="20"/>
          <w:szCs w:val="20"/>
        </w:rPr>
      </w:pPr>
    </w:p>
    <w:p w:rsidR="00174224" w:rsidRPr="00B0567D" w:rsidRDefault="008B0745" w:rsidP="00174224">
      <w:pPr>
        <w:numPr>
          <w:ilvl w:val="0"/>
          <w:numId w:val="1"/>
        </w:numPr>
        <w:ind w:left="-27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Section</w:t>
      </w:r>
      <w:r w:rsidR="00174224">
        <w:rPr>
          <w:rFonts w:cs="Calibri"/>
          <w:sz w:val="24"/>
          <w:szCs w:val="24"/>
          <w:u w:val="single"/>
        </w:rPr>
        <w:t xml:space="preserve"> 10 of </w:t>
      </w:r>
      <w:r w:rsidR="00174224" w:rsidRPr="00B0567D">
        <w:rPr>
          <w:rFonts w:cs="Calibri"/>
          <w:sz w:val="24"/>
          <w:szCs w:val="24"/>
          <w:u w:val="single"/>
        </w:rPr>
        <w:t xml:space="preserve">Bill 66 </w:t>
      </w:r>
      <w:r w:rsidR="00174224">
        <w:rPr>
          <w:rFonts w:cs="Calibri"/>
          <w:sz w:val="24"/>
          <w:szCs w:val="24"/>
          <w:u w:val="single"/>
        </w:rPr>
        <w:t xml:space="preserve">is </w:t>
      </w:r>
      <w:r w:rsidR="00174224" w:rsidRPr="00B0567D">
        <w:rPr>
          <w:rFonts w:cs="Calibri"/>
          <w:sz w:val="24"/>
          <w:szCs w:val="24"/>
          <w:u w:val="single"/>
        </w:rPr>
        <w:t>Corrosive to Environmental and Public Health in Ontario</w:t>
      </w:r>
    </w:p>
    <w:p w:rsidR="00174224" w:rsidRPr="00B0567D" w:rsidRDefault="00174224" w:rsidP="00174224">
      <w:pPr>
        <w:ind w:left="-270"/>
        <w:rPr>
          <w:rFonts w:cs="Calibri"/>
          <w:sz w:val="20"/>
          <w:szCs w:val="20"/>
        </w:rPr>
      </w:pPr>
    </w:p>
    <w:p w:rsidR="00174224" w:rsidRPr="00B0567D" w:rsidRDefault="006250F3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have</w:t>
      </w:r>
      <w:r w:rsidR="00174224" w:rsidRPr="00B0567D">
        <w:rPr>
          <w:rFonts w:cs="Calibri"/>
          <w:sz w:val="24"/>
          <w:szCs w:val="24"/>
        </w:rPr>
        <w:t xml:space="preserve"> the following </w:t>
      </w:r>
      <w:r>
        <w:rPr>
          <w:rFonts w:cs="Calibri"/>
          <w:sz w:val="24"/>
          <w:szCs w:val="24"/>
        </w:rPr>
        <w:t xml:space="preserve">concerns </w:t>
      </w:r>
      <w:r w:rsidR="00174224" w:rsidRPr="00B0567D">
        <w:rPr>
          <w:rFonts w:cs="Calibri"/>
          <w:sz w:val="24"/>
          <w:szCs w:val="24"/>
        </w:rPr>
        <w:t xml:space="preserve">with respect to the extensive list of exemptions under </w:t>
      </w:r>
      <w:r w:rsidR="00174224">
        <w:rPr>
          <w:rFonts w:cs="Calibri"/>
          <w:sz w:val="24"/>
          <w:szCs w:val="24"/>
        </w:rPr>
        <w:t>S</w:t>
      </w:r>
      <w:r w:rsidR="008B0745">
        <w:rPr>
          <w:rFonts w:cs="Calibri"/>
          <w:sz w:val="24"/>
          <w:szCs w:val="24"/>
        </w:rPr>
        <w:t>ection</w:t>
      </w:r>
      <w:r w:rsidR="00174224" w:rsidRPr="00B0567D">
        <w:rPr>
          <w:rFonts w:cs="Calibri"/>
          <w:sz w:val="24"/>
          <w:szCs w:val="24"/>
        </w:rPr>
        <w:t xml:space="preserve"> 10 of Bill 66:</w:t>
      </w:r>
    </w:p>
    <w:p w:rsidR="00174224" w:rsidRPr="00B0567D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Pr="00F46AB2" w:rsidRDefault="00174224" w:rsidP="00174224">
      <w:pPr>
        <w:numPr>
          <w:ilvl w:val="1"/>
          <w:numId w:val="1"/>
        </w:numPr>
        <w:ind w:left="-270"/>
        <w:contextualSpacing/>
        <w:rPr>
          <w:rFonts w:cs="Calibri"/>
          <w:sz w:val="24"/>
          <w:szCs w:val="24"/>
        </w:rPr>
      </w:pPr>
      <w:r w:rsidRPr="00B0567D">
        <w:rPr>
          <w:rFonts w:cs="Calibri"/>
          <w:sz w:val="24"/>
          <w:szCs w:val="24"/>
        </w:rPr>
        <w:t xml:space="preserve">We support the comments of other organizations focused on </w:t>
      </w:r>
      <w:r w:rsidRPr="00F46AB2">
        <w:rPr>
          <w:rFonts w:cs="Calibri"/>
          <w:sz w:val="24"/>
          <w:szCs w:val="24"/>
        </w:rPr>
        <w:t>the public health aspec</w:t>
      </w:r>
      <w:r w:rsidR="008B0745">
        <w:rPr>
          <w:rFonts w:cs="Calibri"/>
          <w:sz w:val="24"/>
          <w:szCs w:val="24"/>
        </w:rPr>
        <w:t>ts of the exemptions of Section</w:t>
      </w:r>
      <w:r w:rsidRPr="00F46AB2">
        <w:rPr>
          <w:rFonts w:cs="Calibri"/>
          <w:sz w:val="24"/>
          <w:szCs w:val="24"/>
        </w:rPr>
        <w:t xml:space="preserve"> 10, particularly those related to the Clean Water Act. It is unconscionable for the Province to consider suspending protective measures put in place to prevent another Walkerton;</w:t>
      </w:r>
    </w:p>
    <w:p w:rsidR="00174224" w:rsidRPr="00F46AB2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Pr="00B0567D" w:rsidRDefault="00174224" w:rsidP="00174224">
      <w:pPr>
        <w:numPr>
          <w:ilvl w:val="1"/>
          <w:numId w:val="1"/>
        </w:numPr>
        <w:ind w:left="-270"/>
        <w:contextualSpacing/>
        <w:rPr>
          <w:rFonts w:cs="Calibri"/>
          <w:sz w:val="24"/>
          <w:szCs w:val="24"/>
        </w:rPr>
      </w:pPr>
      <w:r w:rsidRPr="00F46AB2">
        <w:rPr>
          <w:rFonts w:cs="Calibri"/>
          <w:sz w:val="24"/>
          <w:szCs w:val="24"/>
        </w:rPr>
        <w:t>We are equally concerned that Open for Business parcels of land are exempt from the Provincial Policy Statement (PPS), with similar exemptions regarding</w:t>
      </w:r>
      <w:r w:rsidR="007270E4">
        <w:rPr>
          <w:rFonts w:cs="Calibri"/>
          <w:sz w:val="24"/>
          <w:szCs w:val="24"/>
        </w:rPr>
        <w:t xml:space="preserve"> the Great Lakes</w:t>
      </w:r>
      <w:r w:rsidRPr="00B0567D">
        <w:rPr>
          <w:rFonts w:cs="Calibri"/>
          <w:sz w:val="24"/>
          <w:szCs w:val="24"/>
        </w:rPr>
        <w:t xml:space="preserve"> Protection Act, and similar initiatives.</w:t>
      </w:r>
    </w:p>
    <w:p w:rsidR="00174224" w:rsidRPr="00B0567D" w:rsidRDefault="00174224" w:rsidP="00174224">
      <w:pPr>
        <w:pStyle w:val="ListParagraph"/>
        <w:rPr>
          <w:rFonts w:cs="Calibri"/>
          <w:sz w:val="16"/>
          <w:szCs w:val="16"/>
        </w:rPr>
      </w:pPr>
    </w:p>
    <w:p w:rsidR="00174224" w:rsidRPr="00B0567D" w:rsidRDefault="00174224" w:rsidP="00174224">
      <w:pPr>
        <w:ind w:left="-270"/>
        <w:rPr>
          <w:rFonts w:cs="Calibri"/>
          <w:sz w:val="24"/>
          <w:szCs w:val="24"/>
        </w:rPr>
      </w:pPr>
      <w:r w:rsidRPr="00B0567D">
        <w:rPr>
          <w:rFonts w:cs="Calibri"/>
          <w:sz w:val="24"/>
          <w:szCs w:val="24"/>
        </w:rPr>
        <w:t xml:space="preserve">These initiatives are key aspects of how the current planning framework identifies and protects natural heritage and therefore our air, water, and biodiversity; agriculture and therefore regional </w:t>
      </w:r>
      <w:r w:rsidRPr="00B0567D">
        <w:rPr>
          <w:rFonts w:cs="Calibri"/>
          <w:sz w:val="24"/>
          <w:szCs w:val="24"/>
        </w:rPr>
        <w:lastRenderedPageBreak/>
        <w:t>farm lands, farmers, food security, and the agricultural sys</w:t>
      </w:r>
      <w:r w:rsidR="006250F3">
        <w:rPr>
          <w:rFonts w:cs="Calibri"/>
          <w:sz w:val="24"/>
          <w:szCs w:val="24"/>
        </w:rPr>
        <w:t xml:space="preserve">tem; and </w:t>
      </w:r>
      <w:r w:rsidR="006250F3" w:rsidRPr="008B0745">
        <w:rPr>
          <w:rFonts w:cs="Calibri"/>
          <w:sz w:val="24"/>
          <w:szCs w:val="24"/>
        </w:rPr>
        <w:t>current planning that</w:t>
      </w:r>
      <w:r w:rsidRPr="008B0745">
        <w:rPr>
          <w:rFonts w:cs="Calibri"/>
          <w:sz w:val="24"/>
          <w:szCs w:val="24"/>
        </w:rPr>
        <w:t xml:space="preserve"> protect</w:t>
      </w:r>
      <w:r w:rsidR="006250F3" w:rsidRPr="008B0745">
        <w:rPr>
          <w:rFonts w:cs="Calibri"/>
          <w:sz w:val="24"/>
          <w:szCs w:val="24"/>
        </w:rPr>
        <w:t>s</w:t>
      </w:r>
      <w:r w:rsidRPr="00B0567D">
        <w:rPr>
          <w:rFonts w:cs="Calibri"/>
          <w:sz w:val="24"/>
          <w:szCs w:val="24"/>
        </w:rPr>
        <w:t xml:space="preserve"> human health and infrastructure from outcomes such as erosion and flooding.  </w:t>
      </w:r>
    </w:p>
    <w:p w:rsidR="00174224" w:rsidRPr="00B0567D" w:rsidRDefault="00174224" w:rsidP="00174224">
      <w:pPr>
        <w:pStyle w:val="ListParagraph"/>
        <w:rPr>
          <w:rFonts w:cs="Calibri"/>
          <w:sz w:val="16"/>
          <w:szCs w:val="16"/>
        </w:rPr>
      </w:pPr>
    </w:p>
    <w:p w:rsidR="00174224" w:rsidRPr="00B0567D" w:rsidRDefault="00174224" w:rsidP="00174224">
      <w:pPr>
        <w:ind w:left="-270"/>
        <w:rPr>
          <w:rFonts w:cs="Calibri"/>
          <w:sz w:val="24"/>
          <w:szCs w:val="24"/>
        </w:rPr>
      </w:pPr>
      <w:r w:rsidRPr="00B0567D">
        <w:rPr>
          <w:rFonts w:cs="Calibri"/>
          <w:sz w:val="24"/>
          <w:szCs w:val="24"/>
        </w:rPr>
        <w:t xml:space="preserve">Exempting Open for Business parcels of land from the PPS and </w:t>
      </w:r>
      <w:r w:rsidR="00A6245A">
        <w:rPr>
          <w:rFonts w:cs="Calibri"/>
          <w:sz w:val="24"/>
          <w:szCs w:val="24"/>
        </w:rPr>
        <w:t xml:space="preserve">from </w:t>
      </w:r>
      <w:r w:rsidRPr="00B0567D">
        <w:rPr>
          <w:rFonts w:cs="Calibri"/>
          <w:sz w:val="24"/>
          <w:szCs w:val="24"/>
        </w:rPr>
        <w:t xml:space="preserve">similar protective measures is not only a threat to public health and safety, it </w:t>
      </w:r>
      <w:r w:rsidR="00F179EE">
        <w:rPr>
          <w:rFonts w:cs="Calibri"/>
          <w:sz w:val="24"/>
          <w:szCs w:val="24"/>
        </w:rPr>
        <w:t xml:space="preserve">also </w:t>
      </w:r>
      <w:r w:rsidRPr="00B0567D">
        <w:rPr>
          <w:rFonts w:cs="Calibri"/>
          <w:sz w:val="24"/>
          <w:szCs w:val="24"/>
        </w:rPr>
        <w:t>enables rapid approvals that could significantly harm terrestrial and aquatic natural heritage, overall biodiversity, and regional ecological integrity, as well as Ontario’s social wellbeing and economic vitality.</w:t>
      </w:r>
    </w:p>
    <w:p w:rsidR="00174224" w:rsidRPr="00405CDE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Pr="00B0567D" w:rsidRDefault="00174224" w:rsidP="00174224">
      <w:pPr>
        <w:numPr>
          <w:ilvl w:val="1"/>
          <w:numId w:val="1"/>
        </w:numPr>
        <w:ind w:left="-27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</w:t>
      </w:r>
      <w:r w:rsidRPr="00405CDE">
        <w:rPr>
          <w:rFonts w:cs="Calibri"/>
          <w:sz w:val="24"/>
          <w:szCs w:val="24"/>
        </w:rPr>
        <w:t>concerns expresse</w:t>
      </w:r>
      <w:r w:rsidR="00A6245A">
        <w:rPr>
          <w:rFonts w:cs="Calibri"/>
          <w:sz w:val="24"/>
          <w:szCs w:val="24"/>
        </w:rPr>
        <w:t>d</w:t>
      </w:r>
      <w:r w:rsidRPr="00B0567D">
        <w:rPr>
          <w:rFonts w:cs="Calibri"/>
          <w:sz w:val="24"/>
          <w:szCs w:val="24"/>
        </w:rPr>
        <w:t xml:space="preserve"> above relate to individual parcels of land under Open for Business bylaws. The cumulative impact of the individual applications of these bylaws is also</w:t>
      </w:r>
      <w:r>
        <w:rPr>
          <w:rFonts w:cs="Calibri"/>
          <w:sz w:val="24"/>
          <w:szCs w:val="24"/>
        </w:rPr>
        <w:t xml:space="preserve"> </w:t>
      </w:r>
      <w:r w:rsidRPr="00B0567D">
        <w:rPr>
          <w:rFonts w:cs="Calibri"/>
          <w:sz w:val="24"/>
          <w:szCs w:val="24"/>
        </w:rPr>
        <w:t xml:space="preserve">a major concern. As no standard approach for such bylaws is required, and location-specific exemptions and prescribed criteria are possible, Ontario could end up with a patchwork of parcels of land with unique </w:t>
      </w:r>
      <w:r w:rsidR="007270E4">
        <w:rPr>
          <w:rFonts w:cs="Calibri"/>
          <w:sz w:val="24"/>
          <w:szCs w:val="24"/>
        </w:rPr>
        <w:t xml:space="preserve">harmful </w:t>
      </w:r>
      <w:r w:rsidRPr="00B0567D">
        <w:rPr>
          <w:rFonts w:cs="Calibri"/>
          <w:sz w:val="24"/>
          <w:szCs w:val="24"/>
        </w:rPr>
        <w:t xml:space="preserve">combinations of provincial exemptions and policies in place. </w:t>
      </w:r>
    </w:p>
    <w:p w:rsidR="00174224" w:rsidRPr="00B0567D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Default="00174224" w:rsidP="00174224">
      <w:pPr>
        <w:ind w:left="-270"/>
        <w:rPr>
          <w:rFonts w:cs="Calibri"/>
          <w:sz w:val="24"/>
          <w:szCs w:val="24"/>
        </w:rPr>
      </w:pPr>
      <w:r w:rsidRPr="00B0567D">
        <w:rPr>
          <w:rFonts w:cs="Calibri"/>
          <w:sz w:val="24"/>
          <w:szCs w:val="24"/>
        </w:rPr>
        <w:t xml:space="preserve">In addition, the general vagueness of wording, the absence of proposed regulations, reliance on ministerial discretion instead of standards, lack of </w:t>
      </w:r>
      <w:r w:rsidRPr="00F46AB2">
        <w:rPr>
          <w:rFonts w:cs="Calibri"/>
          <w:sz w:val="24"/>
          <w:szCs w:val="24"/>
        </w:rPr>
        <w:t>direction on issues such as the role of conserva</w:t>
      </w:r>
      <w:r w:rsidR="00A6245A">
        <w:rPr>
          <w:rFonts w:cs="Calibri"/>
          <w:sz w:val="24"/>
          <w:szCs w:val="24"/>
        </w:rPr>
        <w:t>tion authorities</w:t>
      </w:r>
      <w:r w:rsidRPr="00F46AB2">
        <w:rPr>
          <w:rFonts w:cs="Calibri"/>
          <w:sz w:val="24"/>
          <w:szCs w:val="24"/>
        </w:rPr>
        <w:t xml:space="preserve">, </w:t>
      </w:r>
      <w:r w:rsidR="007270E4">
        <w:rPr>
          <w:rFonts w:cs="Calibri"/>
          <w:sz w:val="24"/>
          <w:szCs w:val="24"/>
        </w:rPr>
        <w:t xml:space="preserve">groundwater and surface water, </w:t>
      </w:r>
      <w:r w:rsidRPr="00F46AB2">
        <w:rPr>
          <w:rFonts w:cs="Calibri"/>
          <w:sz w:val="24"/>
          <w:szCs w:val="24"/>
        </w:rPr>
        <w:t xml:space="preserve">transportation, and even the implementation aspects of any permits issued under Open for Business bylaws </w:t>
      </w:r>
      <w:r>
        <w:rPr>
          <w:rFonts w:cs="Calibri"/>
          <w:sz w:val="24"/>
          <w:szCs w:val="24"/>
        </w:rPr>
        <w:t>c</w:t>
      </w:r>
      <w:r w:rsidRPr="00F46AB2">
        <w:rPr>
          <w:rFonts w:cs="Calibri"/>
          <w:sz w:val="24"/>
          <w:szCs w:val="24"/>
        </w:rPr>
        <w:t>ould result in a provincial checkerboard of unimaginable variety, in contrast to the clear rules we have now.</w:t>
      </w:r>
    </w:p>
    <w:p w:rsidR="00174224" w:rsidRPr="002C4E08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Default="00174224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Pr="00B0567D">
        <w:rPr>
          <w:rFonts w:cs="Calibri"/>
          <w:sz w:val="24"/>
          <w:szCs w:val="24"/>
        </w:rPr>
        <w:t xml:space="preserve">verall, </w:t>
      </w:r>
      <w:r>
        <w:rPr>
          <w:rFonts w:cs="Calibri"/>
          <w:sz w:val="24"/>
          <w:szCs w:val="24"/>
        </w:rPr>
        <w:t xml:space="preserve">in contrast to </w:t>
      </w:r>
      <w:r w:rsidRPr="00B0567D">
        <w:rPr>
          <w:rFonts w:cs="Calibri"/>
          <w:sz w:val="24"/>
          <w:szCs w:val="24"/>
        </w:rPr>
        <w:t xml:space="preserve">a proud Ontario track record of appropriate </w:t>
      </w:r>
      <w:r>
        <w:rPr>
          <w:rFonts w:cs="Calibri"/>
          <w:sz w:val="24"/>
          <w:szCs w:val="24"/>
        </w:rPr>
        <w:t xml:space="preserve">protective measures, the three Open for Business initiatives, and in particular </w:t>
      </w:r>
      <w:r w:rsidR="008B0745">
        <w:rPr>
          <w:rFonts w:cs="Calibri"/>
          <w:sz w:val="24"/>
          <w:szCs w:val="24"/>
        </w:rPr>
        <w:t>Section</w:t>
      </w:r>
      <w:r w:rsidRPr="00B0567D">
        <w:rPr>
          <w:rFonts w:cs="Calibri"/>
          <w:sz w:val="24"/>
          <w:szCs w:val="24"/>
        </w:rPr>
        <w:t xml:space="preserve"> 10 </w:t>
      </w:r>
      <w:r>
        <w:rPr>
          <w:rFonts w:cs="Calibri"/>
          <w:sz w:val="24"/>
          <w:szCs w:val="24"/>
        </w:rPr>
        <w:t xml:space="preserve">of Bill 66, </w:t>
      </w:r>
      <w:r w:rsidRPr="00B0567D">
        <w:rPr>
          <w:rFonts w:cs="Calibri"/>
          <w:sz w:val="24"/>
          <w:szCs w:val="24"/>
        </w:rPr>
        <w:t xml:space="preserve">introduce short-term development anarchy that is </w:t>
      </w:r>
      <w:r w:rsidR="006250F3" w:rsidRPr="008B0745">
        <w:rPr>
          <w:rFonts w:cs="Calibri"/>
          <w:sz w:val="24"/>
          <w:szCs w:val="24"/>
        </w:rPr>
        <w:t>harmful</w:t>
      </w:r>
      <w:r w:rsidR="006250F3">
        <w:rPr>
          <w:rFonts w:cs="Calibri"/>
          <w:sz w:val="24"/>
          <w:szCs w:val="24"/>
        </w:rPr>
        <w:t xml:space="preserve"> </w:t>
      </w:r>
      <w:r w:rsidRPr="00B0567D">
        <w:rPr>
          <w:rFonts w:cs="Calibri"/>
          <w:sz w:val="24"/>
          <w:szCs w:val="24"/>
        </w:rPr>
        <w:t>to environmental and publ</w:t>
      </w:r>
      <w:r w:rsidR="00E9286B">
        <w:rPr>
          <w:rFonts w:cs="Calibri"/>
          <w:sz w:val="24"/>
          <w:szCs w:val="24"/>
        </w:rPr>
        <w:t xml:space="preserve">ic health and may </w:t>
      </w:r>
      <w:r w:rsidR="00E9286B" w:rsidRPr="008B0745">
        <w:rPr>
          <w:rFonts w:cs="Calibri"/>
          <w:sz w:val="24"/>
          <w:szCs w:val="24"/>
        </w:rPr>
        <w:t>destroy</w:t>
      </w:r>
      <w:r w:rsidRPr="00B0567D">
        <w:rPr>
          <w:rFonts w:cs="Calibri"/>
          <w:sz w:val="24"/>
          <w:szCs w:val="24"/>
        </w:rPr>
        <w:t xml:space="preserve"> the current system of land use planning. </w:t>
      </w:r>
    </w:p>
    <w:p w:rsidR="00174224" w:rsidRPr="002C4E08" w:rsidRDefault="00174224" w:rsidP="00174224">
      <w:pPr>
        <w:ind w:left="-270"/>
        <w:rPr>
          <w:rFonts w:cs="Calibri"/>
          <w:sz w:val="20"/>
          <w:szCs w:val="20"/>
        </w:rPr>
      </w:pPr>
    </w:p>
    <w:p w:rsidR="00174224" w:rsidRPr="00405CDE" w:rsidRDefault="008B0745" w:rsidP="00174224">
      <w:pPr>
        <w:numPr>
          <w:ilvl w:val="0"/>
          <w:numId w:val="1"/>
        </w:numPr>
        <w:ind w:left="-27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Section</w:t>
      </w:r>
      <w:r w:rsidR="00174224" w:rsidRPr="00405CDE">
        <w:rPr>
          <w:rFonts w:cs="Calibri"/>
          <w:sz w:val="24"/>
          <w:szCs w:val="24"/>
          <w:u w:val="single"/>
        </w:rPr>
        <w:t xml:space="preserve"> 10 of Bill 66 </w:t>
      </w:r>
      <w:r w:rsidR="00174224">
        <w:rPr>
          <w:rFonts w:cs="Calibri"/>
          <w:sz w:val="24"/>
          <w:szCs w:val="24"/>
          <w:u w:val="single"/>
        </w:rPr>
        <w:t>S</w:t>
      </w:r>
      <w:r w:rsidR="00174224" w:rsidRPr="00405CDE">
        <w:rPr>
          <w:rFonts w:cs="Calibri"/>
          <w:sz w:val="24"/>
          <w:szCs w:val="24"/>
          <w:u w:val="single"/>
        </w:rPr>
        <w:t xml:space="preserve">ubverts </w:t>
      </w:r>
      <w:r w:rsidR="00174224">
        <w:rPr>
          <w:rFonts w:cs="Calibri"/>
          <w:sz w:val="24"/>
          <w:szCs w:val="24"/>
          <w:u w:val="single"/>
        </w:rPr>
        <w:t>D</w:t>
      </w:r>
      <w:r w:rsidR="00174224" w:rsidRPr="00405CDE">
        <w:rPr>
          <w:rFonts w:cs="Calibri"/>
          <w:sz w:val="24"/>
          <w:szCs w:val="24"/>
          <w:u w:val="single"/>
        </w:rPr>
        <w:t xml:space="preserve">emocracy in Ontario and </w:t>
      </w:r>
      <w:r w:rsidR="006250F3" w:rsidRPr="008B0745">
        <w:rPr>
          <w:rFonts w:cs="Calibri"/>
          <w:sz w:val="24"/>
          <w:szCs w:val="24"/>
          <w:u w:val="single"/>
        </w:rPr>
        <w:t>Destroys</w:t>
      </w:r>
      <w:r w:rsidR="006250F3">
        <w:rPr>
          <w:rFonts w:cs="Calibri"/>
          <w:sz w:val="24"/>
          <w:szCs w:val="24"/>
          <w:u w:val="single"/>
        </w:rPr>
        <w:t xml:space="preserve"> </w:t>
      </w:r>
      <w:r w:rsidR="00174224">
        <w:rPr>
          <w:rFonts w:cs="Calibri"/>
          <w:sz w:val="24"/>
          <w:szCs w:val="24"/>
          <w:u w:val="single"/>
        </w:rPr>
        <w:t>T</w:t>
      </w:r>
      <w:r w:rsidR="00174224" w:rsidRPr="00405CDE">
        <w:rPr>
          <w:rFonts w:cs="Calibri"/>
          <w:sz w:val="24"/>
          <w:szCs w:val="24"/>
          <w:u w:val="single"/>
        </w:rPr>
        <w:t xml:space="preserve">rust in the </w:t>
      </w:r>
      <w:r w:rsidR="00174224">
        <w:rPr>
          <w:rFonts w:cs="Calibri"/>
          <w:sz w:val="24"/>
          <w:szCs w:val="24"/>
          <w:u w:val="single"/>
        </w:rPr>
        <w:t>C</w:t>
      </w:r>
      <w:r w:rsidR="00174224" w:rsidRPr="00405CDE">
        <w:rPr>
          <w:rFonts w:cs="Calibri"/>
          <w:sz w:val="24"/>
          <w:szCs w:val="24"/>
          <w:u w:val="single"/>
        </w:rPr>
        <w:t xml:space="preserve">urrent </w:t>
      </w:r>
      <w:r w:rsidR="00174224">
        <w:rPr>
          <w:rFonts w:cs="Calibri"/>
          <w:sz w:val="24"/>
          <w:szCs w:val="24"/>
          <w:u w:val="single"/>
        </w:rPr>
        <w:t>G</w:t>
      </w:r>
      <w:r w:rsidR="00174224" w:rsidRPr="00405CDE">
        <w:rPr>
          <w:rFonts w:cs="Calibri"/>
          <w:sz w:val="24"/>
          <w:szCs w:val="24"/>
          <w:u w:val="single"/>
        </w:rPr>
        <w:t>overnment</w:t>
      </w:r>
    </w:p>
    <w:p w:rsidR="00174224" w:rsidRPr="002C4E08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Pr="00B0567D" w:rsidRDefault="00174224" w:rsidP="00174224">
      <w:pPr>
        <w:ind w:left="-270"/>
        <w:rPr>
          <w:rFonts w:cs="Calibri"/>
          <w:sz w:val="24"/>
          <w:szCs w:val="24"/>
        </w:rPr>
      </w:pPr>
      <w:r w:rsidRPr="00B0567D">
        <w:rPr>
          <w:rFonts w:cs="Calibri"/>
          <w:sz w:val="24"/>
          <w:szCs w:val="24"/>
        </w:rPr>
        <w:t>Finally, we h</w:t>
      </w:r>
      <w:r w:rsidR="008B0745">
        <w:rPr>
          <w:rFonts w:cs="Calibri"/>
          <w:sz w:val="24"/>
          <w:szCs w:val="24"/>
        </w:rPr>
        <w:t>ave grave concerns that Section</w:t>
      </w:r>
      <w:r w:rsidRPr="00B0567D">
        <w:rPr>
          <w:rFonts w:cs="Calibri"/>
          <w:sz w:val="24"/>
          <w:szCs w:val="24"/>
        </w:rPr>
        <w:t xml:space="preserve"> 10 runs roughshod over the democratic process. </w:t>
      </w:r>
    </w:p>
    <w:p w:rsidR="00174224" w:rsidRPr="007E1508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Pr="00F46AB2" w:rsidRDefault="00174224" w:rsidP="00174224">
      <w:pPr>
        <w:ind w:left="-270"/>
        <w:rPr>
          <w:rFonts w:cs="Calibri"/>
          <w:sz w:val="24"/>
          <w:szCs w:val="24"/>
        </w:rPr>
      </w:pPr>
      <w:r w:rsidRPr="00282D97">
        <w:rPr>
          <w:rFonts w:cs="Calibri"/>
          <w:sz w:val="24"/>
          <w:szCs w:val="24"/>
        </w:rPr>
        <w:t xml:space="preserve">Key ways in which </w:t>
      </w:r>
      <w:r w:rsidR="00D065E5">
        <w:rPr>
          <w:rFonts w:cs="Calibri"/>
          <w:sz w:val="24"/>
          <w:szCs w:val="24"/>
        </w:rPr>
        <w:t>Bill 66</w:t>
      </w:r>
      <w:r w:rsidR="00A6245A">
        <w:rPr>
          <w:rFonts w:cs="Calibri"/>
          <w:sz w:val="24"/>
          <w:szCs w:val="24"/>
        </w:rPr>
        <w:t xml:space="preserve"> Section </w:t>
      </w:r>
      <w:r w:rsidR="00D065E5">
        <w:rPr>
          <w:rFonts w:cs="Calibri"/>
          <w:sz w:val="24"/>
          <w:szCs w:val="24"/>
        </w:rPr>
        <w:t xml:space="preserve">10 </w:t>
      </w:r>
      <w:r w:rsidR="00A6245A">
        <w:rPr>
          <w:rFonts w:cs="Calibri"/>
          <w:sz w:val="24"/>
          <w:szCs w:val="24"/>
        </w:rPr>
        <w:t xml:space="preserve">negates </w:t>
      </w:r>
      <w:r w:rsidRPr="00282D97">
        <w:rPr>
          <w:rFonts w:cs="Calibri"/>
          <w:sz w:val="24"/>
          <w:szCs w:val="24"/>
        </w:rPr>
        <w:t xml:space="preserve">traditional rights </w:t>
      </w:r>
      <w:r w:rsidRPr="00F46AB2">
        <w:rPr>
          <w:rFonts w:cs="Calibri"/>
          <w:sz w:val="24"/>
          <w:szCs w:val="24"/>
        </w:rPr>
        <w:t>and democratic protocols include:</w:t>
      </w:r>
    </w:p>
    <w:p w:rsidR="00174224" w:rsidRDefault="00174224" w:rsidP="00174224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F46AB2">
        <w:rPr>
          <w:rFonts w:cs="Calibri"/>
          <w:sz w:val="24"/>
          <w:szCs w:val="24"/>
        </w:rPr>
        <w:t xml:space="preserve">Allowing a municipality to ignore or take actions in opposition to an official plan or existing bylaw, either of which would invalidate past public input to the plan or bylaw; </w:t>
      </w:r>
    </w:p>
    <w:p w:rsidR="00174224" w:rsidRPr="00F46AB2" w:rsidRDefault="00174224" w:rsidP="00174224">
      <w:pPr>
        <w:ind w:left="0"/>
        <w:rPr>
          <w:rFonts w:cs="Calibri"/>
          <w:sz w:val="24"/>
          <w:szCs w:val="24"/>
        </w:rPr>
      </w:pPr>
    </w:p>
    <w:p w:rsidR="00174224" w:rsidRDefault="00174224" w:rsidP="00174224">
      <w:pPr>
        <w:numPr>
          <w:ilvl w:val="0"/>
          <w:numId w:val="2"/>
        </w:numPr>
        <w:contextualSpacing/>
        <w:rPr>
          <w:rFonts w:cs="Calibri"/>
          <w:sz w:val="24"/>
          <w:szCs w:val="24"/>
        </w:rPr>
      </w:pPr>
      <w:r w:rsidRPr="00F46AB2">
        <w:rPr>
          <w:rFonts w:cs="Calibri"/>
          <w:sz w:val="24"/>
          <w:szCs w:val="24"/>
        </w:rPr>
        <w:t>Enabling a municipality to deny the democratic norms of public notice and consultation to both nearby landowners and stakeholders in the community at large (service c</w:t>
      </w:r>
      <w:r w:rsidR="00A6245A">
        <w:rPr>
          <w:rFonts w:cs="Calibri"/>
          <w:sz w:val="24"/>
          <w:szCs w:val="24"/>
        </w:rPr>
        <w:t>osts, transportation</w:t>
      </w:r>
      <w:r w:rsidRPr="00F46AB2">
        <w:rPr>
          <w:rFonts w:cs="Calibri"/>
          <w:sz w:val="24"/>
          <w:szCs w:val="24"/>
        </w:rPr>
        <w:t xml:space="preserve">, complete communities, investors, </w:t>
      </w:r>
      <w:proofErr w:type="spellStart"/>
      <w:r w:rsidRPr="00F46AB2">
        <w:rPr>
          <w:rFonts w:cs="Calibri"/>
          <w:sz w:val="24"/>
          <w:szCs w:val="24"/>
        </w:rPr>
        <w:t>etc</w:t>
      </w:r>
      <w:proofErr w:type="spellEnd"/>
      <w:r w:rsidRPr="00F46AB2">
        <w:rPr>
          <w:rFonts w:cs="Calibri"/>
          <w:sz w:val="24"/>
          <w:szCs w:val="24"/>
        </w:rPr>
        <w:t>);</w:t>
      </w:r>
    </w:p>
    <w:p w:rsidR="007270E4" w:rsidRPr="00F46AB2" w:rsidRDefault="007270E4" w:rsidP="007270E4">
      <w:pPr>
        <w:ind w:left="0"/>
        <w:contextualSpacing/>
        <w:rPr>
          <w:rFonts w:cs="Calibri"/>
          <w:sz w:val="24"/>
          <w:szCs w:val="24"/>
        </w:rPr>
      </w:pPr>
    </w:p>
    <w:p w:rsidR="00174224" w:rsidRDefault="00A6245A" w:rsidP="00174224">
      <w:pPr>
        <w:numPr>
          <w:ilvl w:val="0"/>
          <w:numId w:val="2"/>
        </w:numPr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Disallowing application appeals</w:t>
      </w:r>
      <w:r w:rsidR="00174224" w:rsidRPr="00F46AB2">
        <w:rPr>
          <w:rFonts w:cs="Calibri"/>
          <w:sz w:val="24"/>
          <w:szCs w:val="24"/>
        </w:rPr>
        <w:t xml:space="preserve"> from residents and stakeholders to the Local Planning Appeal Tribunal with respect to t</w:t>
      </w:r>
      <w:r w:rsidR="00E9286B">
        <w:rPr>
          <w:rFonts w:cs="Calibri"/>
          <w:sz w:val="24"/>
          <w:szCs w:val="24"/>
        </w:rPr>
        <w:t>he Open for Business B</w:t>
      </w:r>
      <w:r w:rsidR="007270E4">
        <w:rPr>
          <w:rFonts w:cs="Calibri"/>
          <w:sz w:val="24"/>
          <w:szCs w:val="24"/>
        </w:rPr>
        <w:t>ylaw; and</w:t>
      </w:r>
    </w:p>
    <w:p w:rsidR="007270E4" w:rsidRPr="00F46AB2" w:rsidRDefault="007270E4" w:rsidP="007270E4">
      <w:pPr>
        <w:ind w:left="0"/>
        <w:contextualSpacing/>
        <w:rPr>
          <w:rFonts w:cs="Calibri"/>
          <w:sz w:val="24"/>
          <w:szCs w:val="24"/>
        </w:rPr>
      </w:pPr>
    </w:p>
    <w:p w:rsidR="00174224" w:rsidRDefault="00174224" w:rsidP="00174224">
      <w:pPr>
        <w:numPr>
          <w:ilvl w:val="0"/>
          <w:numId w:val="2"/>
        </w:numPr>
        <w:contextualSpacing/>
        <w:rPr>
          <w:rFonts w:cs="Calibri"/>
          <w:sz w:val="24"/>
          <w:szCs w:val="24"/>
        </w:rPr>
      </w:pPr>
      <w:r w:rsidRPr="00F46AB2">
        <w:rPr>
          <w:rFonts w:cs="Calibri"/>
          <w:sz w:val="24"/>
          <w:szCs w:val="24"/>
        </w:rPr>
        <w:lastRenderedPageBreak/>
        <w:t>Essentially denying the broader community the peace of mind that the Provincial Government is adhering to its pre-existing legal obligations with respect to public health and natural resources, such as its responsibilities under the Clean Water Act, the</w:t>
      </w:r>
      <w:r w:rsidRPr="00282D97">
        <w:rPr>
          <w:rFonts w:cs="Calibri"/>
          <w:sz w:val="24"/>
          <w:szCs w:val="24"/>
        </w:rPr>
        <w:t xml:space="preserve"> Great Lakes Protection Act, numerous other acts and protocols, as well as the Canada-Ontario Agreement, sub-national obligations under the Aichi Biodiversity Targets, various binational compacts, etc.</w:t>
      </w:r>
    </w:p>
    <w:p w:rsidR="00174224" w:rsidRPr="007E1508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Default="00174224" w:rsidP="00174224">
      <w:pPr>
        <w:ind w:left="0"/>
        <w:rPr>
          <w:rFonts w:cs="Calibri"/>
          <w:sz w:val="24"/>
          <w:szCs w:val="24"/>
        </w:rPr>
      </w:pPr>
      <w:r w:rsidRPr="00F46AB2">
        <w:rPr>
          <w:rFonts w:cs="Calibri"/>
          <w:sz w:val="24"/>
          <w:szCs w:val="24"/>
        </w:rPr>
        <w:t>In addition, each of the bullets above undermine</w:t>
      </w:r>
      <w:r w:rsidR="00A6245A">
        <w:rPr>
          <w:rFonts w:cs="Calibri"/>
          <w:sz w:val="24"/>
          <w:szCs w:val="24"/>
        </w:rPr>
        <w:t>s</w:t>
      </w:r>
      <w:r w:rsidRPr="00F46AB2">
        <w:rPr>
          <w:rFonts w:cs="Calibri"/>
          <w:sz w:val="24"/>
          <w:szCs w:val="24"/>
        </w:rPr>
        <w:t xml:space="preserve"> trust in government – both municipal and provincial. </w:t>
      </w:r>
    </w:p>
    <w:p w:rsidR="00174224" w:rsidRPr="007E1508" w:rsidRDefault="00174224" w:rsidP="00174224">
      <w:pPr>
        <w:ind w:left="0"/>
        <w:rPr>
          <w:rFonts w:cs="Calibri"/>
          <w:sz w:val="16"/>
          <w:szCs w:val="16"/>
        </w:rPr>
      </w:pPr>
    </w:p>
    <w:p w:rsidR="00174224" w:rsidRPr="00F46AB2" w:rsidRDefault="00A6245A" w:rsidP="00174224">
      <w:pPr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174224" w:rsidRPr="00F46AB2">
        <w:rPr>
          <w:rFonts w:cs="Calibri"/>
          <w:sz w:val="24"/>
          <w:szCs w:val="24"/>
        </w:rPr>
        <w:t xml:space="preserve">e remind you that, prior to coming to power, your party was a vocal opponent of the denial of municipalities to have permitting rights for installations under the Green Energy Act. Now, Bill 66 gives subscribing municipal </w:t>
      </w:r>
      <w:r w:rsidR="00E9286B" w:rsidRPr="00F46AB2">
        <w:rPr>
          <w:rFonts w:cs="Calibri"/>
          <w:sz w:val="24"/>
          <w:szCs w:val="24"/>
        </w:rPr>
        <w:t>corporations’</w:t>
      </w:r>
      <w:r w:rsidR="00174224" w:rsidRPr="00F46AB2">
        <w:rPr>
          <w:rFonts w:cs="Calibri"/>
          <w:sz w:val="24"/>
          <w:szCs w:val="24"/>
        </w:rPr>
        <w:t xml:space="preserve"> broad powers but denies that municipality’s citizens and other stakeholders the rights of democratic participation. </w:t>
      </w:r>
    </w:p>
    <w:p w:rsidR="00174224" w:rsidRPr="00F46AB2" w:rsidRDefault="00174224" w:rsidP="00174224">
      <w:pPr>
        <w:ind w:left="0"/>
        <w:rPr>
          <w:rFonts w:cs="Calibri"/>
          <w:sz w:val="16"/>
          <w:szCs w:val="16"/>
        </w:rPr>
      </w:pPr>
    </w:p>
    <w:p w:rsidR="00174224" w:rsidRPr="00F46AB2" w:rsidRDefault="007270E4" w:rsidP="00174224">
      <w:pPr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Your position is</w:t>
      </w:r>
      <w:r w:rsidR="00174224" w:rsidRPr="00F46AB2">
        <w:rPr>
          <w:rFonts w:cs="Calibri"/>
          <w:sz w:val="24"/>
          <w:szCs w:val="24"/>
        </w:rPr>
        <w:t xml:space="preserve"> anti-democratic, and in violation of your pledge to be a “government for the people, by the people.” </w:t>
      </w:r>
    </w:p>
    <w:p w:rsidR="00174224" w:rsidRDefault="00174224" w:rsidP="00174224">
      <w:pPr>
        <w:ind w:left="-270"/>
        <w:rPr>
          <w:rFonts w:cs="Calibri"/>
          <w:sz w:val="24"/>
          <w:szCs w:val="24"/>
        </w:rPr>
      </w:pPr>
    </w:p>
    <w:p w:rsidR="00174224" w:rsidRPr="00F46AB2" w:rsidRDefault="00174224" w:rsidP="00174224">
      <w:pPr>
        <w:ind w:left="-270"/>
        <w:rPr>
          <w:rFonts w:cs="Calibri"/>
          <w:sz w:val="24"/>
          <w:szCs w:val="24"/>
        </w:rPr>
      </w:pPr>
    </w:p>
    <w:p w:rsidR="00174224" w:rsidRPr="00F46AB2" w:rsidRDefault="00174224" w:rsidP="00174224">
      <w:pPr>
        <w:ind w:left="-270"/>
        <w:rPr>
          <w:rFonts w:cs="Calibri"/>
          <w:sz w:val="24"/>
          <w:szCs w:val="24"/>
          <w:u w:val="single"/>
        </w:rPr>
      </w:pPr>
      <w:r w:rsidRPr="00F46AB2">
        <w:rPr>
          <w:rFonts w:cs="Calibri"/>
          <w:sz w:val="24"/>
          <w:szCs w:val="24"/>
          <w:u w:val="single"/>
        </w:rPr>
        <w:t>Conclusion</w:t>
      </w:r>
    </w:p>
    <w:p w:rsidR="00174224" w:rsidRPr="00F46AB2" w:rsidRDefault="00174224" w:rsidP="00174224">
      <w:pPr>
        <w:ind w:left="-270"/>
        <w:rPr>
          <w:rFonts w:cs="Calibri"/>
          <w:sz w:val="24"/>
          <w:szCs w:val="24"/>
          <w:u w:val="single"/>
        </w:rPr>
      </w:pPr>
    </w:p>
    <w:p w:rsidR="00174224" w:rsidRPr="00F46AB2" w:rsidRDefault="00101998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Section</w:t>
      </w:r>
      <w:r w:rsidR="00174224" w:rsidRPr="00F46AB2">
        <w:rPr>
          <w:rFonts w:cs="Calibri"/>
          <w:sz w:val="24"/>
          <w:szCs w:val="24"/>
        </w:rPr>
        <w:t xml:space="preserve"> 10 of Bill </w:t>
      </w:r>
      <w:r w:rsidR="007270E4" w:rsidRPr="00F46AB2">
        <w:rPr>
          <w:rFonts w:cs="Calibri"/>
          <w:sz w:val="24"/>
          <w:szCs w:val="24"/>
        </w:rPr>
        <w:t>66 violates</w:t>
      </w:r>
      <w:r w:rsidR="00FB30A6">
        <w:rPr>
          <w:rFonts w:cs="Calibri"/>
          <w:sz w:val="24"/>
          <w:szCs w:val="24"/>
        </w:rPr>
        <w:t xml:space="preserve"> that</w:t>
      </w:r>
      <w:r w:rsidR="00174224" w:rsidRPr="00F46AB2">
        <w:rPr>
          <w:rFonts w:cs="Calibri"/>
          <w:sz w:val="24"/>
          <w:szCs w:val="24"/>
        </w:rPr>
        <w:t xml:space="preserve"> specifi</w:t>
      </w:r>
      <w:r w:rsidR="00FB30A6">
        <w:rPr>
          <w:rFonts w:cs="Calibri"/>
          <w:sz w:val="24"/>
          <w:szCs w:val="24"/>
        </w:rPr>
        <w:t>c pledge from you. How? It</w:t>
      </w:r>
      <w:r w:rsidR="00174224" w:rsidRPr="00F46AB2">
        <w:rPr>
          <w:rFonts w:cs="Calibri"/>
          <w:sz w:val="24"/>
          <w:szCs w:val="24"/>
        </w:rPr>
        <w:t xml:space="preserve"> is unnecessary, duplicates existing powers, suspends hu</w:t>
      </w:r>
      <w:r w:rsidR="00FB30A6">
        <w:rPr>
          <w:rFonts w:cs="Calibri"/>
          <w:sz w:val="24"/>
          <w:szCs w:val="24"/>
        </w:rPr>
        <w:t>ndreds of policies, is harmful</w:t>
      </w:r>
      <w:r w:rsidR="00174224" w:rsidRPr="00F46AB2">
        <w:rPr>
          <w:rFonts w:cs="Calibri"/>
          <w:sz w:val="24"/>
          <w:szCs w:val="24"/>
        </w:rPr>
        <w:t xml:space="preserve"> to environme</w:t>
      </w:r>
      <w:r w:rsidR="00FB30A6">
        <w:rPr>
          <w:rFonts w:cs="Calibri"/>
          <w:sz w:val="24"/>
          <w:szCs w:val="24"/>
        </w:rPr>
        <w:t>ntal and public health, threatens</w:t>
      </w:r>
      <w:r w:rsidR="00174224" w:rsidRPr="00F46AB2">
        <w:rPr>
          <w:rFonts w:cs="Calibri"/>
          <w:sz w:val="24"/>
          <w:szCs w:val="24"/>
        </w:rPr>
        <w:t xml:space="preserve"> the future of sound planning, and subverts democracy in Ontario.  </w:t>
      </w:r>
    </w:p>
    <w:p w:rsidR="00174224" w:rsidRPr="00F46AB2" w:rsidRDefault="00174224" w:rsidP="00174224">
      <w:pPr>
        <w:ind w:left="-270"/>
        <w:rPr>
          <w:rFonts w:cs="Calibri"/>
          <w:sz w:val="16"/>
          <w:szCs w:val="16"/>
        </w:rPr>
      </w:pPr>
    </w:p>
    <w:p w:rsidR="00174224" w:rsidRDefault="00174224" w:rsidP="00174224">
      <w:pPr>
        <w:ind w:left="-270"/>
        <w:rPr>
          <w:rFonts w:cs="Calibri"/>
          <w:sz w:val="24"/>
          <w:szCs w:val="24"/>
        </w:rPr>
      </w:pPr>
      <w:r w:rsidRPr="00F46AB2">
        <w:rPr>
          <w:rFonts w:cs="Calibri"/>
          <w:sz w:val="24"/>
          <w:szCs w:val="24"/>
        </w:rPr>
        <w:t>We urge you to withdraw S</w:t>
      </w:r>
      <w:r w:rsidR="008B0745">
        <w:rPr>
          <w:rFonts w:cs="Calibri"/>
          <w:sz w:val="24"/>
          <w:szCs w:val="24"/>
        </w:rPr>
        <w:t>ection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10 of Bill 66.</w:t>
      </w:r>
    </w:p>
    <w:p w:rsidR="007270E4" w:rsidRDefault="007270E4" w:rsidP="00174224">
      <w:pPr>
        <w:ind w:left="-270"/>
        <w:rPr>
          <w:rFonts w:cs="Calibri"/>
          <w:sz w:val="24"/>
          <w:szCs w:val="24"/>
        </w:rPr>
      </w:pPr>
    </w:p>
    <w:p w:rsidR="007270E4" w:rsidRDefault="007270E4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Submitted by,</w:t>
      </w:r>
    </w:p>
    <w:p w:rsidR="007270E4" w:rsidRDefault="007270E4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Mary Muter</w:t>
      </w:r>
      <w:r w:rsidR="00FB30A6">
        <w:rPr>
          <w:rFonts w:cs="Calibri"/>
          <w:sz w:val="24"/>
          <w:szCs w:val="24"/>
        </w:rPr>
        <w:t>, Chair,</w:t>
      </w:r>
      <w:r>
        <w:rPr>
          <w:rFonts w:cs="Calibri"/>
          <w:sz w:val="24"/>
          <w:szCs w:val="24"/>
        </w:rPr>
        <w:t xml:space="preserve"> on behalf of the Georgian Bay Great Lakes Foundation</w:t>
      </w:r>
    </w:p>
    <w:p w:rsidR="007270E4" w:rsidRDefault="007270E4" w:rsidP="00174224">
      <w:pPr>
        <w:ind w:left="-270"/>
        <w:rPr>
          <w:rFonts w:cs="Calibri"/>
          <w:sz w:val="24"/>
          <w:szCs w:val="24"/>
        </w:rPr>
      </w:pPr>
      <w:hyperlink r:id="rId8" w:history="1">
        <w:r w:rsidRPr="00020527">
          <w:rPr>
            <w:rStyle w:val="Hyperlink"/>
            <w:rFonts w:cs="Calibri"/>
            <w:sz w:val="24"/>
            <w:szCs w:val="24"/>
          </w:rPr>
          <w:t>mary@georgianbaygreatlakesfoundation.com</w:t>
        </w:r>
      </w:hyperlink>
    </w:p>
    <w:p w:rsidR="007270E4" w:rsidRPr="00282D97" w:rsidRDefault="007270E4" w:rsidP="00174224">
      <w:pPr>
        <w:ind w:left="-2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905 833 2020</w:t>
      </w:r>
    </w:p>
    <w:p w:rsidR="00E20FAD" w:rsidRDefault="001C0BF8"/>
    <w:sectPr w:rsidR="00E20FAD" w:rsidSect="004B4C83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F8" w:rsidRDefault="001C0BF8" w:rsidP="00FB52C9">
      <w:r>
        <w:separator/>
      </w:r>
    </w:p>
  </w:endnote>
  <w:endnote w:type="continuationSeparator" w:id="0">
    <w:p w:rsidR="001C0BF8" w:rsidRDefault="001C0BF8" w:rsidP="00FB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1217853"/>
      <w:docPartObj>
        <w:docPartGallery w:val="Page Numbers (Bottom of Page)"/>
        <w:docPartUnique/>
      </w:docPartObj>
    </w:sdtPr>
    <w:sdtContent>
      <w:p w:rsidR="00E6793C" w:rsidRDefault="00E6793C" w:rsidP="000205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6793C" w:rsidRDefault="00E6793C" w:rsidP="00E679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91545917"/>
      <w:docPartObj>
        <w:docPartGallery w:val="Page Numbers (Bottom of Page)"/>
        <w:docPartUnique/>
      </w:docPartObj>
    </w:sdtPr>
    <w:sdtContent>
      <w:p w:rsidR="00E6793C" w:rsidRDefault="00E6793C" w:rsidP="000205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6793C" w:rsidRDefault="00E6793C" w:rsidP="00E679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F8" w:rsidRDefault="001C0BF8" w:rsidP="00FB52C9">
      <w:r>
        <w:separator/>
      </w:r>
    </w:p>
  </w:footnote>
  <w:footnote w:type="continuationSeparator" w:id="0">
    <w:p w:rsidR="001C0BF8" w:rsidRDefault="001C0BF8" w:rsidP="00FB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C9" w:rsidRDefault="00FB52C9" w:rsidP="00FB52C9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21E984B2" wp14:editId="16945604">
          <wp:extent cx="2046728" cy="982284"/>
          <wp:effectExtent l="0" t="0" r="0" b="0"/>
          <wp:docPr id="2" name="Picture 2" descr="GBGLF%20Logo%20G-Suite%20Logo%20%20320%20%20May%2026,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GLF%20Logo%20G-Suite%20Logo%20%20320%20%20May%2026,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873" cy="103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2C9" w:rsidRPr="00FB52C9" w:rsidRDefault="00FB52C9" w:rsidP="00FB52C9">
    <w:pPr>
      <w:ind w:left="0"/>
      <w:jc w:val="center"/>
      <w:rPr>
        <w:rFonts w:ascii="Times New Roman" w:eastAsia="Times New Roman" w:hAnsi="Times New Roman"/>
        <w:sz w:val="24"/>
        <w:szCs w:val="24"/>
      </w:rPr>
    </w:pPr>
    <w:r w:rsidRPr="00FB52C9">
      <w:rPr>
        <w:rFonts w:ascii="Verdana" w:eastAsia="Times New Roman" w:hAnsi="Verdana"/>
        <w:color w:val="000000"/>
        <w:sz w:val="20"/>
        <w:szCs w:val="20"/>
      </w:rPr>
      <w:t>Sound scientific research and solutions supporting water levels, wetlands, the fishery and aquatic invasive species control.</w:t>
    </w:r>
  </w:p>
  <w:p w:rsidR="00FB52C9" w:rsidRDefault="00FB52C9" w:rsidP="00FB52C9">
    <w:pPr>
      <w:pStyle w:val="Header"/>
      <w:jc w:val="center"/>
    </w:pPr>
  </w:p>
  <w:p w:rsidR="00FB52C9" w:rsidRDefault="00FB5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316F"/>
    <w:multiLevelType w:val="multilevel"/>
    <w:tmpl w:val="870EA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6D4A12"/>
    <w:multiLevelType w:val="hybridMultilevel"/>
    <w:tmpl w:val="4E1600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24"/>
    <w:rsid w:val="00101998"/>
    <w:rsid w:val="00174224"/>
    <w:rsid w:val="0019209A"/>
    <w:rsid w:val="001C0BF8"/>
    <w:rsid w:val="001C682B"/>
    <w:rsid w:val="00213A98"/>
    <w:rsid w:val="004B4C83"/>
    <w:rsid w:val="006250F3"/>
    <w:rsid w:val="00673F6A"/>
    <w:rsid w:val="007270E4"/>
    <w:rsid w:val="008B0745"/>
    <w:rsid w:val="00A6245A"/>
    <w:rsid w:val="00B15DC1"/>
    <w:rsid w:val="00D065E5"/>
    <w:rsid w:val="00E6793C"/>
    <w:rsid w:val="00E9286B"/>
    <w:rsid w:val="00F179EE"/>
    <w:rsid w:val="00F247EB"/>
    <w:rsid w:val="00FB30A6"/>
    <w:rsid w:val="00F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66023"/>
  <w14:defaultImageDpi w14:val="32767"/>
  <w15:chartTrackingRefBased/>
  <w15:docId w15:val="{B32D7D31-DE0E-C349-890F-093C990E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4224"/>
    <w:pPr>
      <w:ind w:left="720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7422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4224"/>
  </w:style>
  <w:style w:type="paragraph" w:styleId="Header">
    <w:name w:val="header"/>
    <w:basedOn w:val="Normal"/>
    <w:link w:val="HeaderChar"/>
    <w:uiPriority w:val="99"/>
    <w:unhideWhenUsed/>
    <w:rsid w:val="00FB5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2C9"/>
    <w:rPr>
      <w:rFonts w:ascii="Calibri" w:eastAsia="Calibri" w:hAnsi="Calibri" w:cs="Times New Roman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5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2C9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727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70E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6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georgianbaygreatlakesfound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Muter</dc:creator>
  <cp:keywords/>
  <dc:description/>
  <cp:lastModifiedBy>Bonnie Muter</cp:lastModifiedBy>
  <cp:revision>2</cp:revision>
  <dcterms:created xsi:type="dcterms:W3CDTF">2019-01-20T14:37:00Z</dcterms:created>
  <dcterms:modified xsi:type="dcterms:W3CDTF">2019-01-20T14:37:00Z</dcterms:modified>
</cp:coreProperties>
</file>