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02" w:rsidRDefault="00087002" w:rsidP="00087002">
      <w:pPr>
        <w:jc w:val="right"/>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February 28</w:t>
      </w:r>
      <w:r w:rsidRPr="00087002">
        <w:rPr>
          <w:rFonts w:ascii="Times New Roman" w:hAnsi="Times New Roman" w:cs="Times New Roman"/>
          <w:b/>
          <w:color w:val="000000" w:themeColor="text1"/>
          <w:shd w:val="clear" w:color="auto" w:fill="FFFFFF"/>
          <w:vertAlign w:val="superscript"/>
        </w:rPr>
        <w:t>th</w:t>
      </w:r>
      <w:r>
        <w:rPr>
          <w:rFonts w:ascii="Times New Roman" w:hAnsi="Times New Roman" w:cs="Times New Roman"/>
          <w:b/>
          <w:color w:val="000000" w:themeColor="text1"/>
          <w:shd w:val="clear" w:color="auto" w:fill="FFFFFF"/>
        </w:rPr>
        <w:t>, 2019</w:t>
      </w:r>
    </w:p>
    <w:p w:rsidR="00EA794C" w:rsidRDefault="00EA794C" w:rsidP="00087002">
      <w:pPr>
        <w:rPr>
          <w:rFonts w:ascii="Times New Roman" w:hAnsi="Times New Roman" w:cs="Times New Roman"/>
          <w:b/>
          <w:color w:val="000000" w:themeColor="text1"/>
          <w:shd w:val="clear" w:color="auto" w:fill="FFFFFF"/>
        </w:rPr>
      </w:pPr>
    </w:p>
    <w:p w:rsidR="00087002" w:rsidRPr="003242E4" w:rsidRDefault="00087002" w:rsidP="00087002">
      <w:pPr>
        <w:rPr>
          <w:rFonts w:ascii="Times New Roman" w:hAnsi="Times New Roman" w:cs="Times New Roman"/>
          <w:color w:val="000000" w:themeColor="text1"/>
          <w:shd w:val="clear" w:color="auto" w:fill="FFFFFF"/>
        </w:rPr>
      </w:pPr>
      <w:r w:rsidRPr="003242E4">
        <w:rPr>
          <w:rFonts w:ascii="Times New Roman" w:hAnsi="Times New Roman" w:cs="Times New Roman"/>
          <w:b/>
          <w:color w:val="000000" w:themeColor="text1"/>
          <w:shd w:val="clear" w:color="auto" w:fill="FFFFFF"/>
        </w:rPr>
        <w:t>Re: Proposed Amendment 1 to the Growth Plan for the Greater Golden Horseshoe, 2017 (2019)</w:t>
      </w:r>
    </w:p>
    <w:p w:rsidR="00087002" w:rsidRPr="003242E4" w:rsidRDefault="00087002" w:rsidP="00087002">
      <w:pPr>
        <w:pStyle w:val="Default"/>
        <w:spacing w:line="276" w:lineRule="auto"/>
        <w:rPr>
          <w:color w:val="000000" w:themeColor="text1"/>
          <w:sz w:val="22"/>
          <w:szCs w:val="22"/>
        </w:rPr>
      </w:pPr>
      <w:r w:rsidRPr="003242E4">
        <w:rPr>
          <w:color w:val="000000" w:themeColor="text1"/>
          <w:sz w:val="22"/>
          <w:szCs w:val="22"/>
        </w:rPr>
        <w:t xml:space="preserve">The Ontario Public Health Association (OPHA) appreciates the opportunity to provide comments on the Proposed Amendment 1 to the </w:t>
      </w:r>
      <w:r w:rsidRPr="003242E4">
        <w:rPr>
          <w:i/>
          <w:color w:val="000000" w:themeColor="text1"/>
          <w:sz w:val="22"/>
          <w:szCs w:val="22"/>
        </w:rPr>
        <w:t>Growth Plan for the Greater Golden Horseshoe, 2017</w:t>
      </w:r>
      <w:r w:rsidRPr="003242E4">
        <w:rPr>
          <w:color w:val="000000" w:themeColor="text1"/>
          <w:sz w:val="22"/>
          <w:szCs w:val="22"/>
        </w:rPr>
        <w:t xml:space="preserve"> (the Growth Plan). OPHA is a member-based, non-profit, non- partisan organization, which has been providing an independent voice for public health for 70 years. We bring together a broad spectrum of individuals and groups from various backgrounds and sectors, all of whom are committed to promoting the health and wellbeing of Ontarians.</w:t>
      </w:r>
    </w:p>
    <w:p w:rsidR="00087002" w:rsidRPr="003242E4" w:rsidRDefault="00087002" w:rsidP="00087002">
      <w:pPr>
        <w:pStyle w:val="Default"/>
        <w:spacing w:line="276" w:lineRule="auto"/>
        <w:rPr>
          <w:color w:val="000000" w:themeColor="text1"/>
          <w:sz w:val="22"/>
          <w:szCs w:val="22"/>
        </w:rPr>
      </w:pPr>
      <w:r w:rsidRPr="003242E4">
        <w:rPr>
          <w:color w:val="000000" w:themeColor="text1"/>
          <w:sz w:val="22"/>
          <w:szCs w:val="22"/>
        </w:rPr>
        <w:t xml:space="preserve"> </w:t>
      </w:r>
    </w:p>
    <w:p w:rsidR="00087002" w:rsidRPr="003242E4" w:rsidRDefault="00087002" w:rsidP="00087002">
      <w:pPr>
        <w:pStyle w:val="Default"/>
        <w:spacing w:line="276" w:lineRule="auto"/>
        <w:rPr>
          <w:color w:val="000000" w:themeColor="text1"/>
          <w:sz w:val="22"/>
          <w:szCs w:val="22"/>
        </w:rPr>
      </w:pPr>
      <w:r w:rsidRPr="003242E4">
        <w:rPr>
          <w:color w:val="000000" w:themeColor="text1"/>
          <w:sz w:val="22"/>
          <w:szCs w:val="22"/>
        </w:rPr>
        <w:t xml:space="preserve">There is increasing evidence that healthy and complete communities, which are communities that are compact, pedestrian-friendly, transit-supportive, and conducive to a variety of uses, positively impact population health and health equity. Research indicates that low-density and automobile-dependent communities adversely affect the health of residents. For example, such communities can be associated with increased rates of obesity, diabetes, cardiovascular diseases, respiratory illnesses and </w:t>
      </w:r>
      <w:r>
        <w:rPr>
          <w:color w:val="000000" w:themeColor="text1"/>
          <w:sz w:val="22"/>
          <w:szCs w:val="22"/>
        </w:rPr>
        <w:t xml:space="preserve">increased </w:t>
      </w:r>
      <w:r w:rsidRPr="003242E4">
        <w:rPr>
          <w:color w:val="000000" w:themeColor="text1"/>
          <w:sz w:val="22"/>
          <w:szCs w:val="22"/>
        </w:rPr>
        <w:t>exposure to environmental contaminants.</w:t>
      </w:r>
    </w:p>
    <w:p w:rsidR="00087002" w:rsidRPr="003242E4" w:rsidRDefault="00087002" w:rsidP="00087002">
      <w:pPr>
        <w:pStyle w:val="Default"/>
        <w:spacing w:line="276" w:lineRule="auto"/>
        <w:rPr>
          <w:color w:val="000000" w:themeColor="text1"/>
          <w:sz w:val="22"/>
          <w:szCs w:val="22"/>
        </w:rPr>
      </w:pPr>
    </w:p>
    <w:p w:rsidR="00087002" w:rsidRPr="003242E4" w:rsidRDefault="00087002" w:rsidP="00087002">
      <w:pPr>
        <w:rPr>
          <w:rFonts w:ascii="Times New Roman" w:hAnsi="Times New Roman" w:cs="Times New Roman"/>
          <w:color w:val="000000" w:themeColor="text1"/>
        </w:rPr>
      </w:pPr>
      <w:r w:rsidRPr="003242E4">
        <w:rPr>
          <w:rFonts w:ascii="Times New Roman" w:hAnsi="Times New Roman" w:cs="Times New Roman"/>
          <w:color w:val="000000" w:themeColor="text1"/>
        </w:rPr>
        <w:t>OPHA supports the guiding principles of the Growth Plan</w:t>
      </w:r>
      <w:r w:rsidRPr="003242E4">
        <w:rPr>
          <w:rFonts w:ascii="Times New Roman" w:hAnsi="Times New Roman" w:cs="Times New Roman"/>
          <w:i/>
          <w:color w:val="000000" w:themeColor="text1"/>
        </w:rPr>
        <w:t>,</w:t>
      </w:r>
      <w:r w:rsidRPr="003242E4">
        <w:rPr>
          <w:rFonts w:ascii="Times New Roman" w:hAnsi="Times New Roman" w:cs="Times New Roman"/>
          <w:color w:val="000000" w:themeColor="text1"/>
        </w:rPr>
        <w:t xml:space="preserve"> especially the principles which contribute to health such as: the promotion of complete communities that are designed to support healthy and active living; intensification and higher densities to support transit and service viability; and protection of the environment. </w:t>
      </w:r>
      <w:r w:rsidRPr="003242E4">
        <w:rPr>
          <w:rFonts w:ascii="Times New Roman" w:hAnsi="Times New Roman" w:cs="Times New Roman"/>
          <w:color w:val="000000" w:themeColor="text1"/>
          <w:lang w:val="en-US" w:eastAsia="en-CA"/>
        </w:rPr>
        <w:t xml:space="preserve">The Growth Plan is an </w:t>
      </w:r>
      <w:r w:rsidRPr="003242E4">
        <w:rPr>
          <w:rFonts w:ascii="Times New Roman" w:hAnsi="Times New Roman" w:cs="Times New Roman"/>
          <w:color w:val="000000" w:themeColor="text1"/>
          <w:lang w:eastAsia="en-CA"/>
        </w:rPr>
        <w:t xml:space="preserve">important and valuable tool that OPHA members rely on when working with regions, counties, cities, and towns to </w:t>
      </w:r>
      <w:r w:rsidRPr="003242E4">
        <w:rPr>
          <w:rFonts w:ascii="Times New Roman" w:hAnsi="Times New Roman" w:cs="Times New Roman"/>
          <w:color w:val="000000" w:themeColor="text1"/>
          <w:lang w:val="en-US" w:eastAsia="en-CA"/>
        </w:rPr>
        <w:t xml:space="preserve">develop local policies in support of healthy, complete communities.  </w:t>
      </w:r>
    </w:p>
    <w:p w:rsidR="00087002" w:rsidRPr="003242E4" w:rsidRDefault="00087002" w:rsidP="00087002">
      <w:pPr>
        <w:pStyle w:val="Default"/>
        <w:spacing w:line="276" w:lineRule="auto"/>
        <w:rPr>
          <w:color w:val="000000" w:themeColor="text1"/>
          <w:sz w:val="22"/>
          <w:szCs w:val="22"/>
        </w:rPr>
      </w:pPr>
      <w:r w:rsidRPr="003242E4">
        <w:rPr>
          <w:color w:val="000000" w:themeColor="text1"/>
          <w:sz w:val="22"/>
          <w:szCs w:val="22"/>
        </w:rPr>
        <w:t xml:space="preserve">OPHA is committed to advocating for a comprehensive and health-promoting Growth Plan, and as such, has been participating in written and in-person consultations regarding the Growth Plan since 2015. Recently, OPHA was invited to provide comments in-person at the </w:t>
      </w:r>
      <w:r w:rsidRPr="003242E4">
        <w:rPr>
          <w:i/>
          <w:color w:val="000000" w:themeColor="text1"/>
          <w:sz w:val="22"/>
          <w:szCs w:val="22"/>
        </w:rPr>
        <w:t>Growth Plan for the Greater Golden Horseshoe Stakeholder Forum</w:t>
      </w:r>
      <w:r w:rsidRPr="003242E4">
        <w:rPr>
          <w:color w:val="000000" w:themeColor="text1"/>
          <w:sz w:val="22"/>
          <w:szCs w:val="22"/>
        </w:rPr>
        <w:t xml:space="preserve"> on November 8th, 2018 and at the </w:t>
      </w:r>
      <w:r w:rsidRPr="003242E4">
        <w:rPr>
          <w:i/>
          <w:color w:val="000000" w:themeColor="text1"/>
          <w:sz w:val="22"/>
          <w:szCs w:val="22"/>
        </w:rPr>
        <w:t>Stakeholder Exchange on the Proposed Changes to the Growth Plan</w:t>
      </w:r>
      <w:r w:rsidRPr="003242E4">
        <w:rPr>
          <w:color w:val="000000" w:themeColor="text1"/>
          <w:sz w:val="22"/>
          <w:szCs w:val="22"/>
        </w:rPr>
        <w:t xml:space="preserve"> on February 11</w:t>
      </w:r>
      <w:r w:rsidRPr="003242E4">
        <w:rPr>
          <w:color w:val="000000" w:themeColor="text1"/>
          <w:sz w:val="22"/>
          <w:szCs w:val="22"/>
          <w:vertAlign w:val="superscript"/>
        </w:rPr>
        <w:t>th</w:t>
      </w:r>
      <w:r w:rsidRPr="003242E4">
        <w:rPr>
          <w:color w:val="000000" w:themeColor="text1"/>
          <w:sz w:val="22"/>
          <w:szCs w:val="22"/>
        </w:rPr>
        <w:t xml:space="preserve">, 2019. </w:t>
      </w:r>
    </w:p>
    <w:p w:rsidR="00087002" w:rsidRPr="003242E4" w:rsidRDefault="00087002" w:rsidP="00087002">
      <w:pPr>
        <w:pStyle w:val="Default"/>
        <w:spacing w:line="276" w:lineRule="auto"/>
        <w:rPr>
          <w:color w:val="000000" w:themeColor="text1"/>
          <w:sz w:val="22"/>
          <w:szCs w:val="22"/>
        </w:rPr>
      </w:pPr>
    </w:p>
    <w:p w:rsidR="00087002" w:rsidRPr="003242E4" w:rsidRDefault="00087002" w:rsidP="00087002">
      <w:pPr>
        <w:pStyle w:val="Default"/>
        <w:spacing w:line="276" w:lineRule="auto"/>
        <w:contextualSpacing/>
        <w:rPr>
          <w:color w:val="000000" w:themeColor="text1"/>
          <w:sz w:val="22"/>
          <w:szCs w:val="22"/>
        </w:rPr>
      </w:pPr>
      <w:r w:rsidRPr="003242E4">
        <w:rPr>
          <w:color w:val="000000" w:themeColor="text1"/>
          <w:sz w:val="22"/>
          <w:szCs w:val="22"/>
          <w:lang w:val="en-US" w:eastAsia="en-CA"/>
        </w:rPr>
        <w:t>OPHA supports Proposed Amendment 1 to increase flexibility and reflect the realities of various local contexts. However, it is critical that local-level policies encourage and contribute to the most healthy, complete, climate-resilient communities possible for each context (e.g.,</w:t>
      </w:r>
      <w:r w:rsidRPr="003242E4">
        <w:rPr>
          <w:color w:val="000000" w:themeColor="text1"/>
          <w:sz w:val="22"/>
          <w:szCs w:val="22"/>
        </w:rPr>
        <w:t xml:space="preserve"> </w:t>
      </w:r>
      <w:r w:rsidRPr="003242E4">
        <w:rPr>
          <w:color w:val="000000" w:themeColor="text1"/>
          <w:sz w:val="22"/>
          <w:szCs w:val="22"/>
          <w:lang w:val="en-US" w:eastAsia="en-CA"/>
        </w:rPr>
        <w:t>compact, pedestrian-friendly, transit-supportive, and conducive to a variety of uses.) This would require the establishment of clear criteria and performance measure indicators to evaluate i</w:t>
      </w:r>
      <w:r w:rsidRPr="003242E4" w:rsidDel="00086E09">
        <w:rPr>
          <w:color w:val="000000" w:themeColor="text1"/>
          <w:sz w:val="22"/>
          <w:szCs w:val="22"/>
          <w:lang w:val="en-US" w:eastAsia="en-CA"/>
        </w:rPr>
        <w:t>mplementation and impact of the Growth Plan and the Proposed Amendment 1</w:t>
      </w:r>
      <w:r w:rsidRPr="003242E4">
        <w:rPr>
          <w:color w:val="000000" w:themeColor="text1"/>
          <w:sz w:val="22"/>
          <w:szCs w:val="22"/>
          <w:lang w:val="en-US" w:eastAsia="en-CA"/>
        </w:rPr>
        <w:t xml:space="preserve"> with respect to topics such as </w:t>
      </w:r>
      <w:r w:rsidRPr="003242E4" w:rsidDel="00086E09">
        <w:rPr>
          <w:color w:val="000000" w:themeColor="text1"/>
          <w:sz w:val="22"/>
          <w:szCs w:val="22"/>
          <w:lang w:val="en-US" w:eastAsia="en-CA"/>
        </w:rPr>
        <w:t>density, affordable housing, and land use mix.</w:t>
      </w:r>
      <w:r w:rsidRPr="003242E4">
        <w:rPr>
          <w:color w:val="000000" w:themeColor="text1"/>
          <w:sz w:val="22"/>
          <w:szCs w:val="22"/>
          <w:lang w:val="en-US" w:eastAsia="en-CA"/>
        </w:rPr>
        <w:t xml:space="preserve"> </w:t>
      </w:r>
      <w:r w:rsidRPr="003242E4">
        <w:rPr>
          <w:color w:val="000000" w:themeColor="text1"/>
          <w:sz w:val="22"/>
          <w:szCs w:val="22"/>
        </w:rPr>
        <w:t>Below, we are pleased to offer a summary of our recommendations regarding Proposed Amendment 1. Please find more detailed comments regarding each recommendation in Appendix A.</w:t>
      </w:r>
    </w:p>
    <w:p w:rsidR="00087002" w:rsidRPr="003242E4" w:rsidRDefault="00087002" w:rsidP="00087002">
      <w:pPr>
        <w:contextualSpacing/>
        <w:rPr>
          <w:rFonts w:ascii="Times New Roman" w:hAnsi="Times New Roman" w:cs="Times New Roman"/>
          <w:color w:val="000000" w:themeColor="text1"/>
        </w:rPr>
      </w:pPr>
    </w:p>
    <w:p w:rsidR="00087002" w:rsidRPr="003242E4" w:rsidRDefault="00087002" w:rsidP="00087002">
      <w:pPr>
        <w:spacing w:after="0"/>
        <w:contextualSpacing/>
        <w:rPr>
          <w:rFonts w:ascii="Times New Roman" w:hAnsi="Times New Roman" w:cs="Times New Roman"/>
          <w:color w:val="000000" w:themeColor="text1"/>
        </w:rPr>
      </w:pPr>
      <w:r w:rsidRPr="003242E4">
        <w:rPr>
          <w:rFonts w:ascii="Times New Roman" w:hAnsi="Times New Roman" w:cs="Times New Roman"/>
          <w:color w:val="000000" w:themeColor="text1"/>
        </w:rPr>
        <w:t xml:space="preserve">Our recommendations are based on the following central guiding principle of the Growth Plan: </w:t>
      </w:r>
      <w:r w:rsidRPr="003242E4">
        <w:rPr>
          <w:rFonts w:ascii="Times New Roman" w:hAnsi="Times New Roman" w:cs="Times New Roman"/>
          <w:b/>
          <w:i/>
          <w:color w:val="000000" w:themeColor="text1"/>
          <w:lang w:val="en-US" w:eastAsia="en-CA"/>
        </w:rPr>
        <w:t xml:space="preserve">Proposed amendments shouldn’t compromise the vision to build healthy, complete communities. </w:t>
      </w:r>
    </w:p>
    <w:p w:rsidR="00087002" w:rsidRDefault="00087002" w:rsidP="00087002">
      <w:pPr>
        <w:spacing w:after="0"/>
        <w:rPr>
          <w:rFonts w:ascii="Times New Roman" w:hAnsi="Times New Roman" w:cs="Times New Roman"/>
          <w:color w:val="000000" w:themeColor="text1"/>
          <w:lang w:val="en-US" w:eastAsia="en-CA"/>
        </w:rPr>
      </w:pPr>
      <w:bookmarkStart w:id="0" w:name="_GoBack"/>
      <w:bookmarkEnd w:id="0"/>
    </w:p>
    <w:p w:rsidR="00087002" w:rsidRPr="003242E4" w:rsidRDefault="00087002" w:rsidP="00087002">
      <w:pPr>
        <w:spacing w:after="0"/>
        <w:rPr>
          <w:rFonts w:ascii="Times New Roman" w:hAnsi="Times New Roman" w:cs="Times New Roman"/>
          <w:color w:val="000000" w:themeColor="text1"/>
          <w:lang w:val="en-US" w:eastAsia="en-CA"/>
        </w:rPr>
      </w:pPr>
      <w:r w:rsidRPr="003242E4">
        <w:rPr>
          <w:rFonts w:ascii="Times New Roman" w:hAnsi="Times New Roman" w:cs="Times New Roman"/>
          <w:color w:val="000000" w:themeColor="text1"/>
          <w:lang w:val="en-US" w:eastAsia="en-CA"/>
        </w:rPr>
        <w:lastRenderedPageBreak/>
        <w:t>OPHA urges your government to consider the following recommendations:</w:t>
      </w:r>
    </w:p>
    <w:p w:rsidR="00087002" w:rsidRPr="003242E4" w:rsidRDefault="00087002" w:rsidP="00087002">
      <w:pPr>
        <w:spacing w:after="0"/>
        <w:rPr>
          <w:rFonts w:ascii="Times New Roman" w:hAnsi="Times New Roman" w:cs="Times New Roman"/>
          <w:color w:val="000000" w:themeColor="text1"/>
          <w:lang w:val="en-US" w:eastAsia="en-CA"/>
        </w:rPr>
      </w:pPr>
    </w:p>
    <w:p w:rsidR="00087002" w:rsidRPr="003242E4" w:rsidRDefault="00087002" w:rsidP="00087002">
      <w:pPr>
        <w:pStyle w:val="Default"/>
        <w:numPr>
          <w:ilvl w:val="0"/>
          <w:numId w:val="2"/>
        </w:numPr>
        <w:spacing w:line="276" w:lineRule="auto"/>
        <w:rPr>
          <w:b/>
          <w:color w:val="000000" w:themeColor="text1"/>
          <w:sz w:val="22"/>
          <w:szCs w:val="22"/>
        </w:rPr>
      </w:pPr>
      <w:r w:rsidRPr="003242E4">
        <w:rPr>
          <w:b/>
          <w:color w:val="000000" w:themeColor="text1"/>
          <w:sz w:val="22"/>
          <w:szCs w:val="22"/>
        </w:rPr>
        <w:t>Intensification Targets and Designated Greenfield Area Density Targets</w:t>
      </w:r>
    </w:p>
    <w:p w:rsidR="00087002" w:rsidRPr="003242E4" w:rsidRDefault="00087002" w:rsidP="00087002">
      <w:pPr>
        <w:pStyle w:val="Default"/>
        <w:numPr>
          <w:ilvl w:val="0"/>
          <w:numId w:val="1"/>
        </w:numPr>
        <w:spacing w:line="276" w:lineRule="auto"/>
        <w:rPr>
          <w:color w:val="000000" w:themeColor="text1"/>
          <w:sz w:val="22"/>
          <w:szCs w:val="22"/>
        </w:rPr>
      </w:pPr>
      <w:r w:rsidRPr="003242E4">
        <w:rPr>
          <w:color w:val="000000" w:themeColor="text1"/>
          <w:sz w:val="22"/>
          <w:szCs w:val="22"/>
          <w:lang w:val="en-US" w:eastAsia="en-CA"/>
        </w:rPr>
        <w:t xml:space="preserve">Maintain minimum densities above 50 people and jobs per hectare to support transit, walkability, and mixed-use development. </w:t>
      </w:r>
    </w:p>
    <w:p w:rsidR="00087002" w:rsidRPr="003242E4" w:rsidRDefault="00087002" w:rsidP="00087002">
      <w:pPr>
        <w:pStyle w:val="Default"/>
        <w:spacing w:line="276" w:lineRule="auto"/>
        <w:rPr>
          <w:b/>
          <w:color w:val="000000" w:themeColor="text1"/>
          <w:sz w:val="22"/>
          <w:szCs w:val="22"/>
        </w:rPr>
      </w:pPr>
    </w:p>
    <w:p w:rsidR="00087002" w:rsidRPr="003242E4" w:rsidRDefault="00087002" w:rsidP="00087002">
      <w:pPr>
        <w:pStyle w:val="Default"/>
        <w:numPr>
          <w:ilvl w:val="0"/>
          <w:numId w:val="2"/>
        </w:numPr>
        <w:spacing w:line="276" w:lineRule="auto"/>
        <w:rPr>
          <w:b/>
          <w:color w:val="000000" w:themeColor="text1"/>
          <w:sz w:val="22"/>
          <w:szCs w:val="22"/>
        </w:rPr>
      </w:pPr>
      <w:r w:rsidRPr="003242E4">
        <w:rPr>
          <w:b/>
          <w:color w:val="000000" w:themeColor="text1"/>
          <w:sz w:val="22"/>
          <w:szCs w:val="22"/>
        </w:rPr>
        <w:t>Employment Planning</w:t>
      </w:r>
    </w:p>
    <w:p w:rsidR="00087002" w:rsidRPr="003242E4" w:rsidRDefault="00087002" w:rsidP="00087002">
      <w:pPr>
        <w:pStyle w:val="Default"/>
        <w:numPr>
          <w:ilvl w:val="0"/>
          <w:numId w:val="1"/>
        </w:numPr>
        <w:spacing w:line="276" w:lineRule="auto"/>
        <w:rPr>
          <w:color w:val="000000" w:themeColor="text1"/>
          <w:sz w:val="22"/>
          <w:szCs w:val="22"/>
        </w:rPr>
      </w:pPr>
      <w:r w:rsidRPr="003242E4">
        <w:rPr>
          <w:color w:val="000000" w:themeColor="text1"/>
          <w:sz w:val="22"/>
          <w:szCs w:val="22"/>
        </w:rPr>
        <w:t>Support the development of an Economic Strategy for the Greater Golden Horseshoe as employment areas may be part of an overall strategy for employment for the region and municipalities.</w:t>
      </w:r>
    </w:p>
    <w:p w:rsidR="00087002" w:rsidRPr="003242E4" w:rsidRDefault="00087002" w:rsidP="00087002">
      <w:pPr>
        <w:pStyle w:val="Default"/>
        <w:spacing w:line="276" w:lineRule="auto"/>
        <w:ind w:left="720"/>
        <w:rPr>
          <w:b/>
          <w:color w:val="000000" w:themeColor="text1"/>
          <w:sz w:val="22"/>
          <w:szCs w:val="22"/>
        </w:rPr>
      </w:pPr>
    </w:p>
    <w:p w:rsidR="00087002" w:rsidRPr="003242E4" w:rsidRDefault="00087002" w:rsidP="00087002">
      <w:pPr>
        <w:pStyle w:val="Default"/>
        <w:numPr>
          <w:ilvl w:val="0"/>
          <w:numId w:val="2"/>
        </w:numPr>
        <w:spacing w:line="276" w:lineRule="auto"/>
        <w:rPr>
          <w:b/>
          <w:color w:val="000000" w:themeColor="text1"/>
          <w:sz w:val="22"/>
          <w:szCs w:val="22"/>
        </w:rPr>
      </w:pPr>
      <w:r w:rsidRPr="003242E4">
        <w:rPr>
          <w:b/>
          <w:color w:val="000000" w:themeColor="text1"/>
          <w:sz w:val="22"/>
          <w:szCs w:val="22"/>
        </w:rPr>
        <w:t>Settlement Area Boundary Adjustments</w:t>
      </w:r>
      <w:r w:rsidRPr="003242E4">
        <w:rPr>
          <w:color w:val="000000" w:themeColor="text1"/>
          <w:sz w:val="22"/>
          <w:szCs w:val="22"/>
          <w:lang w:val="en-US" w:eastAsia="en-CA"/>
        </w:rPr>
        <w:t xml:space="preserve"> </w:t>
      </w:r>
    </w:p>
    <w:p w:rsidR="00087002" w:rsidRPr="003242E4" w:rsidRDefault="00087002" w:rsidP="00087002">
      <w:pPr>
        <w:pStyle w:val="Default"/>
        <w:numPr>
          <w:ilvl w:val="1"/>
          <w:numId w:val="2"/>
        </w:numPr>
        <w:spacing w:line="276" w:lineRule="auto"/>
        <w:ind w:left="720"/>
        <w:rPr>
          <w:b/>
          <w:color w:val="000000" w:themeColor="text1"/>
          <w:sz w:val="22"/>
          <w:szCs w:val="22"/>
        </w:rPr>
      </w:pPr>
      <w:r w:rsidRPr="003242E4">
        <w:rPr>
          <w:color w:val="000000" w:themeColor="text1"/>
          <w:sz w:val="22"/>
          <w:szCs w:val="22"/>
          <w:lang w:val="en-US" w:eastAsia="en-CA"/>
        </w:rPr>
        <w:t>To protect the natural environment, limit expansion of settlement area boundaries within white belt, greenbelt, natural heritage, or agricultural systems if there is an opportunity to intensify in already established boundaries.</w:t>
      </w:r>
    </w:p>
    <w:p w:rsidR="00087002" w:rsidRPr="003242E4" w:rsidRDefault="00087002" w:rsidP="00087002">
      <w:pPr>
        <w:pStyle w:val="Default"/>
        <w:numPr>
          <w:ilvl w:val="1"/>
          <w:numId w:val="2"/>
        </w:numPr>
        <w:spacing w:line="276" w:lineRule="auto"/>
        <w:ind w:left="720"/>
        <w:rPr>
          <w:color w:val="000000" w:themeColor="text1"/>
          <w:sz w:val="22"/>
          <w:szCs w:val="22"/>
        </w:rPr>
      </w:pPr>
      <w:r w:rsidRPr="003242E4">
        <w:rPr>
          <w:color w:val="000000" w:themeColor="text1"/>
          <w:sz w:val="22"/>
          <w:szCs w:val="22"/>
        </w:rPr>
        <w:t>Avoid lessening the requirements for large settlement area boundary expansions</w:t>
      </w:r>
      <w:r>
        <w:rPr>
          <w:color w:val="000000" w:themeColor="text1"/>
          <w:sz w:val="22"/>
          <w:szCs w:val="22"/>
        </w:rPr>
        <w:t xml:space="preserve"> as this</w:t>
      </w:r>
      <w:r w:rsidRPr="003242E4">
        <w:rPr>
          <w:color w:val="000000" w:themeColor="text1"/>
          <w:sz w:val="22"/>
          <w:szCs w:val="22"/>
        </w:rPr>
        <w:t xml:space="preserve"> may </w:t>
      </w:r>
      <w:r w:rsidRPr="0003600E">
        <w:rPr>
          <w:color w:val="000000" w:themeColor="text1"/>
          <w:sz w:val="22"/>
          <w:szCs w:val="22"/>
        </w:rPr>
        <w:t>discourage</w:t>
      </w:r>
      <w:r>
        <w:rPr>
          <w:color w:val="000000" w:themeColor="text1"/>
          <w:sz w:val="22"/>
          <w:szCs w:val="22"/>
        </w:rPr>
        <w:t xml:space="preserve"> intensification; intensification helps promote more </w:t>
      </w:r>
      <w:r w:rsidRPr="003242E4">
        <w:rPr>
          <w:color w:val="000000" w:themeColor="text1"/>
          <w:sz w:val="22"/>
          <w:szCs w:val="22"/>
        </w:rPr>
        <w:t xml:space="preserve">active lifestyle. </w:t>
      </w:r>
    </w:p>
    <w:p w:rsidR="00087002" w:rsidRPr="003242E4" w:rsidRDefault="00087002" w:rsidP="00087002">
      <w:pPr>
        <w:pStyle w:val="Default"/>
        <w:numPr>
          <w:ilvl w:val="1"/>
          <w:numId w:val="2"/>
        </w:numPr>
        <w:spacing w:line="276" w:lineRule="auto"/>
        <w:ind w:left="720"/>
        <w:rPr>
          <w:color w:val="000000" w:themeColor="text1"/>
          <w:sz w:val="22"/>
          <w:szCs w:val="22"/>
        </w:rPr>
      </w:pPr>
      <w:r w:rsidRPr="003242E4">
        <w:rPr>
          <w:color w:val="000000" w:themeColor="text1"/>
          <w:sz w:val="22"/>
          <w:szCs w:val="22"/>
        </w:rPr>
        <w:t>Provide more clarity about the amendment to allow municipalities to do boundary expansions of 40 hectares without an Official Plan review. For smaller municipalities 40 hectares represents a significant portion of land which could potentiall</w:t>
      </w:r>
      <w:r>
        <w:rPr>
          <w:color w:val="000000" w:themeColor="text1"/>
          <w:sz w:val="22"/>
          <w:szCs w:val="22"/>
        </w:rPr>
        <w:t xml:space="preserve">y hold 200-300 new homes, a large </w:t>
      </w:r>
      <w:r w:rsidRPr="003242E4">
        <w:rPr>
          <w:color w:val="000000" w:themeColor="text1"/>
          <w:sz w:val="22"/>
          <w:szCs w:val="22"/>
        </w:rPr>
        <w:t xml:space="preserve">development for some communities. </w:t>
      </w:r>
    </w:p>
    <w:p w:rsidR="00087002" w:rsidRPr="003242E4" w:rsidRDefault="00087002" w:rsidP="00087002">
      <w:pPr>
        <w:pStyle w:val="Default"/>
        <w:spacing w:line="276" w:lineRule="auto"/>
        <w:rPr>
          <w:color w:val="000000" w:themeColor="text1"/>
          <w:sz w:val="22"/>
          <w:szCs w:val="22"/>
        </w:rPr>
      </w:pPr>
    </w:p>
    <w:p w:rsidR="00087002" w:rsidRPr="003242E4" w:rsidRDefault="00087002" w:rsidP="00087002">
      <w:pPr>
        <w:pStyle w:val="Default"/>
        <w:numPr>
          <w:ilvl w:val="0"/>
          <w:numId w:val="2"/>
        </w:numPr>
        <w:spacing w:line="276" w:lineRule="auto"/>
        <w:rPr>
          <w:color w:val="000000" w:themeColor="text1"/>
          <w:sz w:val="22"/>
          <w:szCs w:val="22"/>
        </w:rPr>
      </w:pPr>
      <w:r w:rsidRPr="003242E4">
        <w:rPr>
          <w:b/>
          <w:color w:val="000000" w:themeColor="text1"/>
          <w:sz w:val="22"/>
          <w:szCs w:val="22"/>
        </w:rPr>
        <w:t>Major Transit Station Areas</w:t>
      </w:r>
    </w:p>
    <w:p w:rsidR="00087002" w:rsidRPr="003242E4" w:rsidRDefault="00087002" w:rsidP="00087002">
      <w:pPr>
        <w:pStyle w:val="Default"/>
        <w:numPr>
          <w:ilvl w:val="1"/>
          <w:numId w:val="2"/>
        </w:numPr>
        <w:spacing w:line="276" w:lineRule="auto"/>
        <w:ind w:left="720"/>
        <w:rPr>
          <w:color w:val="000000" w:themeColor="text1"/>
          <w:sz w:val="22"/>
          <w:szCs w:val="22"/>
        </w:rPr>
      </w:pPr>
      <w:r w:rsidRPr="003242E4">
        <w:rPr>
          <w:color w:val="000000" w:themeColor="text1"/>
          <w:sz w:val="22"/>
          <w:szCs w:val="22"/>
        </w:rPr>
        <w:t xml:space="preserve">Retain existing density targets, expanding the potential ratio of major transit station areas, and expediting designation processes to support transit. </w:t>
      </w:r>
    </w:p>
    <w:p w:rsidR="00087002" w:rsidRPr="003242E4" w:rsidRDefault="00087002" w:rsidP="00087002">
      <w:pPr>
        <w:pStyle w:val="Default"/>
        <w:numPr>
          <w:ilvl w:val="1"/>
          <w:numId w:val="2"/>
        </w:numPr>
        <w:spacing w:line="276" w:lineRule="auto"/>
        <w:ind w:left="720"/>
        <w:rPr>
          <w:color w:val="000000" w:themeColor="text1"/>
          <w:sz w:val="22"/>
          <w:szCs w:val="22"/>
        </w:rPr>
      </w:pPr>
      <w:r w:rsidRPr="003242E4">
        <w:rPr>
          <w:color w:val="000000" w:themeColor="text1"/>
          <w:sz w:val="22"/>
          <w:szCs w:val="22"/>
        </w:rPr>
        <w:t xml:space="preserve">Consider clarifying the conditions/definitions under “Major Trip Generators” such that it is not used to enable lower density with unrealistic trip generation to support transit sustainability. </w:t>
      </w:r>
    </w:p>
    <w:p w:rsidR="00087002" w:rsidRPr="003242E4" w:rsidRDefault="00087002" w:rsidP="00087002">
      <w:pPr>
        <w:pStyle w:val="Default"/>
        <w:spacing w:line="276" w:lineRule="auto"/>
        <w:rPr>
          <w:color w:val="000000" w:themeColor="text1"/>
          <w:sz w:val="22"/>
          <w:szCs w:val="22"/>
        </w:rPr>
      </w:pPr>
    </w:p>
    <w:p w:rsidR="00087002" w:rsidRPr="003242E4" w:rsidRDefault="00087002" w:rsidP="00087002">
      <w:pPr>
        <w:pStyle w:val="Default"/>
        <w:spacing w:line="276" w:lineRule="auto"/>
        <w:rPr>
          <w:color w:val="000000" w:themeColor="text1"/>
          <w:sz w:val="22"/>
          <w:szCs w:val="22"/>
        </w:rPr>
      </w:pPr>
      <w:r w:rsidRPr="003242E4">
        <w:rPr>
          <w:color w:val="000000" w:themeColor="text1"/>
          <w:sz w:val="22"/>
          <w:szCs w:val="22"/>
        </w:rPr>
        <w:t xml:space="preserve">OPHA would welcome any </w:t>
      </w:r>
      <w:r>
        <w:rPr>
          <w:color w:val="000000" w:themeColor="text1"/>
          <w:sz w:val="22"/>
          <w:szCs w:val="22"/>
        </w:rPr>
        <w:t xml:space="preserve">further </w:t>
      </w:r>
      <w:r w:rsidRPr="003242E4">
        <w:rPr>
          <w:color w:val="000000" w:themeColor="text1"/>
          <w:sz w:val="22"/>
          <w:szCs w:val="22"/>
        </w:rPr>
        <w:t>opportunities to be involved in</w:t>
      </w:r>
      <w:r>
        <w:rPr>
          <w:color w:val="000000" w:themeColor="text1"/>
          <w:sz w:val="22"/>
          <w:szCs w:val="22"/>
        </w:rPr>
        <w:t xml:space="preserve"> this review and </w:t>
      </w:r>
      <w:r w:rsidRPr="003242E4">
        <w:rPr>
          <w:color w:val="000000" w:themeColor="text1"/>
          <w:sz w:val="22"/>
          <w:szCs w:val="22"/>
        </w:rPr>
        <w:t>follow-up processes</w:t>
      </w:r>
      <w:r>
        <w:rPr>
          <w:color w:val="000000" w:themeColor="text1"/>
          <w:sz w:val="22"/>
          <w:szCs w:val="22"/>
        </w:rPr>
        <w:t xml:space="preserve">. </w:t>
      </w:r>
      <w:proofErr w:type="gramStart"/>
      <w:r w:rsidRPr="003242E4">
        <w:rPr>
          <w:color w:val="000000" w:themeColor="text1"/>
          <w:sz w:val="22"/>
          <w:szCs w:val="22"/>
        </w:rPr>
        <w:t xml:space="preserve">We </w:t>
      </w:r>
      <w:r>
        <w:rPr>
          <w:color w:val="000000" w:themeColor="text1"/>
          <w:sz w:val="22"/>
          <w:szCs w:val="22"/>
        </w:rPr>
        <w:t xml:space="preserve">value being able to </w:t>
      </w:r>
      <w:r w:rsidRPr="003242E4">
        <w:rPr>
          <w:color w:val="000000" w:themeColor="text1"/>
          <w:sz w:val="22"/>
          <w:szCs w:val="22"/>
        </w:rPr>
        <w:t>collaborat</w:t>
      </w:r>
      <w:r>
        <w:rPr>
          <w:color w:val="000000" w:themeColor="text1"/>
          <w:sz w:val="22"/>
          <w:szCs w:val="22"/>
        </w:rPr>
        <w:t>e</w:t>
      </w:r>
      <w:r w:rsidRPr="003242E4">
        <w:rPr>
          <w:color w:val="000000" w:themeColor="text1"/>
          <w:sz w:val="22"/>
          <w:szCs w:val="22"/>
        </w:rPr>
        <w:t xml:space="preserve"> with your </w:t>
      </w:r>
      <w:r>
        <w:rPr>
          <w:color w:val="000000" w:themeColor="text1"/>
          <w:sz w:val="22"/>
          <w:szCs w:val="22"/>
        </w:rPr>
        <w:t xml:space="preserve">ministry to advance our </w:t>
      </w:r>
      <w:r w:rsidRPr="003242E4">
        <w:rPr>
          <w:color w:val="000000" w:themeColor="text1"/>
          <w:sz w:val="22"/>
          <w:szCs w:val="22"/>
        </w:rPr>
        <w:t>shared interest in creating healthy, livable, complete</w:t>
      </w:r>
      <w:r>
        <w:rPr>
          <w:color w:val="000000" w:themeColor="text1"/>
          <w:sz w:val="22"/>
          <w:szCs w:val="22"/>
        </w:rPr>
        <w:t xml:space="preserve"> and climate-resilient</w:t>
      </w:r>
      <w:r w:rsidRPr="003242E4">
        <w:rPr>
          <w:color w:val="000000" w:themeColor="text1"/>
          <w:sz w:val="22"/>
          <w:szCs w:val="22"/>
        </w:rPr>
        <w:t xml:space="preserve"> communities.</w:t>
      </w:r>
      <w:proofErr w:type="gramEnd"/>
      <w:r w:rsidRPr="003242E4">
        <w:rPr>
          <w:color w:val="000000" w:themeColor="text1"/>
          <w:sz w:val="22"/>
          <w:szCs w:val="22"/>
        </w:rPr>
        <w:t xml:space="preserve"> OPHA</w:t>
      </w:r>
      <w:r>
        <w:rPr>
          <w:color w:val="000000" w:themeColor="text1"/>
          <w:sz w:val="22"/>
          <w:szCs w:val="22"/>
        </w:rPr>
        <w:t xml:space="preserve">, through its </w:t>
      </w:r>
      <w:r w:rsidRPr="003242E4">
        <w:rPr>
          <w:color w:val="000000" w:themeColor="text1"/>
          <w:sz w:val="22"/>
          <w:szCs w:val="22"/>
        </w:rPr>
        <w:t>Build Environment Working Group will b</w:t>
      </w:r>
      <w:r>
        <w:rPr>
          <w:color w:val="000000" w:themeColor="text1"/>
          <w:sz w:val="22"/>
          <w:szCs w:val="22"/>
        </w:rPr>
        <w:t xml:space="preserve">e contacting your branch to set up </w:t>
      </w:r>
      <w:r w:rsidRPr="003242E4">
        <w:rPr>
          <w:color w:val="000000" w:themeColor="text1"/>
          <w:sz w:val="22"/>
          <w:szCs w:val="22"/>
        </w:rPr>
        <w:t>a meeting to discuss h</w:t>
      </w:r>
      <w:r>
        <w:rPr>
          <w:color w:val="000000" w:themeColor="text1"/>
          <w:sz w:val="22"/>
          <w:szCs w:val="22"/>
        </w:rPr>
        <w:t xml:space="preserve">ow we may assist your ministry </w:t>
      </w:r>
      <w:r w:rsidRPr="003242E4">
        <w:rPr>
          <w:color w:val="000000" w:themeColor="text1"/>
          <w:sz w:val="22"/>
          <w:szCs w:val="22"/>
        </w:rPr>
        <w:t>in achieving healthy and complete communities in the Greater Golden Horseshoe.</w:t>
      </w:r>
    </w:p>
    <w:p w:rsidR="00087002" w:rsidRPr="00087002" w:rsidRDefault="00087002" w:rsidP="00087002">
      <w:pPr>
        <w:pStyle w:val="Default"/>
        <w:spacing w:line="276" w:lineRule="auto"/>
        <w:rPr>
          <w:color w:val="000000" w:themeColor="text1"/>
          <w:sz w:val="22"/>
          <w:szCs w:val="22"/>
        </w:rPr>
      </w:pPr>
    </w:p>
    <w:p w:rsidR="00983AE8" w:rsidRDefault="00087002" w:rsidP="00087002">
      <w:pPr>
        <w:rPr>
          <w:rFonts w:ascii="Times New Roman" w:hAnsi="Times New Roman" w:cs="Times New Roman"/>
          <w:color w:val="000000" w:themeColor="text1"/>
        </w:rPr>
      </w:pPr>
      <w:r w:rsidRPr="00087002">
        <w:rPr>
          <w:rFonts w:ascii="Times New Roman" w:hAnsi="Times New Roman" w:cs="Times New Roman"/>
          <w:color w:val="000000" w:themeColor="text1"/>
        </w:rPr>
        <w:t>Thank you for your consideration</w:t>
      </w:r>
      <w:r w:rsidRPr="00087002">
        <w:rPr>
          <w:rFonts w:ascii="Times New Roman" w:hAnsi="Times New Roman" w:cs="Times New Roman"/>
          <w:color w:val="000000" w:themeColor="text1"/>
        </w:rPr>
        <w:t>.</w:t>
      </w:r>
    </w:p>
    <w:p w:rsidR="00087002" w:rsidRDefault="00087002" w:rsidP="00087002">
      <w:pPr>
        <w:rPr>
          <w:rFonts w:ascii="Times New Roman" w:hAnsi="Times New Roman" w:cs="Times New Roman"/>
          <w:color w:val="000000" w:themeColor="text1"/>
        </w:rPr>
      </w:pPr>
    </w:p>
    <w:p w:rsidR="00087002" w:rsidRDefault="00087002" w:rsidP="00087002">
      <w:pPr>
        <w:rPr>
          <w:rFonts w:ascii="Times New Roman" w:hAnsi="Times New Roman" w:cs="Times New Roman"/>
          <w:color w:val="000000" w:themeColor="text1"/>
        </w:rPr>
      </w:pPr>
    </w:p>
    <w:p w:rsidR="00087002" w:rsidRDefault="00087002" w:rsidP="00087002">
      <w:pPr>
        <w:rPr>
          <w:rFonts w:ascii="Times New Roman" w:hAnsi="Times New Roman" w:cs="Times New Roman"/>
          <w:color w:val="000000" w:themeColor="text1"/>
        </w:rPr>
      </w:pPr>
    </w:p>
    <w:p w:rsidR="00087002" w:rsidRDefault="00087002" w:rsidP="00087002">
      <w:pPr>
        <w:rPr>
          <w:rFonts w:ascii="Times New Roman" w:hAnsi="Times New Roman" w:cs="Times New Roman"/>
          <w:b/>
          <w:color w:val="000000" w:themeColor="text1"/>
        </w:rPr>
      </w:pPr>
    </w:p>
    <w:p w:rsidR="00087002" w:rsidRDefault="00087002" w:rsidP="00087002">
      <w:pPr>
        <w:rPr>
          <w:rFonts w:ascii="Times New Roman" w:hAnsi="Times New Roman" w:cs="Times New Roman"/>
          <w:b/>
          <w:color w:val="000000" w:themeColor="text1"/>
        </w:rPr>
      </w:pPr>
    </w:p>
    <w:p w:rsidR="00087002" w:rsidRPr="003242E4" w:rsidRDefault="00087002" w:rsidP="00087002">
      <w:pPr>
        <w:rPr>
          <w:rFonts w:ascii="Times New Roman" w:hAnsi="Times New Roman" w:cs="Times New Roman"/>
          <w:b/>
          <w:color w:val="000000" w:themeColor="text1"/>
        </w:rPr>
      </w:pPr>
      <w:r>
        <w:rPr>
          <w:rFonts w:ascii="Times New Roman" w:hAnsi="Times New Roman" w:cs="Times New Roman"/>
          <w:b/>
          <w:color w:val="000000" w:themeColor="text1"/>
        </w:rPr>
        <w:lastRenderedPageBreak/>
        <w:t>A</w:t>
      </w:r>
      <w:r w:rsidRPr="003242E4">
        <w:rPr>
          <w:rFonts w:ascii="Times New Roman" w:hAnsi="Times New Roman" w:cs="Times New Roman"/>
          <w:b/>
          <w:color w:val="000000" w:themeColor="text1"/>
        </w:rPr>
        <w:t xml:space="preserve">ppendix </w:t>
      </w:r>
      <w:proofErr w:type="gramStart"/>
      <w:r w:rsidRPr="003242E4">
        <w:rPr>
          <w:rFonts w:ascii="Times New Roman" w:hAnsi="Times New Roman" w:cs="Times New Roman"/>
          <w:b/>
          <w:color w:val="000000" w:themeColor="text1"/>
        </w:rPr>
        <w:t>A</w:t>
      </w:r>
      <w:proofErr w:type="gramEnd"/>
      <w:r w:rsidRPr="003242E4">
        <w:rPr>
          <w:rFonts w:ascii="Times New Roman" w:hAnsi="Times New Roman" w:cs="Times New Roman"/>
          <w:b/>
          <w:color w:val="000000" w:themeColor="text1"/>
        </w:rPr>
        <w:t xml:space="preserve"> - Detailed Comments Around Recommendations Re: Proposed Amendment 1</w:t>
      </w:r>
      <w:r>
        <w:rPr>
          <w:rFonts w:ascii="Times New Roman" w:hAnsi="Times New Roman" w:cs="Times New Roman"/>
          <w:b/>
          <w:color w:val="000000" w:themeColor="text1"/>
        </w:rPr>
        <w:t xml:space="preserve"> </w:t>
      </w:r>
    </w:p>
    <w:tbl>
      <w:tblPr>
        <w:tblStyle w:val="TableGrid"/>
        <w:tblpPr w:leftFromText="180" w:rightFromText="180" w:vertAnchor="page" w:horzAnchor="margin" w:tblpY="1936"/>
        <w:tblW w:w="0" w:type="auto"/>
        <w:tblLook w:val="04A0" w:firstRow="1" w:lastRow="0" w:firstColumn="1" w:lastColumn="0" w:noHBand="0" w:noVBand="1"/>
      </w:tblPr>
      <w:tblGrid>
        <w:gridCol w:w="2268"/>
        <w:gridCol w:w="7308"/>
      </w:tblGrid>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p>
        </w:tc>
        <w:tc>
          <w:tcPr>
            <w:tcW w:w="7308" w:type="dxa"/>
          </w:tcPr>
          <w:p w:rsidR="00087002" w:rsidRPr="003242E4" w:rsidRDefault="00087002" w:rsidP="00B112D8">
            <w:pPr>
              <w:rPr>
                <w:rFonts w:ascii="Times New Roman" w:hAnsi="Times New Roman" w:cs="Times New Roman"/>
                <w:b/>
                <w:color w:val="000000" w:themeColor="text1"/>
              </w:rPr>
            </w:pPr>
            <w:r w:rsidRPr="003242E4">
              <w:rPr>
                <w:rFonts w:ascii="Times New Roman" w:hAnsi="Times New Roman" w:cs="Times New Roman"/>
                <w:b/>
                <w:color w:val="000000" w:themeColor="text1"/>
              </w:rPr>
              <w:t>Comment</w:t>
            </w:r>
            <w:r>
              <w:rPr>
                <w:rFonts w:ascii="Times New Roman" w:hAnsi="Times New Roman" w:cs="Times New Roman"/>
                <w:b/>
                <w:color w:val="000000" w:themeColor="text1"/>
              </w:rPr>
              <w:t>s</w:t>
            </w:r>
          </w:p>
        </w:tc>
      </w:tr>
      <w:tr w:rsidR="00087002" w:rsidRPr="003242E4" w:rsidTr="00B112D8">
        <w:trPr>
          <w:trHeight w:val="342"/>
        </w:trPr>
        <w:tc>
          <w:tcPr>
            <w:tcW w:w="9576" w:type="dxa"/>
            <w:gridSpan w:val="2"/>
            <w:shd w:val="clear" w:color="auto" w:fill="B8CCE4" w:themeFill="accent1" w:themeFillTint="66"/>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Section 1 - Introduction</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1.1 – The Greater Golden Horseshoe</w:t>
            </w: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A definition of “unmanaged growth” needs to be included in the definition section to better understand the context of replacing “low-density urban sprawl” with “unmanaged growth</w:t>
            </w:r>
            <w:r>
              <w:rPr>
                <w:rFonts w:ascii="Times New Roman" w:hAnsi="Times New Roman" w:cs="Times New Roman"/>
                <w:color w:val="000000" w:themeColor="text1"/>
              </w:rPr>
              <w:t>.”</w:t>
            </w:r>
            <w:r w:rsidRPr="003242E4">
              <w:rPr>
                <w:rFonts w:ascii="Times New Roman" w:hAnsi="Times New Roman" w:cs="Times New Roman"/>
                <w:color w:val="000000" w:themeColor="text1"/>
              </w:rPr>
              <w:t xml:space="preserve"> </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1.2 – The Growth Plan for the Greater Golden Horseshoe </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Consider re-inclusion of social equity with the Vision. As noted in section 2.2.1, social equity is an important element in complete communities where people live, work and play.</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In third last paragraph of Section 1.2. </w:t>
            </w:r>
            <w:proofErr w:type="gramStart"/>
            <w:r w:rsidRPr="003242E4">
              <w:rPr>
                <w:rFonts w:ascii="Times New Roman" w:hAnsi="Times New Roman" w:cs="Times New Roman"/>
                <w:color w:val="000000" w:themeColor="text1"/>
              </w:rPr>
              <w:t>consider</w:t>
            </w:r>
            <w:proofErr w:type="gramEnd"/>
            <w:r w:rsidRPr="003242E4">
              <w:rPr>
                <w:rFonts w:ascii="Times New Roman" w:hAnsi="Times New Roman" w:cs="Times New Roman"/>
                <w:color w:val="000000" w:themeColor="text1"/>
              </w:rPr>
              <w:t xml:space="preserve"> removing “in larger urban centers” and adding a revision that would indicate that all comm</w:t>
            </w:r>
            <w:r>
              <w:rPr>
                <w:rFonts w:ascii="Times New Roman" w:hAnsi="Times New Roman" w:cs="Times New Roman"/>
                <w:color w:val="000000" w:themeColor="text1"/>
              </w:rPr>
              <w:t>unities need to grow at transit-</w:t>
            </w:r>
            <w:r w:rsidRPr="003242E4">
              <w:rPr>
                <w:rFonts w:ascii="Times New Roman" w:hAnsi="Times New Roman" w:cs="Times New Roman"/>
                <w:color w:val="000000" w:themeColor="text1"/>
              </w:rPr>
              <w:t>supportive densities appropriate for the local context and transit service being contemplated, rather than just those in larger urban centers.</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1.2.1 – Guiding Principles </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p>
        </w:tc>
        <w:tc>
          <w:tcPr>
            <w:tcW w:w="7308" w:type="dxa"/>
          </w:tcPr>
          <w:p w:rsidR="00087002" w:rsidRPr="003242E4" w:rsidRDefault="00087002" w:rsidP="00B112D8">
            <w:pPr>
              <w:autoSpaceDE w:val="0"/>
              <w:autoSpaceDN w:val="0"/>
              <w:adjustRightInd w:val="0"/>
              <w:rPr>
                <w:rFonts w:ascii="Times New Roman" w:hAnsi="Times New Roman" w:cs="Times New Roman"/>
                <w:color w:val="000000" w:themeColor="text1"/>
              </w:rPr>
            </w:pPr>
            <w:r w:rsidRPr="003242E4">
              <w:rPr>
                <w:rFonts w:ascii="Times New Roman" w:hAnsi="Times New Roman" w:cs="Times New Roman"/>
                <w:color w:val="000000" w:themeColor="text1"/>
              </w:rPr>
              <w:t xml:space="preserve">Consider re-inclusion of the term </w:t>
            </w:r>
            <w:r w:rsidRPr="003242E4">
              <w:rPr>
                <w:rFonts w:ascii="Times New Roman" w:hAnsi="Times New Roman" w:cs="Times New Roman"/>
                <w:i/>
                <w:color w:val="000000" w:themeColor="text1"/>
              </w:rPr>
              <w:t>low-carbon communities</w:t>
            </w:r>
            <w:r w:rsidRPr="003242E4">
              <w:rPr>
                <w:rFonts w:ascii="Times New Roman" w:hAnsi="Times New Roman" w:cs="Times New Roman"/>
                <w:color w:val="000000" w:themeColor="text1"/>
              </w:rPr>
              <w:t xml:space="preserve"> in the guiding principles. Low-carbon communities not only help address climate change but also improve local air quality. According to a 2017 Health Canada report, air pollution contributes to over 14,400 premature deaths annually in Canada, and a significant portion of this comes from traffic related air pollution. The Ontario Government’s Environment Plan acknowledges the private sector’s capacity to </w:t>
            </w:r>
            <w:r w:rsidRPr="003242E4">
              <w:rPr>
                <w:rFonts w:ascii="Times New Roman" w:hAnsi="Times New Roman" w:cs="Times New Roman"/>
                <w:i/>
                <w:color w:val="000000" w:themeColor="text1"/>
              </w:rPr>
              <w:t>“transition to a low-carbon economy”</w:t>
            </w:r>
            <w:r w:rsidRPr="003242E4">
              <w:rPr>
                <w:rFonts w:ascii="Times New Roman" w:hAnsi="Times New Roman" w:cs="Times New Roman"/>
                <w:color w:val="000000" w:themeColor="text1"/>
              </w:rPr>
              <w:t xml:space="preserve"> and commits to working with municipalities to </w:t>
            </w:r>
            <w:r w:rsidRPr="003242E4">
              <w:rPr>
                <w:rFonts w:ascii="Times New Roman" w:hAnsi="Times New Roman" w:cs="Times New Roman"/>
                <w:i/>
                <w:color w:val="000000" w:themeColor="text1"/>
              </w:rPr>
              <w:t>“support building climate resilience and transformation to the low-carbon future.”</w:t>
            </w:r>
            <w:r w:rsidRPr="003242E4">
              <w:rPr>
                <w:rFonts w:ascii="Times New Roman" w:hAnsi="Times New Roman" w:cs="Times New Roman"/>
                <w:color w:val="000000" w:themeColor="text1"/>
              </w:rPr>
              <w:t xml:space="preserve"> </w:t>
            </w:r>
          </w:p>
          <w:p w:rsidR="00087002" w:rsidRPr="003242E4" w:rsidRDefault="00087002" w:rsidP="00B112D8">
            <w:pPr>
              <w:autoSpaceDE w:val="0"/>
              <w:autoSpaceDN w:val="0"/>
              <w:adjustRightInd w:val="0"/>
              <w:rPr>
                <w:rFonts w:ascii="Times New Roman" w:hAnsi="Times New Roman" w:cs="Times New Roman"/>
                <w:color w:val="000000" w:themeColor="text1"/>
              </w:rPr>
            </w:pPr>
          </w:p>
          <w:p w:rsidR="00087002" w:rsidRPr="003242E4" w:rsidRDefault="00087002" w:rsidP="00B112D8">
            <w:pPr>
              <w:autoSpaceDE w:val="0"/>
              <w:autoSpaceDN w:val="0"/>
              <w:adjustRightInd w:val="0"/>
              <w:rPr>
                <w:rFonts w:ascii="Times New Roman" w:hAnsi="Times New Roman" w:cs="Times New Roman"/>
                <w:color w:val="000000" w:themeColor="text1"/>
              </w:rPr>
            </w:pPr>
            <w:r w:rsidRPr="003242E4">
              <w:rPr>
                <w:rFonts w:ascii="Times New Roman" w:hAnsi="Times New Roman" w:cs="Times New Roman"/>
                <w:color w:val="000000" w:themeColor="text1"/>
              </w:rPr>
              <w:t xml:space="preserve">A definition of environmentally sustainable communities needs to be included in the definition section in order to provide proper context for the proposed guiding principle edits.  </w:t>
            </w:r>
          </w:p>
          <w:p w:rsidR="00087002" w:rsidRPr="003242E4" w:rsidRDefault="00087002" w:rsidP="00B112D8">
            <w:pPr>
              <w:autoSpaceDE w:val="0"/>
              <w:autoSpaceDN w:val="0"/>
              <w:adjustRightInd w:val="0"/>
              <w:rPr>
                <w:rFonts w:ascii="Times New Roman" w:hAnsi="Times New Roman" w:cs="Times New Roman"/>
                <w:color w:val="000000" w:themeColor="text1"/>
              </w:rPr>
            </w:pPr>
          </w:p>
          <w:p w:rsidR="00087002" w:rsidRPr="003242E4" w:rsidRDefault="00087002" w:rsidP="00B112D8">
            <w:pPr>
              <w:autoSpaceDE w:val="0"/>
              <w:autoSpaceDN w:val="0"/>
              <w:adjustRightInd w:val="0"/>
              <w:rPr>
                <w:rFonts w:ascii="Times New Roman" w:hAnsi="Times New Roman" w:cs="Times New Roman"/>
                <w:color w:val="000000" w:themeColor="text1"/>
              </w:rPr>
            </w:pPr>
            <w:r w:rsidRPr="003242E4">
              <w:rPr>
                <w:rFonts w:ascii="Times New Roman" w:hAnsi="Times New Roman" w:cs="Times New Roman"/>
                <w:color w:val="000000" w:themeColor="text1"/>
              </w:rPr>
              <w:t>The amendment is proposing use of environmental sustainability instead of climate change, “low-carbon”, or green infrastructure. The new terminology is vague and doesn’t make it clear on what is required to achieve environmental sustainability.</w:t>
            </w:r>
          </w:p>
        </w:tc>
      </w:tr>
      <w:tr w:rsidR="00087002" w:rsidRPr="003242E4" w:rsidTr="00B112D8">
        <w:tc>
          <w:tcPr>
            <w:tcW w:w="9576" w:type="dxa"/>
            <w:gridSpan w:val="2"/>
            <w:shd w:val="clear" w:color="auto" w:fill="B8CCE4" w:themeFill="accent1" w:themeFillTint="66"/>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Section 2 – Where and How to Grow</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2.1 - Context </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Proposed GHG reduction target (37% below 2005 levels by 2030) is substantially weaker compared to the previous target (3</w:t>
            </w:r>
            <w:r>
              <w:rPr>
                <w:rFonts w:ascii="Times New Roman" w:hAnsi="Times New Roman" w:cs="Times New Roman"/>
                <w:color w:val="000000" w:themeColor="text1"/>
              </w:rPr>
              <w:t>7% below 1990 levels by 2030). There is n</w:t>
            </w:r>
            <w:r w:rsidRPr="003242E4">
              <w:rPr>
                <w:rFonts w:ascii="Times New Roman" w:hAnsi="Times New Roman" w:cs="Times New Roman"/>
                <w:color w:val="000000" w:themeColor="text1"/>
              </w:rPr>
              <w:t>o mention of the 2050 target which</w:t>
            </w:r>
            <w:r>
              <w:rPr>
                <w:rFonts w:ascii="Times New Roman" w:hAnsi="Times New Roman" w:cs="Times New Roman"/>
                <w:color w:val="000000" w:themeColor="text1"/>
              </w:rPr>
              <w:t>, as per</w:t>
            </w:r>
            <w:r w:rsidRPr="003242E4">
              <w:rPr>
                <w:rFonts w:ascii="Times New Roman" w:hAnsi="Times New Roman" w:cs="Times New Roman"/>
                <w:color w:val="000000" w:themeColor="text1"/>
              </w:rPr>
              <w:t xml:space="preserve"> the Intergovernmental Panel</w:t>
            </w:r>
            <w:r>
              <w:rPr>
                <w:rFonts w:ascii="Times New Roman" w:hAnsi="Times New Roman" w:cs="Times New Roman"/>
                <w:color w:val="000000" w:themeColor="text1"/>
              </w:rPr>
              <w:t xml:space="preserve"> on Climate Change (IPCC),</w:t>
            </w:r>
            <w:r w:rsidRPr="003242E4">
              <w:rPr>
                <w:rFonts w:ascii="Times New Roman" w:hAnsi="Times New Roman" w:cs="Times New Roman"/>
                <w:color w:val="000000" w:themeColor="text1"/>
              </w:rPr>
              <w:t xml:space="preserve"> needs to be at least 80% lower by 2050. </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r>
              <w:rPr>
                <w:rFonts w:ascii="Times New Roman" w:hAnsi="Times New Roman" w:cs="Times New Roman"/>
                <w:color w:val="000000" w:themeColor="text1"/>
              </w:rPr>
              <w:t>There is n</w:t>
            </w:r>
            <w:r w:rsidRPr="003242E4">
              <w:rPr>
                <w:rFonts w:ascii="Times New Roman" w:hAnsi="Times New Roman" w:cs="Times New Roman"/>
                <w:color w:val="000000" w:themeColor="text1"/>
              </w:rPr>
              <w:t>o mention of overall monitoring and reporting in terms of frequency and provincial accountability to meeting the new targets.</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OPHA would like to reiterate our comments from </w:t>
            </w:r>
            <w:r>
              <w:rPr>
                <w:rFonts w:ascii="Times New Roman" w:hAnsi="Times New Roman" w:cs="Times New Roman"/>
                <w:color w:val="000000" w:themeColor="text1"/>
              </w:rPr>
              <w:t xml:space="preserve">our </w:t>
            </w:r>
            <w:r w:rsidRPr="003242E4">
              <w:rPr>
                <w:rFonts w:ascii="Times New Roman" w:hAnsi="Times New Roman" w:cs="Times New Roman"/>
                <w:color w:val="000000" w:themeColor="text1"/>
              </w:rPr>
              <w:t xml:space="preserve">January 28, 2019 </w:t>
            </w:r>
            <w:r>
              <w:rPr>
                <w:rFonts w:ascii="Times New Roman" w:hAnsi="Times New Roman" w:cs="Times New Roman"/>
                <w:color w:val="000000" w:themeColor="text1"/>
              </w:rPr>
              <w:t xml:space="preserve">submission </w:t>
            </w:r>
            <w:r w:rsidRPr="003242E4">
              <w:rPr>
                <w:rFonts w:ascii="Times New Roman" w:hAnsi="Times New Roman" w:cs="Times New Roman"/>
                <w:color w:val="000000" w:themeColor="text1"/>
              </w:rPr>
              <w:t xml:space="preserve">on the </w:t>
            </w:r>
            <w:r>
              <w:rPr>
                <w:rFonts w:ascii="Times New Roman" w:hAnsi="Times New Roman" w:cs="Times New Roman"/>
                <w:color w:val="000000" w:themeColor="text1"/>
              </w:rPr>
              <w:t xml:space="preserve">government’s </w:t>
            </w:r>
            <w:r w:rsidRPr="003242E4">
              <w:rPr>
                <w:rFonts w:ascii="Times New Roman" w:hAnsi="Times New Roman" w:cs="Times New Roman"/>
                <w:color w:val="000000" w:themeColor="text1"/>
              </w:rPr>
              <w:t>proposed Ontario Environment Plan. We urge the government to set stronger greenhouse gas reduction targets</w:t>
            </w:r>
            <w:r>
              <w:rPr>
                <w:rFonts w:ascii="Times New Roman" w:hAnsi="Times New Roman" w:cs="Times New Roman"/>
                <w:color w:val="000000" w:themeColor="text1"/>
              </w:rPr>
              <w:t>.</w:t>
            </w:r>
            <w:r w:rsidRPr="003242E4">
              <w:rPr>
                <w:rFonts w:ascii="Times New Roman" w:hAnsi="Times New Roman" w:cs="Times New Roman"/>
                <w:color w:val="000000" w:themeColor="text1"/>
              </w:rPr>
              <w:t xml:space="preserve"> Ontario can realize substantial co-benefits in terms of healthier communities, a growing economy and a healthier environment by setting a target that limits emissions to 112.9MT by 2030</w:t>
            </w:r>
            <w:r>
              <w:rPr>
                <w:rFonts w:ascii="Times New Roman" w:hAnsi="Times New Roman" w:cs="Times New Roman"/>
                <w:color w:val="000000" w:themeColor="text1"/>
              </w:rPr>
              <w:t>,</w:t>
            </w:r>
            <w:r w:rsidRPr="003242E4">
              <w:rPr>
                <w:rFonts w:ascii="Times New Roman" w:hAnsi="Times New Roman" w:cs="Times New Roman"/>
                <w:color w:val="000000" w:themeColor="text1"/>
              </w:rPr>
              <w:t xml:space="preserve"> rather than the 143 MT outlined in the Environment Plan.</w:t>
            </w:r>
          </w:p>
          <w:p w:rsidR="00087002" w:rsidRPr="003242E4" w:rsidRDefault="00087002" w:rsidP="00B112D8">
            <w:pPr>
              <w:rPr>
                <w:rFonts w:ascii="Times New Roman" w:hAnsi="Times New Roman" w:cs="Times New Roman"/>
                <w:color w:val="000000" w:themeColor="text1"/>
              </w:rPr>
            </w:pP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lastRenderedPageBreak/>
              <w:t>2.2.2 – Delineated Built-up Area</w:t>
            </w: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2.2.2.4 The reference to “size, location and capacity” is not adequate to ensure factors that could impact human health are taken into account. The existing policy considers how targets can be assessed, such as diversification of the total range and mix of housing options, and achievement of complete communities. </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2.2.4 – Transit Corridors and Station Areas</w:t>
            </w: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2.2.4.4. Consider clarifying the details and conditions of a “major trip generator or feeder service”. It is important that this policy is not used to support lower densities under transit ridership forecasts that are not realistic and can</w:t>
            </w:r>
            <w:r>
              <w:rPr>
                <w:rFonts w:ascii="Times New Roman" w:hAnsi="Times New Roman" w:cs="Times New Roman"/>
                <w:color w:val="000000" w:themeColor="text1"/>
              </w:rPr>
              <w:t>,</w:t>
            </w:r>
            <w:r w:rsidRPr="003242E4">
              <w:rPr>
                <w:rFonts w:ascii="Times New Roman" w:hAnsi="Times New Roman" w:cs="Times New Roman"/>
                <w:color w:val="000000" w:themeColor="text1"/>
              </w:rPr>
              <w:t xml:space="preserve"> in the long term</w:t>
            </w:r>
            <w:r>
              <w:rPr>
                <w:rFonts w:ascii="Times New Roman" w:hAnsi="Times New Roman" w:cs="Times New Roman"/>
                <w:color w:val="000000" w:themeColor="text1"/>
              </w:rPr>
              <w:t>,</w:t>
            </w:r>
            <w:r w:rsidRPr="003242E4">
              <w:rPr>
                <w:rFonts w:ascii="Times New Roman" w:hAnsi="Times New Roman" w:cs="Times New Roman"/>
                <w:color w:val="000000" w:themeColor="text1"/>
              </w:rPr>
              <w:t xml:space="preserve"> undermine the financial sustainability of transit. </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2.2.5 – Employment </w:t>
            </w: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 xml:space="preserve">2.2.5.8 This policy should prioritize the minimization or mitigation of adverse impacts on sensitive land uses, and not the other way around. </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2.2.6 – Housing</w:t>
            </w: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Reconsider the removal of requirements for a municipal housing strategy. Even if municipalities are still required to do this through other legislation</w:t>
            </w:r>
            <w:r>
              <w:rPr>
                <w:rFonts w:ascii="Times New Roman" w:hAnsi="Times New Roman" w:cs="Times New Roman"/>
                <w:color w:val="000000" w:themeColor="text1"/>
              </w:rPr>
              <w:t>,</w:t>
            </w:r>
            <w:r w:rsidRPr="003242E4">
              <w:rPr>
                <w:rFonts w:ascii="Times New Roman" w:hAnsi="Times New Roman" w:cs="Times New Roman"/>
                <w:color w:val="000000" w:themeColor="text1"/>
              </w:rPr>
              <w:t xml:space="preserve"> removing mention of a required housing strategy in the Growth Plan will water it down.</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Need clarification to define “market demand” and how that is to be</w:t>
            </w:r>
          </w:p>
          <w:p w:rsidR="00087002" w:rsidRPr="003242E4" w:rsidRDefault="00087002" w:rsidP="00B112D8">
            <w:pPr>
              <w:rPr>
                <w:rFonts w:ascii="Times New Roman" w:hAnsi="Times New Roman" w:cs="Times New Roman"/>
                <w:color w:val="000000" w:themeColor="text1"/>
              </w:rPr>
            </w:pPr>
            <w:proofErr w:type="gramStart"/>
            <w:r w:rsidRPr="003242E4">
              <w:rPr>
                <w:rFonts w:ascii="Times New Roman" w:hAnsi="Times New Roman" w:cs="Times New Roman"/>
                <w:color w:val="000000" w:themeColor="text1"/>
              </w:rPr>
              <w:t>balanced</w:t>
            </w:r>
            <w:proofErr w:type="gramEnd"/>
            <w:r w:rsidRPr="003242E4">
              <w:rPr>
                <w:rFonts w:ascii="Times New Roman" w:hAnsi="Times New Roman" w:cs="Times New Roman"/>
                <w:color w:val="000000" w:themeColor="text1"/>
              </w:rPr>
              <w:t xml:space="preserve"> while ensuring housing supply meets local need through a full range and mix of housing types and tenures including affordable housing.</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With respect to rental housing supply, municipalities lack the necessary tools and resources to match demand with supply. The Province should consider introducing new tools, such as the ability to zone by tenure recently introduced in British Columbia, to assist municipalities in responding to market and local community needs</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2.2.7 – Designated Greenfield Areas</w:t>
            </w:r>
          </w:p>
        </w:tc>
        <w:tc>
          <w:tcPr>
            <w:tcW w:w="7308" w:type="dxa"/>
          </w:tcPr>
          <w:p w:rsidR="00087002" w:rsidRPr="003242E4" w:rsidRDefault="00087002" w:rsidP="00B112D8">
            <w:pPr>
              <w:pStyle w:val="Default"/>
              <w:rPr>
                <w:color w:val="000000" w:themeColor="text1"/>
                <w:sz w:val="22"/>
                <w:szCs w:val="22"/>
              </w:rPr>
            </w:pPr>
            <w:r w:rsidRPr="003242E4">
              <w:rPr>
                <w:color w:val="000000" w:themeColor="text1"/>
                <w:sz w:val="22"/>
                <w:szCs w:val="22"/>
              </w:rPr>
              <w:t>2.2.7.3. Decreasing the intensification targets and mini</w:t>
            </w:r>
            <w:r>
              <w:rPr>
                <w:color w:val="000000" w:themeColor="text1"/>
                <w:sz w:val="22"/>
                <w:szCs w:val="22"/>
              </w:rPr>
              <w:t xml:space="preserve">mum Designated Greenfield Area </w:t>
            </w:r>
            <w:r w:rsidRPr="003242E4">
              <w:rPr>
                <w:color w:val="000000" w:themeColor="text1"/>
                <w:sz w:val="22"/>
                <w:szCs w:val="22"/>
              </w:rPr>
              <w:t xml:space="preserve">density targets for Group A (Hamilton, Peel, Waterloo and York), </w:t>
            </w:r>
            <w:r>
              <w:rPr>
                <w:color w:val="000000" w:themeColor="text1"/>
                <w:sz w:val="22"/>
                <w:szCs w:val="22"/>
              </w:rPr>
              <w:t xml:space="preserve">Group </w:t>
            </w:r>
            <w:r w:rsidRPr="003242E4">
              <w:rPr>
                <w:color w:val="000000" w:themeColor="text1"/>
                <w:sz w:val="22"/>
                <w:szCs w:val="22"/>
              </w:rPr>
              <w:t xml:space="preserve">B (Barrie, Brantford, Guelph, Orillia, City of Peterborough, Durham, </w:t>
            </w:r>
            <w:proofErr w:type="spellStart"/>
            <w:r w:rsidRPr="003242E4">
              <w:rPr>
                <w:color w:val="000000" w:themeColor="text1"/>
                <w:sz w:val="22"/>
                <w:szCs w:val="22"/>
              </w:rPr>
              <w:t>Halton</w:t>
            </w:r>
            <w:proofErr w:type="spellEnd"/>
            <w:r w:rsidRPr="003242E4">
              <w:rPr>
                <w:color w:val="000000" w:themeColor="text1"/>
                <w:sz w:val="22"/>
                <w:szCs w:val="22"/>
              </w:rPr>
              <w:t>, and Niagara) and Group C (</w:t>
            </w:r>
            <w:proofErr w:type="spellStart"/>
            <w:r w:rsidRPr="003242E4">
              <w:rPr>
                <w:color w:val="000000" w:themeColor="text1"/>
                <w:sz w:val="22"/>
                <w:szCs w:val="22"/>
              </w:rPr>
              <w:t>Kawaratha</w:t>
            </w:r>
            <w:proofErr w:type="spellEnd"/>
            <w:r w:rsidRPr="003242E4">
              <w:rPr>
                <w:color w:val="000000" w:themeColor="text1"/>
                <w:sz w:val="22"/>
                <w:szCs w:val="22"/>
              </w:rPr>
              <w:t xml:space="preserve"> Lakes, Brant, </w:t>
            </w:r>
            <w:proofErr w:type="spellStart"/>
            <w:r w:rsidRPr="003242E4">
              <w:rPr>
                <w:color w:val="000000" w:themeColor="text1"/>
                <w:sz w:val="22"/>
                <w:szCs w:val="22"/>
              </w:rPr>
              <w:t>Dufferin</w:t>
            </w:r>
            <w:proofErr w:type="spellEnd"/>
            <w:r w:rsidRPr="003242E4">
              <w:rPr>
                <w:color w:val="000000" w:themeColor="text1"/>
                <w:sz w:val="22"/>
                <w:szCs w:val="22"/>
              </w:rPr>
              <w:t xml:space="preserve">, </w:t>
            </w:r>
            <w:proofErr w:type="spellStart"/>
            <w:r w:rsidRPr="003242E4">
              <w:rPr>
                <w:color w:val="000000" w:themeColor="text1"/>
                <w:sz w:val="22"/>
                <w:szCs w:val="22"/>
              </w:rPr>
              <w:t>Haldimand</w:t>
            </w:r>
            <w:proofErr w:type="spellEnd"/>
            <w:r w:rsidRPr="003242E4">
              <w:rPr>
                <w:color w:val="000000" w:themeColor="text1"/>
                <w:sz w:val="22"/>
                <w:szCs w:val="22"/>
              </w:rPr>
              <w:t xml:space="preserve">, Northumberland, Peterborough County, Simcoe and Wellington) will mean that new development will be much less than what the Growth Plan was trying to achieve previously and could impact the ability of those communities to achieve healthier, more complete communities. </w:t>
            </w:r>
          </w:p>
          <w:p w:rsidR="00087002" w:rsidRPr="003242E4" w:rsidRDefault="00087002" w:rsidP="00B112D8">
            <w:pPr>
              <w:pStyle w:val="Default"/>
              <w:rPr>
                <w:color w:val="000000" w:themeColor="text1"/>
                <w:sz w:val="22"/>
                <w:szCs w:val="22"/>
              </w:rPr>
            </w:pPr>
          </w:p>
          <w:p w:rsidR="00087002" w:rsidRPr="003242E4" w:rsidRDefault="00087002" w:rsidP="00B112D8">
            <w:pPr>
              <w:pStyle w:val="Default"/>
              <w:rPr>
                <w:color w:val="000000" w:themeColor="text1"/>
                <w:sz w:val="22"/>
                <w:szCs w:val="22"/>
              </w:rPr>
            </w:pPr>
            <w:r w:rsidRPr="003242E4">
              <w:rPr>
                <w:color w:val="000000" w:themeColor="text1"/>
                <w:sz w:val="22"/>
                <w:szCs w:val="22"/>
              </w:rPr>
              <w:t xml:space="preserve">2.2.7.3 It is unclear how </w:t>
            </w:r>
            <w:r>
              <w:rPr>
                <w:color w:val="000000" w:themeColor="text1"/>
                <w:sz w:val="22"/>
                <w:szCs w:val="22"/>
              </w:rPr>
              <w:t xml:space="preserve">to </w:t>
            </w:r>
            <w:r w:rsidRPr="003242E4">
              <w:rPr>
                <w:color w:val="000000" w:themeColor="text1"/>
                <w:sz w:val="22"/>
                <w:szCs w:val="22"/>
              </w:rPr>
              <w:t xml:space="preserve">ensure </w:t>
            </w:r>
            <w:r>
              <w:rPr>
                <w:color w:val="000000" w:themeColor="text1"/>
                <w:sz w:val="22"/>
                <w:szCs w:val="22"/>
              </w:rPr>
              <w:t xml:space="preserve">that </w:t>
            </w:r>
            <w:r w:rsidRPr="003242E4">
              <w:rPr>
                <w:color w:val="000000" w:themeColor="text1"/>
                <w:sz w:val="22"/>
                <w:szCs w:val="22"/>
              </w:rPr>
              <w:t>factors that could impact human health would be taken into account. The existing policy considers how targets can be assessed, such as achievement of complete communities and compact built form that supports active transportation.</w:t>
            </w:r>
          </w:p>
        </w:tc>
      </w:tr>
      <w:tr w:rsidR="00087002" w:rsidRPr="003242E4" w:rsidTr="00B112D8">
        <w:tc>
          <w:tcPr>
            <w:tcW w:w="9576" w:type="dxa"/>
            <w:gridSpan w:val="2"/>
            <w:shd w:val="clear" w:color="auto" w:fill="B8CCE4" w:themeFill="accent1" w:themeFillTint="66"/>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Section 4 – Protecting What is Valuable</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4.2.2 – Natural Heritage Systems</w:t>
            </w:r>
          </w:p>
        </w:tc>
        <w:tc>
          <w:tcPr>
            <w:tcW w:w="730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Provincial agricultural mapping and Natural Heritage mapping will not take effect until a municipality adopts these in a new OP. This will delay the incorporation of these maps to our local area.  Also, municipalities have the ability to change the mapping at the local level.</w:t>
            </w:r>
          </w:p>
        </w:tc>
      </w:tr>
      <w:tr w:rsidR="00087002" w:rsidRPr="003242E4" w:rsidTr="00B112D8">
        <w:tc>
          <w:tcPr>
            <w:tcW w:w="9576" w:type="dxa"/>
            <w:gridSpan w:val="2"/>
            <w:shd w:val="clear" w:color="auto" w:fill="B8CCE4" w:themeFill="accent1" w:themeFillTint="66"/>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Definitions</w:t>
            </w: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Major Transit Station Areas</w:t>
            </w:r>
          </w:p>
        </w:tc>
        <w:tc>
          <w:tcPr>
            <w:tcW w:w="7308" w:type="dxa"/>
          </w:tcPr>
          <w:p w:rsidR="00087002" w:rsidRPr="003242E4" w:rsidRDefault="00087002" w:rsidP="00B112D8">
            <w:pPr>
              <w:rPr>
                <w:rFonts w:ascii="Times New Roman" w:hAnsi="Times New Roman" w:cs="Times New Roman"/>
                <w:color w:val="000000" w:themeColor="text1"/>
              </w:rPr>
            </w:pPr>
            <w:r>
              <w:rPr>
                <w:rFonts w:ascii="Times New Roman" w:hAnsi="Times New Roman" w:cs="Times New Roman"/>
                <w:color w:val="000000" w:themeColor="text1"/>
              </w:rPr>
              <w:t xml:space="preserve">Support </w:t>
            </w:r>
            <w:r w:rsidRPr="003242E4">
              <w:rPr>
                <w:rFonts w:ascii="Times New Roman" w:hAnsi="Times New Roman" w:cs="Times New Roman"/>
                <w:color w:val="000000" w:themeColor="text1"/>
              </w:rPr>
              <w:t>the expansion of the ratio for Major Transit Station Areas to include 800 meters.  This is positive to support transit.</w:t>
            </w:r>
          </w:p>
        </w:tc>
      </w:tr>
      <w:tr w:rsidR="00087002" w:rsidRPr="003242E4" w:rsidTr="00B112D8">
        <w:tc>
          <w:tcPr>
            <w:tcW w:w="2268" w:type="dxa"/>
            <w:shd w:val="clear" w:color="auto" w:fill="B8CCE4" w:themeFill="accent1" w:themeFillTint="66"/>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Other</w:t>
            </w:r>
          </w:p>
        </w:tc>
        <w:tc>
          <w:tcPr>
            <w:tcW w:w="7308" w:type="dxa"/>
            <w:shd w:val="clear" w:color="auto" w:fill="B8CCE4" w:themeFill="accent1" w:themeFillTint="66"/>
          </w:tcPr>
          <w:p w:rsidR="00087002" w:rsidRPr="003242E4" w:rsidRDefault="00087002" w:rsidP="00B112D8">
            <w:pPr>
              <w:rPr>
                <w:rFonts w:ascii="Times New Roman" w:hAnsi="Times New Roman" w:cs="Times New Roman"/>
                <w:color w:val="000000" w:themeColor="text1"/>
              </w:rPr>
            </w:pPr>
          </w:p>
        </w:tc>
      </w:tr>
      <w:tr w:rsidR="00087002" w:rsidRPr="003242E4" w:rsidTr="00B112D8">
        <w:tc>
          <w:tcPr>
            <w:tcW w:w="2268" w:type="dxa"/>
          </w:tcPr>
          <w:p w:rsidR="00087002" w:rsidRPr="003242E4"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lang w:eastAsia="en-CA"/>
              </w:rPr>
              <w:t>Remove any reference to climate change, “low-carbon”, or green infrastructure.</w:t>
            </w:r>
          </w:p>
        </w:tc>
        <w:tc>
          <w:tcPr>
            <w:tcW w:w="7308" w:type="dxa"/>
          </w:tcPr>
          <w:p w:rsidR="00087002" w:rsidRPr="003242E4" w:rsidRDefault="00087002" w:rsidP="00B112D8">
            <w:pPr>
              <w:rPr>
                <w:rFonts w:ascii="Times New Roman" w:hAnsi="Times New Roman" w:cs="Times New Roman"/>
                <w:color w:val="000000" w:themeColor="text1"/>
              </w:rPr>
            </w:pPr>
            <w:r>
              <w:rPr>
                <w:rFonts w:ascii="Times New Roman" w:hAnsi="Times New Roman" w:cs="Times New Roman"/>
                <w:color w:val="000000" w:themeColor="text1"/>
              </w:rPr>
              <w:t>Using</w:t>
            </w:r>
            <w:r w:rsidRPr="003242E4">
              <w:rPr>
                <w:rFonts w:ascii="Times New Roman" w:hAnsi="Times New Roman" w:cs="Times New Roman"/>
                <w:color w:val="000000" w:themeColor="text1"/>
              </w:rPr>
              <w:t xml:space="preserve"> environmental sustainability i</w:t>
            </w:r>
            <w:r>
              <w:rPr>
                <w:rFonts w:ascii="Times New Roman" w:hAnsi="Times New Roman" w:cs="Times New Roman"/>
                <w:color w:val="000000" w:themeColor="text1"/>
              </w:rPr>
              <w:t>s a vague term; it isn’t</w:t>
            </w:r>
            <w:r w:rsidRPr="003242E4">
              <w:rPr>
                <w:rFonts w:ascii="Times New Roman" w:hAnsi="Times New Roman" w:cs="Times New Roman"/>
                <w:color w:val="000000" w:themeColor="text1"/>
              </w:rPr>
              <w:t xml:space="preserve"> clear on what is required to achieve environmental sustainability (i.e., how will it be measured?)</w:t>
            </w:r>
          </w:p>
          <w:p w:rsidR="00087002" w:rsidRPr="003242E4" w:rsidRDefault="00087002" w:rsidP="00B112D8">
            <w:pPr>
              <w:rPr>
                <w:rFonts w:ascii="Times New Roman" w:hAnsi="Times New Roman" w:cs="Times New Roman"/>
                <w:color w:val="000000" w:themeColor="text1"/>
              </w:rPr>
            </w:pPr>
          </w:p>
          <w:p w:rsidR="00087002" w:rsidRPr="003242E4" w:rsidRDefault="00087002" w:rsidP="00B112D8">
            <w:pPr>
              <w:rPr>
                <w:rFonts w:ascii="Times New Roman" w:hAnsi="Times New Roman" w:cs="Times New Roman"/>
                <w:color w:val="000000" w:themeColor="text1"/>
              </w:rPr>
            </w:pPr>
            <w:r>
              <w:rPr>
                <w:rFonts w:ascii="Times New Roman" w:hAnsi="Times New Roman" w:cs="Times New Roman"/>
                <w:color w:val="000000" w:themeColor="text1"/>
              </w:rPr>
              <w:t xml:space="preserve">The word “appropriate” </w:t>
            </w:r>
            <w:r w:rsidRPr="003242E4">
              <w:rPr>
                <w:rFonts w:ascii="Times New Roman" w:hAnsi="Times New Roman" w:cs="Times New Roman"/>
                <w:color w:val="000000" w:themeColor="text1"/>
              </w:rPr>
              <w:t>should be removed with reference to low</w:t>
            </w:r>
          </w:p>
          <w:p w:rsidR="00087002" w:rsidRPr="003242E4" w:rsidRDefault="00087002" w:rsidP="00B112D8">
            <w:pPr>
              <w:rPr>
                <w:rFonts w:ascii="Times New Roman" w:hAnsi="Times New Roman" w:cs="Times New Roman"/>
                <w:color w:val="000000" w:themeColor="text1"/>
              </w:rPr>
            </w:pPr>
            <w:proofErr w:type="gramStart"/>
            <w:r w:rsidRPr="003242E4">
              <w:rPr>
                <w:rFonts w:ascii="Times New Roman" w:hAnsi="Times New Roman" w:cs="Times New Roman"/>
                <w:color w:val="000000" w:themeColor="text1"/>
              </w:rPr>
              <w:t>impact</w:t>
            </w:r>
            <w:proofErr w:type="gramEnd"/>
            <w:r w:rsidRPr="003242E4">
              <w:rPr>
                <w:rFonts w:ascii="Times New Roman" w:hAnsi="Times New Roman" w:cs="Times New Roman"/>
                <w:color w:val="000000" w:themeColor="text1"/>
              </w:rPr>
              <w:t xml:space="preserve"> development. The inclusion of this word weakens the policy direction </w:t>
            </w:r>
            <w:r w:rsidRPr="003242E4">
              <w:rPr>
                <w:rFonts w:ascii="Times New Roman" w:hAnsi="Times New Roman" w:cs="Times New Roman"/>
                <w:color w:val="000000" w:themeColor="text1"/>
              </w:rPr>
              <w:lastRenderedPageBreak/>
              <w:t>for the implementation of green infrastructure.</w:t>
            </w:r>
          </w:p>
          <w:p w:rsidR="00087002" w:rsidRPr="003242E4" w:rsidRDefault="00087002" w:rsidP="00B112D8">
            <w:pPr>
              <w:rPr>
                <w:rFonts w:ascii="Times New Roman" w:hAnsi="Times New Roman" w:cs="Times New Roman"/>
                <w:color w:val="000000" w:themeColor="text1"/>
              </w:rPr>
            </w:pPr>
          </w:p>
          <w:p w:rsidR="00087002" w:rsidRDefault="00087002" w:rsidP="00B112D8">
            <w:pPr>
              <w:rPr>
                <w:rFonts w:ascii="Times New Roman" w:hAnsi="Times New Roman" w:cs="Times New Roman"/>
                <w:color w:val="000000" w:themeColor="text1"/>
              </w:rPr>
            </w:pPr>
            <w:r w:rsidRPr="003242E4">
              <w:rPr>
                <w:rFonts w:ascii="Times New Roman" w:hAnsi="Times New Roman" w:cs="Times New Roman"/>
                <w:color w:val="000000" w:themeColor="text1"/>
              </w:rPr>
              <w:t>Regarding Climate Change, consider defining the “other provincial plans and policies” that take the place of the Ontario Climate Change Strategy. It would be beneficial for these to be defined to provide clarity on the guidance municipalities can use to ensure a consistent approach in developing vulnerability risks assessments, assessment of climate change impacts, etc.</w:t>
            </w:r>
          </w:p>
          <w:p w:rsidR="00087002" w:rsidRPr="003242E4" w:rsidRDefault="00087002" w:rsidP="00B112D8">
            <w:pPr>
              <w:rPr>
                <w:rFonts w:ascii="Times New Roman" w:hAnsi="Times New Roman" w:cs="Times New Roman"/>
                <w:color w:val="000000" w:themeColor="text1"/>
              </w:rPr>
            </w:pPr>
          </w:p>
        </w:tc>
      </w:tr>
    </w:tbl>
    <w:p w:rsidR="00087002" w:rsidRPr="003242E4" w:rsidRDefault="00087002" w:rsidP="00087002">
      <w:pPr>
        <w:pStyle w:val="Default"/>
        <w:rPr>
          <w:color w:val="000000" w:themeColor="text1"/>
          <w:sz w:val="22"/>
          <w:szCs w:val="22"/>
        </w:rPr>
      </w:pPr>
    </w:p>
    <w:p w:rsidR="00087002" w:rsidRPr="003242E4" w:rsidRDefault="00087002" w:rsidP="00087002">
      <w:pPr>
        <w:pStyle w:val="Default"/>
        <w:rPr>
          <w:color w:val="000000" w:themeColor="text1"/>
          <w:sz w:val="22"/>
          <w:szCs w:val="22"/>
        </w:rPr>
      </w:pPr>
    </w:p>
    <w:p w:rsidR="00087002" w:rsidRPr="003242E4" w:rsidRDefault="00087002" w:rsidP="00087002">
      <w:pPr>
        <w:pStyle w:val="Default"/>
        <w:rPr>
          <w:color w:val="000000" w:themeColor="text1"/>
          <w:sz w:val="22"/>
          <w:szCs w:val="22"/>
        </w:rPr>
      </w:pPr>
    </w:p>
    <w:p w:rsidR="00087002" w:rsidRPr="003242E4" w:rsidRDefault="00087002" w:rsidP="00087002">
      <w:pPr>
        <w:pStyle w:val="Default"/>
        <w:rPr>
          <w:color w:val="000000" w:themeColor="text1"/>
          <w:sz w:val="22"/>
          <w:szCs w:val="22"/>
        </w:rPr>
      </w:pPr>
    </w:p>
    <w:p w:rsidR="00087002" w:rsidRPr="00087002" w:rsidRDefault="00087002" w:rsidP="00087002">
      <w:pPr>
        <w:rPr>
          <w:rFonts w:ascii="Times New Roman" w:hAnsi="Times New Roman" w:cs="Times New Roman"/>
        </w:rPr>
      </w:pPr>
    </w:p>
    <w:sectPr w:rsidR="00087002" w:rsidRPr="000870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4DD"/>
    <w:multiLevelType w:val="hybridMultilevel"/>
    <w:tmpl w:val="A5705108"/>
    <w:lvl w:ilvl="0" w:tplc="10090001">
      <w:start w:val="1"/>
      <w:numFmt w:val="bullet"/>
      <w:lvlText w:val=""/>
      <w:lvlJc w:val="left"/>
      <w:pPr>
        <w:ind w:left="360" w:hanging="360"/>
      </w:pPr>
      <w:rPr>
        <w:rFonts w:ascii="Symbol" w:hAnsi="Symbol" w:hint="default"/>
        <w:b w:val="0"/>
        <w:color w:val="auto"/>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AD274E0"/>
    <w:multiLevelType w:val="hybridMultilevel"/>
    <w:tmpl w:val="D55018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02"/>
    <w:rsid w:val="00087002"/>
    <w:rsid w:val="003D30C8"/>
    <w:rsid w:val="00E152B9"/>
    <w:rsid w:val="00EA79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0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0870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0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0870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Pegeen Walsh</dc:creator>
  <cp:lastModifiedBy>Pegeen Walsh</cp:lastModifiedBy>
  <cp:revision>2</cp:revision>
  <dcterms:created xsi:type="dcterms:W3CDTF">2019-02-28T22:44:00Z</dcterms:created>
  <dcterms:modified xsi:type="dcterms:W3CDTF">2019-02-28T22:49:00Z</dcterms:modified>
</cp:coreProperties>
</file>