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934" w:rsidRPr="003123B0" w:rsidRDefault="00352DA7">
      <w:pPr>
        <w:tabs>
          <w:tab w:val="left" w:pos="6480"/>
        </w:tabs>
        <w:rPr>
          <w:rFonts w:asciiTheme="minorHAnsi" w:hAnsiTheme="minorHAnsi"/>
          <w:sz w:val="22"/>
          <w:szCs w:val="22"/>
        </w:rPr>
      </w:pP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p>
    <w:p w:rsidR="00CC2934" w:rsidRPr="003123B0" w:rsidRDefault="00352DA7">
      <w:pPr>
        <w:tabs>
          <w:tab w:val="left" w:pos="6480"/>
        </w:tabs>
        <w:rPr>
          <w:rFonts w:asciiTheme="minorHAnsi" w:hAnsiTheme="minorHAnsi"/>
          <w:sz w:val="22"/>
          <w:szCs w:val="22"/>
        </w:rPr>
      </w:pP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p>
    <w:p w:rsidR="00CC2934" w:rsidRPr="003123B0" w:rsidRDefault="00352DA7">
      <w:pPr>
        <w:tabs>
          <w:tab w:val="left" w:pos="6480"/>
        </w:tabs>
        <w:rPr>
          <w:rFonts w:asciiTheme="minorHAnsi" w:hAnsiTheme="minorHAnsi"/>
          <w:sz w:val="22"/>
          <w:szCs w:val="22"/>
        </w:rPr>
      </w:pP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p>
    <w:p w:rsidR="003123B0" w:rsidRPr="003123B0" w:rsidRDefault="007A41B9" w:rsidP="003123B0">
      <w:pPr>
        <w:rPr>
          <w:rFonts w:asciiTheme="minorHAnsi" w:hAnsiTheme="minorHAnsi" w:cs="Arial"/>
          <w:sz w:val="22"/>
          <w:szCs w:val="22"/>
        </w:rPr>
      </w:pPr>
      <w:r>
        <w:rPr>
          <w:rFonts w:asciiTheme="minorHAnsi" w:hAnsiTheme="minorHAnsi" w:cs="Arial"/>
          <w:sz w:val="22"/>
          <w:szCs w:val="22"/>
        </w:rPr>
        <w:t xml:space="preserve">August </w:t>
      </w:r>
      <w:r w:rsidR="003B50B0">
        <w:rPr>
          <w:rFonts w:asciiTheme="minorHAnsi" w:hAnsiTheme="minorHAnsi" w:cs="Arial"/>
          <w:sz w:val="22"/>
          <w:szCs w:val="22"/>
        </w:rPr>
        <w:t>21</w:t>
      </w:r>
      <w:r>
        <w:rPr>
          <w:rFonts w:asciiTheme="minorHAnsi" w:hAnsiTheme="minorHAnsi" w:cs="Arial"/>
          <w:sz w:val="22"/>
          <w:szCs w:val="22"/>
        </w:rPr>
        <w:t>, 2019</w:t>
      </w:r>
    </w:p>
    <w:p w:rsidR="003123B0" w:rsidRPr="003123B0" w:rsidRDefault="003123B0" w:rsidP="003123B0">
      <w:pPr>
        <w:rPr>
          <w:rFonts w:asciiTheme="minorHAnsi" w:hAnsiTheme="minorHAnsi" w:cs="Arial"/>
          <w:sz w:val="22"/>
          <w:szCs w:val="22"/>
        </w:rPr>
      </w:pPr>
    </w:p>
    <w:p w:rsidR="001E04C7" w:rsidRDefault="001E04C7" w:rsidP="002830A9">
      <w:pPr>
        <w:pStyle w:val="Heading1"/>
        <w:shd w:val="clear" w:color="auto" w:fill="FFFFFF"/>
        <w:rPr>
          <w:rFonts w:asciiTheme="minorHAnsi" w:hAnsiTheme="minorHAnsi" w:cs="Arial"/>
          <w:b w:val="0"/>
          <w:sz w:val="22"/>
          <w:szCs w:val="22"/>
          <w:u w:val="none"/>
        </w:rPr>
      </w:pPr>
      <w:r>
        <w:rPr>
          <w:rFonts w:asciiTheme="minorHAnsi" w:hAnsiTheme="minorHAnsi" w:cs="Arial"/>
          <w:b w:val="0"/>
          <w:sz w:val="22"/>
          <w:szCs w:val="22"/>
          <w:u w:val="none"/>
        </w:rPr>
        <w:t xml:space="preserve">The Honourable </w:t>
      </w:r>
      <w:r w:rsidR="002830A9">
        <w:rPr>
          <w:rFonts w:asciiTheme="minorHAnsi" w:hAnsiTheme="minorHAnsi" w:cs="Arial"/>
          <w:b w:val="0"/>
          <w:sz w:val="22"/>
          <w:szCs w:val="22"/>
          <w:u w:val="none"/>
        </w:rPr>
        <w:t>Steve Clark, M.P.P., Minister of Municipal Affairs and Housing</w:t>
      </w:r>
    </w:p>
    <w:p w:rsidR="002830A9" w:rsidRDefault="002830A9" w:rsidP="002830A9">
      <w:pPr>
        <w:rPr>
          <w:rFonts w:asciiTheme="minorHAnsi" w:hAnsiTheme="minorHAnsi" w:cstheme="minorHAnsi"/>
          <w:sz w:val="22"/>
          <w:szCs w:val="22"/>
        </w:rPr>
      </w:pPr>
      <w:r>
        <w:rPr>
          <w:rFonts w:asciiTheme="minorHAnsi" w:hAnsiTheme="minorHAnsi" w:cstheme="minorHAnsi"/>
          <w:sz w:val="22"/>
          <w:szCs w:val="22"/>
        </w:rPr>
        <w:t>Ministry of Municipal Affairs and Housing</w:t>
      </w:r>
    </w:p>
    <w:p w:rsidR="009120C7" w:rsidRDefault="002830A9" w:rsidP="002830A9">
      <w:pPr>
        <w:rPr>
          <w:rFonts w:asciiTheme="minorHAnsi" w:hAnsiTheme="minorHAnsi" w:cstheme="minorHAnsi"/>
          <w:sz w:val="22"/>
          <w:szCs w:val="22"/>
        </w:rPr>
      </w:pPr>
      <w:r>
        <w:rPr>
          <w:rFonts w:asciiTheme="minorHAnsi" w:hAnsiTheme="minorHAnsi" w:cstheme="minorHAnsi"/>
          <w:sz w:val="22"/>
          <w:szCs w:val="22"/>
        </w:rPr>
        <w:t>777 Bay Street</w:t>
      </w:r>
    </w:p>
    <w:p w:rsidR="002830A9" w:rsidRDefault="002830A9" w:rsidP="002830A9">
      <w:pPr>
        <w:rPr>
          <w:rFonts w:asciiTheme="minorHAnsi" w:hAnsiTheme="minorHAnsi" w:cstheme="minorHAnsi"/>
          <w:sz w:val="22"/>
          <w:szCs w:val="22"/>
        </w:rPr>
      </w:pPr>
      <w:r>
        <w:rPr>
          <w:rFonts w:asciiTheme="minorHAnsi" w:hAnsiTheme="minorHAnsi" w:cstheme="minorHAnsi"/>
          <w:sz w:val="22"/>
          <w:szCs w:val="22"/>
        </w:rPr>
        <w:t>Toronto, Ontario</w:t>
      </w:r>
    </w:p>
    <w:p w:rsidR="002830A9" w:rsidRPr="002830A9" w:rsidRDefault="002830A9" w:rsidP="002830A9">
      <w:pPr>
        <w:rPr>
          <w:rFonts w:asciiTheme="minorHAnsi" w:hAnsiTheme="minorHAnsi" w:cstheme="minorHAnsi"/>
          <w:sz w:val="22"/>
          <w:szCs w:val="22"/>
        </w:rPr>
      </w:pPr>
      <w:r>
        <w:rPr>
          <w:rFonts w:asciiTheme="minorHAnsi" w:hAnsiTheme="minorHAnsi" w:cstheme="minorHAnsi"/>
          <w:sz w:val="22"/>
          <w:szCs w:val="22"/>
        </w:rPr>
        <w:t>M5G 2E5</w:t>
      </w:r>
    </w:p>
    <w:p w:rsidR="002830A9" w:rsidRDefault="002830A9" w:rsidP="003123B0">
      <w:pPr>
        <w:pStyle w:val="Heading1"/>
        <w:shd w:val="clear" w:color="auto" w:fill="FFFFFF"/>
        <w:rPr>
          <w:rFonts w:asciiTheme="minorHAnsi" w:hAnsiTheme="minorHAnsi" w:cs="Arial"/>
          <w:sz w:val="22"/>
          <w:szCs w:val="22"/>
        </w:rPr>
      </w:pPr>
    </w:p>
    <w:p w:rsidR="003123B0" w:rsidRPr="003123B0" w:rsidRDefault="003123B0" w:rsidP="003123B0">
      <w:pPr>
        <w:pStyle w:val="Heading1"/>
        <w:shd w:val="clear" w:color="auto" w:fill="FFFFFF"/>
        <w:rPr>
          <w:rFonts w:asciiTheme="minorHAnsi" w:hAnsiTheme="minorHAnsi" w:cs="Arial"/>
          <w:bCs w:val="0"/>
          <w:sz w:val="22"/>
          <w:szCs w:val="22"/>
        </w:rPr>
      </w:pPr>
      <w:r w:rsidRPr="003123B0">
        <w:rPr>
          <w:rFonts w:asciiTheme="minorHAnsi" w:hAnsiTheme="minorHAnsi" w:cs="Arial"/>
          <w:sz w:val="22"/>
          <w:szCs w:val="22"/>
        </w:rPr>
        <w:t xml:space="preserve">Re: </w:t>
      </w:r>
      <w:r w:rsidR="002830A9">
        <w:rPr>
          <w:rFonts w:asciiTheme="minorHAnsi" w:hAnsiTheme="minorHAnsi" w:cs="Arial"/>
          <w:sz w:val="22"/>
          <w:szCs w:val="22"/>
        </w:rPr>
        <w:t>ERO 019-018</w:t>
      </w:r>
      <w:r w:rsidR="003B50B0">
        <w:rPr>
          <w:rFonts w:asciiTheme="minorHAnsi" w:hAnsiTheme="minorHAnsi" w:cs="Arial"/>
          <w:sz w:val="22"/>
          <w:szCs w:val="22"/>
        </w:rPr>
        <w:t>3</w:t>
      </w:r>
    </w:p>
    <w:p w:rsidR="003123B0" w:rsidRPr="003123B0" w:rsidRDefault="003123B0" w:rsidP="003123B0">
      <w:pPr>
        <w:rPr>
          <w:rFonts w:asciiTheme="minorHAnsi" w:hAnsiTheme="minorHAnsi" w:cs="Arial"/>
          <w:sz w:val="22"/>
          <w:szCs w:val="22"/>
        </w:rPr>
      </w:pPr>
    </w:p>
    <w:p w:rsidR="003123B0" w:rsidRPr="003123B0" w:rsidRDefault="003123B0" w:rsidP="003123B0">
      <w:pPr>
        <w:rPr>
          <w:rFonts w:asciiTheme="minorHAnsi" w:hAnsiTheme="minorHAnsi" w:cs="Arial"/>
          <w:sz w:val="22"/>
          <w:szCs w:val="22"/>
        </w:rPr>
      </w:pPr>
      <w:r w:rsidRPr="003123B0">
        <w:rPr>
          <w:rFonts w:asciiTheme="minorHAnsi" w:hAnsiTheme="minorHAnsi" w:cs="Arial"/>
          <w:sz w:val="22"/>
          <w:szCs w:val="22"/>
        </w:rPr>
        <w:t xml:space="preserve">Dear </w:t>
      </w:r>
      <w:r w:rsidR="001E04C7">
        <w:rPr>
          <w:rFonts w:asciiTheme="minorHAnsi" w:hAnsiTheme="minorHAnsi" w:cs="Arial"/>
          <w:sz w:val="22"/>
          <w:szCs w:val="22"/>
        </w:rPr>
        <w:t>Minister</w:t>
      </w:r>
      <w:r w:rsidRPr="003123B0">
        <w:rPr>
          <w:rFonts w:asciiTheme="minorHAnsi" w:hAnsiTheme="minorHAnsi" w:cs="Arial"/>
          <w:sz w:val="22"/>
          <w:szCs w:val="22"/>
        </w:rPr>
        <w:t>:</w:t>
      </w:r>
    </w:p>
    <w:p w:rsidR="003123B0" w:rsidRPr="003123B0" w:rsidRDefault="003123B0" w:rsidP="003123B0">
      <w:pPr>
        <w:rPr>
          <w:rFonts w:asciiTheme="minorHAnsi" w:hAnsiTheme="minorHAnsi" w:cs="Arial"/>
          <w:sz w:val="22"/>
          <w:szCs w:val="22"/>
        </w:rPr>
      </w:pPr>
    </w:p>
    <w:p w:rsidR="003123B0" w:rsidRPr="002830A9" w:rsidRDefault="003123B0" w:rsidP="003123B0">
      <w:pPr>
        <w:rPr>
          <w:rFonts w:asciiTheme="minorHAnsi" w:hAnsiTheme="minorHAnsi" w:cs="Arial"/>
          <w:i/>
          <w:sz w:val="22"/>
          <w:szCs w:val="22"/>
        </w:rPr>
      </w:pPr>
      <w:r w:rsidRPr="003123B0">
        <w:rPr>
          <w:rFonts w:asciiTheme="minorHAnsi" w:hAnsiTheme="minorHAnsi" w:cs="Arial"/>
          <w:sz w:val="22"/>
          <w:szCs w:val="22"/>
        </w:rPr>
        <w:t>Th</w:t>
      </w:r>
      <w:r w:rsidR="001E04C7">
        <w:rPr>
          <w:rFonts w:asciiTheme="minorHAnsi" w:hAnsiTheme="minorHAnsi" w:cs="Arial"/>
          <w:sz w:val="22"/>
          <w:szCs w:val="22"/>
        </w:rPr>
        <w:t>is submission represents the</w:t>
      </w:r>
      <w:r w:rsidRPr="003123B0">
        <w:rPr>
          <w:rFonts w:asciiTheme="minorHAnsi" w:hAnsiTheme="minorHAnsi" w:cs="Arial"/>
          <w:sz w:val="22"/>
          <w:szCs w:val="22"/>
        </w:rPr>
        <w:t xml:space="preserve"> City of Burlington</w:t>
      </w:r>
      <w:r w:rsidR="001E04C7">
        <w:rPr>
          <w:rFonts w:asciiTheme="minorHAnsi" w:hAnsiTheme="minorHAnsi" w:cs="Arial"/>
          <w:sz w:val="22"/>
          <w:szCs w:val="22"/>
        </w:rPr>
        <w:t>’s comments in response the propose</w:t>
      </w:r>
      <w:r w:rsidR="002830A9">
        <w:rPr>
          <w:rFonts w:asciiTheme="minorHAnsi" w:hAnsiTheme="minorHAnsi" w:cs="Arial"/>
          <w:sz w:val="22"/>
          <w:szCs w:val="22"/>
        </w:rPr>
        <w:t>d new regulation</w:t>
      </w:r>
      <w:r w:rsidR="00C4560A">
        <w:rPr>
          <w:rFonts w:asciiTheme="minorHAnsi" w:hAnsiTheme="minorHAnsi" w:cs="Arial"/>
          <w:sz w:val="22"/>
          <w:szCs w:val="22"/>
        </w:rPr>
        <w:t xml:space="preserve"> pertaining to the community benefits authority under the Planning Act – ERO 019-0183. </w:t>
      </w:r>
    </w:p>
    <w:p w:rsidR="002830A9" w:rsidRDefault="002830A9" w:rsidP="002830A9">
      <w:pPr>
        <w:jc w:val="both"/>
      </w:pPr>
    </w:p>
    <w:p w:rsidR="003B50B0" w:rsidRPr="003B50B0" w:rsidRDefault="003B50B0" w:rsidP="003B50B0">
      <w:pPr>
        <w:jc w:val="both"/>
        <w:rPr>
          <w:rFonts w:asciiTheme="minorHAnsi" w:hAnsiTheme="minorHAnsi" w:cstheme="minorHAnsi"/>
          <w:sz w:val="22"/>
          <w:szCs w:val="22"/>
        </w:rPr>
      </w:pPr>
      <w:r w:rsidRPr="003B50B0">
        <w:rPr>
          <w:rFonts w:asciiTheme="minorHAnsi" w:hAnsiTheme="minorHAnsi" w:cstheme="minorHAnsi"/>
          <w:sz w:val="22"/>
          <w:szCs w:val="22"/>
        </w:rPr>
        <w:t>1.Transition</w:t>
      </w:r>
    </w:p>
    <w:p w:rsidR="003B50B0" w:rsidRPr="003B50B0" w:rsidRDefault="003B50B0" w:rsidP="003B50B0">
      <w:pPr>
        <w:jc w:val="both"/>
        <w:rPr>
          <w:rFonts w:asciiTheme="minorHAnsi" w:hAnsiTheme="minorHAnsi" w:cstheme="minorHAnsi"/>
          <w:sz w:val="22"/>
          <w:szCs w:val="22"/>
        </w:rPr>
      </w:pPr>
      <w:r w:rsidRPr="003B50B0">
        <w:rPr>
          <w:rFonts w:asciiTheme="minorHAnsi" w:hAnsiTheme="minorHAnsi" w:cstheme="minorHAnsi"/>
          <w:sz w:val="22"/>
          <w:szCs w:val="22"/>
        </w:rPr>
        <w:t>It is proposed that the specified date for municipalities to transition to community benefits is January 1, 2021.</w:t>
      </w:r>
      <w:r w:rsidRPr="003B50B0">
        <w:rPr>
          <w:rFonts w:asciiTheme="minorHAnsi" w:hAnsiTheme="minorHAnsi" w:cstheme="minorHAnsi"/>
          <w:sz w:val="22"/>
          <w:szCs w:val="22"/>
        </w:rPr>
        <w:tab/>
      </w:r>
    </w:p>
    <w:p w:rsidR="003B50B0" w:rsidRPr="003B50B0" w:rsidRDefault="003B50B0" w:rsidP="003B50B0">
      <w:pPr>
        <w:jc w:val="both"/>
        <w:rPr>
          <w:rFonts w:asciiTheme="minorHAnsi" w:hAnsiTheme="minorHAnsi" w:cstheme="minorHAnsi"/>
          <w:sz w:val="22"/>
          <w:szCs w:val="22"/>
        </w:rPr>
      </w:pPr>
    </w:p>
    <w:p w:rsidR="003B50B0" w:rsidRPr="003B50B0" w:rsidRDefault="003B50B0" w:rsidP="003B50B0">
      <w:pPr>
        <w:jc w:val="both"/>
        <w:rPr>
          <w:rFonts w:asciiTheme="minorHAnsi" w:hAnsiTheme="minorHAnsi" w:cstheme="minorHAnsi"/>
          <w:b/>
          <w:sz w:val="22"/>
          <w:szCs w:val="22"/>
        </w:rPr>
      </w:pPr>
      <w:r w:rsidRPr="003B50B0">
        <w:rPr>
          <w:rFonts w:asciiTheme="minorHAnsi" w:hAnsiTheme="minorHAnsi" w:cstheme="minorHAnsi"/>
          <w:b/>
          <w:sz w:val="22"/>
          <w:szCs w:val="22"/>
        </w:rPr>
        <w:t>City of Burlington Comments</w:t>
      </w:r>
    </w:p>
    <w:p w:rsidR="003B50B0" w:rsidRPr="003B50B0" w:rsidRDefault="003B50B0" w:rsidP="003B50B0">
      <w:pPr>
        <w:jc w:val="both"/>
        <w:rPr>
          <w:rFonts w:asciiTheme="minorHAnsi" w:hAnsiTheme="minorHAnsi" w:cstheme="minorHAnsi"/>
          <w:sz w:val="22"/>
          <w:szCs w:val="22"/>
        </w:rPr>
      </w:pPr>
    </w:p>
    <w:p w:rsidR="003B50B0" w:rsidRPr="003B50B0" w:rsidRDefault="003B50B0" w:rsidP="003B50B0">
      <w:pPr>
        <w:jc w:val="both"/>
        <w:rPr>
          <w:rFonts w:asciiTheme="minorHAnsi" w:hAnsiTheme="minorHAnsi" w:cstheme="minorHAnsi"/>
          <w:sz w:val="22"/>
          <w:szCs w:val="22"/>
        </w:rPr>
      </w:pPr>
      <w:r w:rsidRPr="003B50B0">
        <w:rPr>
          <w:rFonts w:asciiTheme="minorHAnsi" w:hAnsiTheme="minorHAnsi" w:cstheme="minorHAnsi"/>
          <w:sz w:val="22"/>
          <w:szCs w:val="22"/>
        </w:rPr>
        <w:t xml:space="preserve">There should be no requirement for a detailed background study.  </w:t>
      </w:r>
    </w:p>
    <w:p w:rsidR="003B50B0" w:rsidRPr="003B50B0" w:rsidRDefault="003B50B0" w:rsidP="003B50B0">
      <w:pPr>
        <w:jc w:val="both"/>
        <w:rPr>
          <w:rFonts w:asciiTheme="minorHAnsi" w:hAnsiTheme="minorHAnsi" w:cstheme="minorHAnsi"/>
          <w:sz w:val="22"/>
          <w:szCs w:val="22"/>
        </w:rPr>
      </w:pPr>
    </w:p>
    <w:p w:rsidR="003B50B0" w:rsidRDefault="003B50B0" w:rsidP="003B50B0">
      <w:pPr>
        <w:rPr>
          <w:rFonts w:asciiTheme="minorHAnsi" w:hAnsiTheme="minorHAnsi" w:cstheme="minorHAnsi"/>
          <w:sz w:val="22"/>
          <w:szCs w:val="22"/>
        </w:rPr>
      </w:pPr>
    </w:p>
    <w:p w:rsidR="003B50B0" w:rsidRPr="003B50B0" w:rsidRDefault="003B50B0" w:rsidP="003B50B0">
      <w:pPr>
        <w:rPr>
          <w:rFonts w:asciiTheme="minorHAnsi" w:hAnsiTheme="minorHAnsi" w:cstheme="minorHAnsi"/>
          <w:sz w:val="22"/>
          <w:szCs w:val="22"/>
        </w:rPr>
      </w:pPr>
      <w:r w:rsidRPr="003B50B0">
        <w:rPr>
          <w:rFonts w:asciiTheme="minorHAnsi" w:hAnsiTheme="minorHAnsi" w:cstheme="minorHAnsi"/>
          <w:sz w:val="22"/>
          <w:szCs w:val="22"/>
        </w:rPr>
        <w:t xml:space="preserve">2. </w:t>
      </w:r>
      <w:proofErr w:type="gramStart"/>
      <w:r w:rsidRPr="003B50B0">
        <w:rPr>
          <w:rFonts w:asciiTheme="minorHAnsi" w:hAnsiTheme="minorHAnsi" w:cstheme="minorHAnsi"/>
          <w:sz w:val="22"/>
          <w:szCs w:val="22"/>
        </w:rPr>
        <w:t>In order to</w:t>
      </w:r>
      <w:proofErr w:type="gramEnd"/>
      <w:r w:rsidRPr="003B50B0">
        <w:rPr>
          <w:rFonts w:asciiTheme="minorHAnsi" w:hAnsiTheme="minorHAnsi" w:cstheme="minorHAnsi"/>
          <w:sz w:val="22"/>
          <w:szCs w:val="22"/>
        </w:rPr>
        <w:t xml:space="preserve"> ensure that community benefit charges are collected and spent on community benefits in a transparent manner, and for greater accountability, the Minister is proposing to prescribe reporting requirements that are similar to existing reporting requirements for development charges and parkland under section 42 of the Planning Act.</w:t>
      </w:r>
    </w:p>
    <w:p w:rsidR="003B50B0" w:rsidRPr="003B50B0" w:rsidRDefault="003B50B0" w:rsidP="003B50B0">
      <w:pPr>
        <w:rPr>
          <w:rFonts w:asciiTheme="minorHAnsi" w:hAnsiTheme="minorHAnsi" w:cstheme="minorHAnsi"/>
          <w:sz w:val="22"/>
          <w:szCs w:val="22"/>
        </w:rPr>
      </w:pPr>
    </w:p>
    <w:p w:rsidR="003B50B0" w:rsidRPr="003B50B0" w:rsidRDefault="003B50B0" w:rsidP="003B50B0">
      <w:pPr>
        <w:rPr>
          <w:rFonts w:asciiTheme="minorHAnsi" w:hAnsiTheme="minorHAnsi" w:cstheme="minorHAnsi"/>
          <w:b/>
          <w:sz w:val="22"/>
          <w:szCs w:val="22"/>
        </w:rPr>
      </w:pPr>
      <w:r w:rsidRPr="003B50B0">
        <w:rPr>
          <w:rFonts w:asciiTheme="minorHAnsi" w:hAnsiTheme="minorHAnsi" w:cstheme="minorHAnsi"/>
          <w:b/>
          <w:sz w:val="22"/>
          <w:szCs w:val="22"/>
        </w:rPr>
        <w:t>City of Burlington Comments</w:t>
      </w:r>
    </w:p>
    <w:p w:rsidR="003B50B0" w:rsidRPr="003B50B0" w:rsidRDefault="003B50B0" w:rsidP="003B50B0">
      <w:pPr>
        <w:rPr>
          <w:rFonts w:asciiTheme="minorHAnsi" w:hAnsiTheme="minorHAnsi" w:cstheme="minorHAnsi"/>
          <w:b/>
          <w:sz w:val="22"/>
          <w:szCs w:val="22"/>
        </w:rPr>
      </w:pPr>
    </w:p>
    <w:p w:rsidR="003B50B0" w:rsidRPr="003B50B0" w:rsidRDefault="003B50B0" w:rsidP="003B50B0">
      <w:pPr>
        <w:rPr>
          <w:rFonts w:asciiTheme="minorHAnsi" w:hAnsiTheme="minorHAnsi" w:cstheme="minorHAnsi"/>
          <w:sz w:val="22"/>
          <w:szCs w:val="22"/>
        </w:rPr>
      </w:pPr>
      <w:r w:rsidRPr="003B50B0">
        <w:rPr>
          <w:rFonts w:asciiTheme="minorHAnsi" w:hAnsiTheme="minorHAnsi" w:cstheme="minorHAnsi"/>
          <w:sz w:val="22"/>
          <w:szCs w:val="22"/>
        </w:rPr>
        <w:t>No concerns identified.</w:t>
      </w:r>
    </w:p>
    <w:p w:rsidR="003B50B0" w:rsidRPr="003B50B0" w:rsidRDefault="003B50B0" w:rsidP="003B50B0">
      <w:pPr>
        <w:rPr>
          <w:rFonts w:asciiTheme="minorHAnsi" w:hAnsiTheme="minorHAnsi" w:cstheme="minorHAnsi"/>
          <w:sz w:val="22"/>
          <w:szCs w:val="22"/>
        </w:rPr>
      </w:pPr>
    </w:p>
    <w:p w:rsidR="003B50B0" w:rsidRDefault="003B50B0" w:rsidP="003B50B0">
      <w:pPr>
        <w:rPr>
          <w:rFonts w:asciiTheme="minorHAnsi" w:hAnsiTheme="minorHAnsi" w:cstheme="minorHAnsi"/>
          <w:b/>
          <w:sz w:val="22"/>
          <w:szCs w:val="22"/>
        </w:rPr>
      </w:pPr>
    </w:p>
    <w:p w:rsidR="003B50B0" w:rsidRPr="003B50B0" w:rsidRDefault="003B50B0" w:rsidP="003B50B0">
      <w:pPr>
        <w:rPr>
          <w:rFonts w:asciiTheme="minorHAnsi" w:hAnsiTheme="minorHAnsi" w:cstheme="minorHAnsi"/>
          <w:sz w:val="22"/>
          <w:szCs w:val="22"/>
        </w:rPr>
      </w:pPr>
      <w:r w:rsidRPr="003B50B0">
        <w:rPr>
          <w:rFonts w:asciiTheme="minorHAnsi" w:hAnsiTheme="minorHAnsi" w:cstheme="minorHAnsi"/>
          <w:b/>
          <w:sz w:val="22"/>
          <w:szCs w:val="22"/>
        </w:rPr>
        <w:t>3</w:t>
      </w:r>
      <w:r w:rsidRPr="003B50B0">
        <w:rPr>
          <w:rFonts w:asciiTheme="minorHAnsi" w:hAnsiTheme="minorHAnsi" w:cstheme="minorHAnsi"/>
          <w:sz w:val="22"/>
          <w:szCs w:val="22"/>
        </w:rPr>
        <w:t>. Municipalities would be required annually to prepare a report for the preceding year that would provide information about the amounts in the community benefits charge special account, such as:</w:t>
      </w:r>
    </w:p>
    <w:p w:rsidR="003B50B0" w:rsidRPr="003B50B0" w:rsidRDefault="003B50B0" w:rsidP="003B50B0">
      <w:pPr>
        <w:rPr>
          <w:rFonts w:asciiTheme="minorHAnsi" w:hAnsiTheme="minorHAnsi" w:cstheme="minorHAnsi"/>
          <w:sz w:val="22"/>
          <w:szCs w:val="22"/>
        </w:rPr>
      </w:pPr>
    </w:p>
    <w:p w:rsidR="003B50B0" w:rsidRPr="003B50B0" w:rsidRDefault="003B50B0" w:rsidP="003B50B0">
      <w:pPr>
        <w:ind w:firstLine="720"/>
        <w:rPr>
          <w:rFonts w:asciiTheme="minorHAnsi" w:hAnsiTheme="minorHAnsi" w:cstheme="minorHAnsi"/>
          <w:sz w:val="22"/>
          <w:szCs w:val="22"/>
        </w:rPr>
      </w:pPr>
      <w:r w:rsidRPr="003B50B0">
        <w:rPr>
          <w:rFonts w:asciiTheme="minorHAnsi" w:hAnsiTheme="minorHAnsi" w:cstheme="minorHAnsi"/>
          <w:sz w:val="22"/>
          <w:szCs w:val="22"/>
        </w:rPr>
        <w:t>•Opening and closing balances of the special account</w:t>
      </w:r>
    </w:p>
    <w:p w:rsidR="003B50B0" w:rsidRPr="003B50B0" w:rsidRDefault="003B50B0" w:rsidP="003B50B0">
      <w:pPr>
        <w:ind w:firstLine="720"/>
        <w:rPr>
          <w:rFonts w:asciiTheme="minorHAnsi" w:hAnsiTheme="minorHAnsi" w:cstheme="minorHAnsi"/>
          <w:sz w:val="22"/>
          <w:szCs w:val="22"/>
        </w:rPr>
      </w:pPr>
      <w:r w:rsidRPr="003B50B0">
        <w:rPr>
          <w:rFonts w:asciiTheme="minorHAnsi" w:hAnsiTheme="minorHAnsi" w:cstheme="minorHAnsi"/>
          <w:sz w:val="22"/>
          <w:szCs w:val="22"/>
        </w:rPr>
        <w:t>•A description of the services funded through the special account</w:t>
      </w:r>
    </w:p>
    <w:p w:rsidR="003B50B0" w:rsidRPr="003B50B0" w:rsidRDefault="003B50B0" w:rsidP="003B50B0">
      <w:pPr>
        <w:ind w:firstLine="720"/>
        <w:rPr>
          <w:rFonts w:asciiTheme="minorHAnsi" w:hAnsiTheme="minorHAnsi" w:cstheme="minorHAnsi"/>
          <w:sz w:val="22"/>
          <w:szCs w:val="22"/>
        </w:rPr>
      </w:pPr>
      <w:r w:rsidRPr="003B50B0">
        <w:rPr>
          <w:rFonts w:asciiTheme="minorHAnsi" w:hAnsiTheme="minorHAnsi" w:cstheme="minorHAnsi"/>
          <w:sz w:val="22"/>
          <w:szCs w:val="22"/>
        </w:rPr>
        <w:t>•Details on amounts allocated during the year</w:t>
      </w:r>
    </w:p>
    <w:p w:rsidR="003B50B0" w:rsidRPr="003B50B0" w:rsidRDefault="003B50B0" w:rsidP="003B50B0">
      <w:pPr>
        <w:ind w:left="720"/>
        <w:rPr>
          <w:rFonts w:asciiTheme="minorHAnsi" w:hAnsiTheme="minorHAnsi" w:cstheme="minorHAnsi"/>
          <w:sz w:val="22"/>
          <w:szCs w:val="22"/>
        </w:rPr>
      </w:pPr>
      <w:r w:rsidRPr="003B50B0">
        <w:rPr>
          <w:rFonts w:asciiTheme="minorHAnsi" w:hAnsiTheme="minorHAnsi" w:cstheme="minorHAnsi"/>
          <w:sz w:val="22"/>
          <w:szCs w:val="22"/>
        </w:rPr>
        <w:t>•The amount of any money borrowed from the special account, and the purpose for which it was borrowed</w:t>
      </w:r>
    </w:p>
    <w:p w:rsidR="003B50B0" w:rsidRPr="003B50B0" w:rsidRDefault="003B50B0" w:rsidP="003B50B0">
      <w:pPr>
        <w:ind w:firstLine="720"/>
        <w:rPr>
          <w:rFonts w:asciiTheme="minorHAnsi" w:hAnsiTheme="minorHAnsi" w:cstheme="minorHAnsi"/>
          <w:sz w:val="22"/>
          <w:szCs w:val="22"/>
        </w:rPr>
      </w:pPr>
      <w:r w:rsidRPr="003B50B0">
        <w:rPr>
          <w:rFonts w:asciiTheme="minorHAnsi" w:hAnsiTheme="minorHAnsi" w:cstheme="minorHAnsi"/>
          <w:sz w:val="22"/>
          <w:szCs w:val="22"/>
        </w:rPr>
        <w:t>•The amount of interest accrued on money borrowed.</w:t>
      </w:r>
    </w:p>
    <w:p w:rsidR="003B50B0" w:rsidRPr="003B50B0" w:rsidRDefault="003B50B0" w:rsidP="003B50B0">
      <w:pPr>
        <w:rPr>
          <w:rFonts w:asciiTheme="minorHAnsi" w:hAnsiTheme="minorHAnsi" w:cstheme="minorHAnsi"/>
          <w:sz w:val="22"/>
          <w:szCs w:val="22"/>
        </w:rPr>
      </w:pPr>
    </w:p>
    <w:p w:rsidR="003B50B0" w:rsidRDefault="003B50B0" w:rsidP="003B50B0">
      <w:pPr>
        <w:rPr>
          <w:rFonts w:asciiTheme="minorHAnsi" w:hAnsiTheme="minorHAnsi" w:cstheme="minorHAnsi"/>
          <w:b/>
          <w:sz w:val="22"/>
          <w:szCs w:val="22"/>
        </w:rPr>
      </w:pPr>
    </w:p>
    <w:p w:rsidR="003B50B0" w:rsidRDefault="003B50B0" w:rsidP="003B50B0">
      <w:pPr>
        <w:rPr>
          <w:rFonts w:asciiTheme="minorHAnsi" w:hAnsiTheme="minorHAnsi" w:cstheme="minorHAnsi"/>
          <w:b/>
          <w:sz w:val="22"/>
          <w:szCs w:val="22"/>
        </w:rPr>
      </w:pPr>
    </w:p>
    <w:p w:rsidR="003B50B0" w:rsidRDefault="003B50B0" w:rsidP="003B50B0">
      <w:pPr>
        <w:rPr>
          <w:rFonts w:asciiTheme="minorHAnsi" w:hAnsiTheme="minorHAnsi" w:cstheme="minorHAnsi"/>
          <w:b/>
          <w:sz w:val="22"/>
          <w:szCs w:val="22"/>
        </w:rPr>
      </w:pPr>
    </w:p>
    <w:p w:rsidR="003B50B0" w:rsidRDefault="003B50B0" w:rsidP="003B50B0">
      <w:pPr>
        <w:rPr>
          <w:rFonts w:asciiTheme="minorHAnsi" w:hAnsiTheme="minorHAnsi" w:cstheme="minorHAnsi"/>
          <w:b/>
          <w:sz w:val="22"/>
          <w:szCs w:val="22"/>
        </w:rPr>
      </w:pPr>
    </w:p>
    <w:p w:rsidR="003B50B0" w:rsidRDefault="003B50B0" w:rsidP="003B50B0">
      <w:pPr>
        <w:rPr>
          <w:rFonts w:asciiTheme="minorHAnsi" w:hAnsiTheme="minorHAnsi" w:cstheme="minorHAnsi"/>
          <w:b/>
          <w:sz w:val="22"/>
          <w:szCs w:val="22"/>
        </w:rPr>
      </w:pPr>
    </w:p>
    <w:p w:rsidR="003B50B0" w:rsidRDefault="003B50B0" w:rsidP="003B50B0">
      <w:pPr>
        <w:rPr>
          <w:rFonts w:asciiTheme="minorHAnsi" w:hAnsiTheme="minorHAnsi" w:cstheme="minorHAnsi"/>
          <w:b/>
          <w:sz w:val="22"/>
          <w:szCs w:val="22"/>
        </w:rPr>
      </w:pPr>
    </w:p>
    <w:p w:rsidR="003B50B0" w:rsidRPr="003B50B0" w:rsidRDefault="003B50B0" w:rsidP="003B50B0">
      <w:pPr>
        <w:rPr>
          <w:rFonts w:asciiTheme="minorHAnsi" w:hAnsiTheme="minorHAnsi" w:cstheme="minorHAnsi"/>
          <w:b/>
          <w:sz w:val="22"/>
          <w:szCs w:val="22"/>
        </w:rPr>
      </w:pPr>
      <w:r w:rsidRPr="003B50B0">
        <w:rPr>
          <w:rFonts w:asciiTheme="minorHAnsi" w:hAnsiTheme="minorHAnsi" w:cstheme="minorHAnsi"/>
          <w:b/>
          <w:sz w:val="22"/>
          <w:szCs w:val="22"/>
        </w:rPr>
        <w:t>City of Burlington Comments</w:t>
      </w:r>
    </w:p>
    <w:p w:rsidR="003B50B0" w:rsidRPr="003B50B0" w:rsidRDefault="003B50B0" w:rsidP="003B50B0">
      <w:pPr>
        <w:jc w:val="both"/>
        <w:rPr>
          <w:rFonts w:asciiTheme="minorHAnsi" w:hAnsiTheme="minorHAnsi" w:cstheme="minorHAnsi"/>
          <w:sz w:val="22"/>
          <w:szCs w:val="22"/>
        </w:rPr>
      </w:pPr>
    </w:p>
    <w:p w:rsidR="003B50B0" w:rsidRPr="003B50B0" w:rsidRDefault="003B50B0" w:rsidP="003B50B0">
      <w:pPr>
        <w:jc w:val="both"/>
        <w:rPr>
          <w:rFonts w:asciiTheme="minorHAnsi" w:hAnsiTheme="minorHAnsi" w:cstheme="minorHAnsi"/>
          <w:sz w:val="22"/>
          <w:szCs w:val="22"/>
        </w:rPr>
      </w:pPr>
      <w:r w:rsidRPr="003B50B0">
        <w:rPr>
          <w:rFonts w:asciiTheme="minorHAnsi" w:hAnsiTheme="minorHAnsi" w:cstheme="minorHAnsi"/>
          <w:sz w:val="22"/>
          <w:szCs w:val="22"/>
        </w:rPr>
        <w:t>The legislation requires 60 per cent of funds to be spent or allocated annually, the amounts allocated to a capital account should also include for future spending.</w:t>
      </w:r>
    </w:p>
    <w:p w:rsidR="003B50B0" w:rsidRPr="003B50B0" w:rsidRDefault="003B50B0" w:rsidP="003B50B0">
      <w:pPr>
        <w:jc w:val="both"/>
        <w:rPr>
          <w:rFonts w:asciiTheme="minorHAnsi" w:hAnsiTheme="minorHAnsi" w:cstheme="minorHAnsi"/>
          <w:sz w:val="22"/>
          <w:szCs w:val="22"/>
        </w:rPr>
      </w:pPr>
    </w:p>
    <w:p w:rsidR="003B50B0" w:rsidRPr="003B50B0" w:rsidRDefault="003B50B0" w:rsidP="003B50B0">
      <w:pPr>
        <w:jc w:val="both"/>
        <w:rPr>
          <w:rFonts w:asciiTheme="minorHAnsi" w:hAnsiTheme="minorHAnsi" w:cstheme="minorHAnsi"/>
          <w:sz w:val="22"/>
          <w:szCs w:val="22"/>
        </w:rPr>
      </w:pPr>
      <w:r w:rsidRPr="003B50B0">
        <w:rPr>
          <w:rFonts w:asciiTheme="minorHAnsi" w:hAnsiTheme="minorHAnsi" w:cstheme="minorHAnsi"/>
          <w:sz w:val="22"/>
          <w:szCs w:val="22"/>
        </w:rPr>
        <w:t xml:space="preserve">The province should provide clarification on what “allocated” means. </w:t>
      </w:r>
    </w:p>
    <w:p w:rsidR="003B50B0" w:rsidRPr="003B50B0" w:rsidRDefault="003B50B0" w:rsidP="003B50B0">
      <w:pPr>
        <w:jc w:val="both"/>
        <w:rPr>
          <w:rFonts w:asciiTheme="minorHAnsi" w:hAnsiTheme="minorHAnsi" w:cstheme="minorHAnsi"/>
          <w:sz w:val="22"/>
          <w:szCs w:val="22"/>
        </w:rPr>
      </w:pPr>
    </w:p>
    <w:p w:rsidR="003B50B0" w:rsidRPr="003B50B0" w:rsidRDefault="003B50B0" w:rsidP="003B50B0">
      <w:pPr>
        <w:jc w:val="both"/>
        <w:rPr>
          <w:rFonts w:asciiTheme="minorHAnsi" w:hAnsiTheme="minorHAnsi" w:cstheme="minorHAnsi"/>
          <w:sz w:val="22"/>
          <w:szCs w:val="22"/>
        </w:rPr>
      </w:pPr>
    </w:p>
    <w:p w:rsidR="003B50B0" w:rsidRPr="003B50B0" w:rsidRDefault="003B50B0" w:rsidP="003B50B0">
      <w:pPr>
        <w:jc w:val="both"/>
        <w:rPr>
          <w:rFonts w:asciiTheme="minorHAnsi" w:hAnsiTheme="minorHAnsi" w:cstheme="minorHAnsi"/>
          <w:sz w:val="22"/>
          <w:szCs w:val="22"/>
        </w:rPr>
      </w:pPr>
      <w:r w:rsidRPr="003B50B0">
        <w:rPr>
          <w:rFonts w:asciiTheme="minorHAnsi" w:hAnsiTheme="minorHAnsi" w:cstheme="minorHAnsi"/>
          <w:b/>
          <w:sz w:val="22"/>
          <w:szCs w:val="22"/>
        </w:rPr>
        <w:t>4</w:t>
      </w:r>
      <w:r w:rsidRPr="003B50B0">
        <w:rPr>
          <w:rFonts w:asciiTheme="minorHAnsi" w:hAnsiTheme="minorHAnsi" w:cstheme="minorHAnsi"/>
          <w:sz w:val="22"/>
          <w:szCs w:val="22"/>
        </w:rPr>
        <w:t xml:space="preserve">. </w:t>
      </w:r>
      <w:proofErr w:type="gramStart"/>
      <w:r w:rsidRPr="003B50B0">
        <w:rPr>
          <w:rFonts w:asciiTheme="minorHAnsi" w:hAnsiTheme="minorHAnsi" w:cstheme="minorHAnsi"/>
          <w:sz w:val="22"/>
          <w:szCs w:val="22"/>
        </w:rPr>
        <w:t>In order to</w:t>
      </w:r>
      <w:proofErr w:type="gramEnd"/>
      <w:r w:rsidRPr="003B50B0">
        <w:rPr>
          <w:rFonts w:asciiTheme="minorHAnsi" w:hAnsiTheme="minorHAnsi" w:cstheme="minorHAnsi"/>
          <w:sz w:val="22"/>
          <w:szCs w:val="22"/>
        </w:rPr>
        <w:t xml:space="preserve"> ensure that cash-in-lieu of parkland is collected and used in a transparent manner, the Minister is proposing to prescribe reporting requirements for parkland.</w:t>
      </w:r>
    </w:p>
    <w:p w:rsidR="003B50B0" w:rsidRPr="003B50B0" w:rsidRDefault="003B50B0" w:rsidP="003B50B0">
      <w:pPr>
        <w:jc w:val="both"/>
        <w:rPr>
          <w:rFonts w:asciiTheme="minorHAnsi" w:hAnsiTheme="minorHAnsi" w:cstheme="minorHAnsi"/>
          <w:sz w:val="22"/>
          <w:szCs w:val="22"/>
        </w:rPr>
      </w:pPr>
    </w:p>
    <w:p w:rsidR="003B50B0" w:rsidRPr="003B50B0" w:rsidRDefault="003B50B0" w:rsidP="003B50B0">
      <w:pPr>
        <w:jc w:val="both"/>
        <w:rPr>
          <w:rFonts w:asciiTheme="minorHAnsi" w:hAnsiTheme="minorHAnsi" w:cstheme="minorHAnsi"/>
          <w:sz w:val="22"/>
          <w:szCs w:val="22"/>
        </w:rPr>
      </w:pPr>
      <w:r w:rsidRPr="003B50B0">
        <w:rPr>
          <w:rFonts w:asciiTheme="minorHAnsi" w:hAnsiTheme="minorHAnsi" w:cstheme="minorHAnsi"/>
          <w:sz w:val="22"/>
          <w:szCs w:val="22"/>
        </w:rPr>
        <w:t>Municipalities would be required annually to prepare a report for the preceding year that would provide information about the amounts in the special account, such as:</w:t>
      </w:r>
    </w:p>
    <w:p w:rsidR="003B50B0" w:rsidRPr="003B50B0" w:rsidRDefault="003B50B0" w:rsidP="003B50B0">
      <w:pPr>
        <w:jc w:val="both"/>
        <w:rPr>
          <w:rFonts w:asciiTheme="minorHAnsi" w:hAnsiTheme="minorHAnsi" w:cstheme="minorHAnsi"/>
          <w:sz w:val="22"/>
          <w:szCs w:val="22"/>
        </w:rPr>
      </w:pPr>
    </w:p>
    <w:p w:rsidR="003B50B0" w:rsidRPr="003B50B0" w:rsidRDefault="003B50B0" w:rsidP="003B50B0">
      <w:pPr>
        <w:ind w:firstLine="720"/>
        <w:jc w:val="both"/>
        <w:rPr>
          <w:rFonts w:asciiTheme="minorHAnsi" w:hAnsiTheme="minorHAnsi" w:cstheme="minorHAnsi"/>
          <w:sz w:val="22"/>
          <w:szCs w:val="22"/>
        </w:rPr>
      </w:pPr>
      <w:r w:rsidRPr="003B50B0">
        <w:rPr>
          <w:rFonts w:asciiTheme="minorHAnsi" w:hAnsiTheme="minorHAnsi" w:cstheme="minorHAnsi"/>
          <w:sz w:val="22"/>
          <w:szCs w:val="22"/>
        </w:rPr>
        <w:t>•Opening and closing balances of the special account</w:t>
      </w:r>
    </w:p>
    <w:p w:rsidR="003B50B0" w:rsidRPr="003B50B0" w:rsidRDefault="003B50B0" w:rsidP="003B50B0">
      <w:pPr>
        <w:ind w:firstLine="720"/>
        <w:jc w:val="both"/>
        <w:rPr>
          <w:rFonts w:asciiTheme="minorHAnsi" w:hAnsiTheme="minorHAnsi" w:cstheme="minorHAnsi"/>
          <w:sz w:val="22"/>
          <w:szCs w:val="22"/>
        </w:rPr>
      </w:pPr>
      <w:r w:rsidRPr="003B50B0">
        <w:rPr>
          <w:rFonts w:asciiTheme="minorHAnsi" w:hAnsiTheme="minorHAnsi" w:cstheme="minorHAnsi"/>
          <w:sz w:val="22"/>
          <w:szCs w:val="22"/>
        </w:rPr>
        <w:t>•A description of land and machinery acquired with funds from the special account</w:t>
      </w:r>
    </w:p>
    <w:p w:rsidR="003B50B0" w:rsidRPr="003B50B0" w:rsidRDefault="003B50B0" w:rsidP="003B50B0">
      <w:pPr>
        <w:ind w:firstLine="720"/>
        <w:jc w:val="both"/>
        <w:rPr>
          <w:rFonts w:asciiTheme="minorHAnsi" w:hAnsiTheme="minorHAnsi" w:cstheme="minorHAnsi"/>
          <w:sz w:val="22"/>
          <w:szCs w:val="22"/>
        </w:rPr>
      </w:pPr>
      <w:r w:rsidRPr="003B50B0">
        <w:rPr>
          <w:rFonts w:asciiTheme="minorHAnsi" w:hAnsiTheme="minorHAnsi" w:cstheme="minorHAnsi"/>
          <w:sz w:val="22"/>
          <w:szCs w:val="22"/>
        </w:rPr>
        <w:t>•Details on amounts allocated during the year</w:t>
      </w:r>
    </w:p>
    <w:p w:rsidR="003B50B0" w:rsidRPr="003B50B0" w:rsidRDefault="003B50B0" w:rsidP="003B50B0">
      <w:pPr>
        <w:ind w:left="720"/>
        <w:jc w:val="both"/>
        <w:rPr>
          <w:rFonts w:asciiTheme="minorHAnsi" w:hAnsiTheme="minorHAnsi" w:cstheme="minorHAnsi"/>
          <w:sz w:val="22"/>
          <w:szCs w:val="22"/>
        </w:rPr>
      </w:pPr>
      <w:r w:rsidRPr="003B50B0">
        <w:rPr>
          <w:rFonts w:asciiTheme="minorHAnsi" w:hAnsiTheme="minorHAnsi" w:cstheme="minorHAnsi"/>
          <w:sz w:val="22"/>
          <w:szCs w:val="22"/>
        </w:rPr>
        <w:t>•The amount of any money borrowed from the special account, and the purpose for which it was borrowed</w:t>
      </w:r>
    </w:p>
    <w:p w:rsidR="003B50B0" w:rsidRPr="003B50B0" w:rsidRDefault="003B50B0" w:rsidP="003B50B0">
      <w:pPr>
        <w:ind w:firstLine="720"/>
        <w:jc w:val="both"/>
        <w:rPr>
          <w:rFonts w:asciiTheme="minorHAnsi" w:hAnsiTheme="minorHAnsi" w:cstheme="minorHAnsi"/>
          <w:sz w:val="22"/>
          <w:szCs w:val="22"/>
        </w:rPr>
      </w:pPr>
      <w:r w:rsidRPr="003B50B0">
        <w:rPr>
          <w:rFonts w:asciiTheme="minorHAnsi" w:hAnsiTheme="minorHAnsi" w:cstheme="minorHAnsi"/>
          <w:sz w:val="22"/>
          <w:szCs w:val="22"/>
        </w:rPr>
        <w:t>•The amount of interest accrued on money borrowed.</w:t>
      </w:r>
    </w:p>
    <w:p w:rsidR="003B50B0" w:rsidRPr="003B50B0" w:rsidRDefault="003B50B0" w:rsidP="003B50B0">
      <w:pPr>
        <w:jc w:val="both"/>
        <w:rPr>
          <w:rFonts w:asciiTheme="minorHAnsi" w:hAnsiTheme="minorHAnsi" w:cstheme="minorHAnsi"/>
          <w:sz w:val="22"/>
          <w:szCs w:val="22"/>
        </w:rPr>
      </w:pPr>
    </w:p>
    <w:p w:rsidR="003B50B0" w:rsidRPr="003B50B0" w:rsidRDefault="003B50B0" w:rsidP="003B50B0">
      <w:pPr>
        <w:jc w:val="both"/>
        <w:rPr>
          <w:rFonts w:asciiTheme="minorHAnsi" w:hAnsiTheme="minorHAnsi" w:cstheme="minorHAnsi"/>
          <w:b/>
          <w:sz w:val="22"/>
          <w:szCs w:val="22"/>
        </w:rPr>
      </w:pPr>
    </w:p>
    <w:p w:rsidR="003B50B0" w:rsidRPr="003B50B0" w:rsidRDefault="003B50B0" w:rsidP="003B50B0">
      <w:pPr>
        <w:jc w:val="both"/>
        <w:rPr>
          <w:rFonts w:asciiTheme="minorHAnsi" w:hAnsiTheme="minorHAnsi" w:cstheme="minorHAnsi"/>
          <w:b/>
          <w:sz w:val="22"/>
          <w:szCs w:val="22"/>
        </w:rPr>
      </w:pPr>
      <w:r w:rsidRPr="003B50B0">
        <w:rPr>
          <w:rFonts w:asciiTheme="minorHAnsi" w:hAnsiTheme="minorHAnsi" w:cstheme="minorHAnsi"/>
          <w:b/>
          <w:sz w:val="22"/>
          <w:szCs w:val="22"/>
        </w:rPr>
        <w:t>City of Burlington Comments</w:t>
      </w:r>
    </w:p>
    <w:p w:rsidR="003B50B0" w:rsidRPr="003B50B0" w:rsidRDefault="003B50B0" w:rsidP="003B50B0">
      <w:pPr>
        <w:jc w:val="both"/>
        <w:rPr>
          <w:rFonts w:asciiTheme="minorHAnsi" w:hAnsiTheme="minorHAnsi" w:cstheme="minorHAnsi"/>
          <w:b/>
          <w:sz w:val="22"/>
          <w:szCs w:val="22"/>
        </w:rPr>
      </w:pPr>
    </w:p>
    <w:p w:rsidR="003B50B0" w:rsidRPr="003B50B0" w:rsidRDefault="003B50B0" w:rsidP="003B50B0">
      <w:pPr>
        <w:rPr>
          <w:rFonts w:asciiTheme="minorHAnsi" w:hAnsiTheme="minorHAnsi" w:cstheme="minorHAnsi"/>
          <w:sz w:val="22"/>
          <w:szCs w:val="22"/>
        </w:rPr>
      </w:pPr>
      <w:r w:rsidRPr="003B50B0">
        <w:rPr>
          <w:rFonts w:asciiTheme="minorHAnsi" w:hAnsiTheme="minorHAnsi" w:cstheme="minorHAnsi"/>
          <w:sz w:val="22"/>
          <w:szCs w:val="22"/>
        </w:rPr>
        <w:t>Under current reporting S.42 (15) allows for funds to be used “for park or other public recreation purposes” the scope in this regulation is for “land and machinery”. Has the scope of services been limited? Clarity on the scope of services is required. The city is concerned about any reductions in the scope of services the funds can be used for as this will impede on the city’s ability to provide the amenities for residents that ensure complete communities are developed.</w:t>
      </w:r>
    </w:p>
    <w:p w:rsidR="003B50B0" w:rsidRPr="003B50B0" w:rsidRDefault="003B50B0" w:rsidP="003B50B0">
      <w:pPr>
        <w:rPr>
          <w:rFonts w:asciiTheme="minorHAnsi" w:hAnsiTheme="minorHAnsi" w:cstheme="minorHAnsi"/>
          <w:sz w:val="22"/>
          <w:szCs w:val="22"/>
        </w:rPr>
      </w:pPr>
    </w:p>
    <w:p w:rsidR="003B50B0" w:rsidRDefault="003B50B0" w:rsidP="003B50B0">
      <w:pPr>
        <w:rPr>
          <w:rFonts w:asciiTheme="minorHAnsi" w:hAnsiTheme="minorHAnsi" w:cstheme="minorHAnsi"/>
          <w:b/>
          <w:sz w:val="22"/>
          <w:szCs w:val="22"/>
        </w:rPr>
      </w:pPr>
    </w:p>
    <w:p w:rsidR="003B50B0" w:rsidRPr="003B50B0" w:rsidRDefault="003B50B0" w:rsidP="003B50B0">
      <w:pPr>
        <w:rPr>
          <w:rFonts w:asciiTheme="minorHAnsi" w:hAnsiTheme="minorHAnsi" w:cstheme="minorHAnsi"/>
          <w:sz w:val="22"/>
          <w:szCs w:val="22"/>
        </w:rPr>
      </w:pPr>
      <w:r w:rsidRPr="003B50B0">
        <w:rPr>
          <w:rFonts w:asciiTheme="minorHAnsi" w:hAnsiTheme="minorHAnsi" w:cstheme="minorHAnsi"/>
          <w:b/>
          <w:sz w:val="22"/>
          <w:szCs w:val="22"/>
        </w:rPr>
        <w:t>5.</w:t>
      </w:r>
      <w:r w:rsidRPr="003B50B0">
        <w:rPr>
          <w:rFonts w:asciiTheme="minorHAnsi" w:hAnsiTheme="minorHAnsi" w:cstheme="minorHAnsi"/>
          <w:sz w:val="22"/>
          <w:szCs w:val="22"/>
        </w:rPr>
        <w:t xml:space="preserve"> The Minister is proposing that the following types of developments be exempt from charges for community benefits under the Planning Act:</w:t>
      </w:r>
    </w:p>
    <w:p w:rsidR="003B50B0" w:rsidRPr="003B50B0" w:rsidRDefault="003B50B0" w:rsidP="003B50B0">
      <w:pPr>
        <w:ind w:firstLine="720"/>
        <w:rPr>
          <w:rFonts w:asciiTheme="minorHAnsi" w:hAnsiTheme="minorHAnsi" w:cstheme="minorHAnsi"/>
          <w:sz w:val="22"/>
          <w:szCs w:val="22"/>
        </w:rPr>
      </w:pPr>
      <w:r w:rsidRPr="003B50B0">
        <w:rPr>
          <w:rFonts w:asciiTheme="minorHAnsi" w:hAnsiTheme="minorHAnsi" w:cstheme="minorHAnsi"/>
          <w:sz w:val="22"/>
          <w:szCs w:val="22"/>
        </w:rPr>
        <w:t>•Long-term care homes</w:t>
      </w:r>
    </w:p>
    <w:p w:rsidR="003B50B0" w:rsidRPr="003B50B0" w:rsidRDefault="003B50B0" w:rsidP="003B50B0">
      <w:pPr>
        <w:ind w:firstLine="720"/>
        <w:rPr>
          <w:rFonts w:asciiTheme="minorHAnsi" w:hAnsiTheme="minorHAnsi" w:cstheme="minorHAnsi"/>
          <w:sz w:val="22"/>
          <w:szCs w:val="22"/>
        </w:rPr>
      </w:pPr>
      <w:r w:rsidRPr="003B50B0">
        <w:rPr>
          <w:rFonts w:asciiTheme="minorHAnsi" w:hAnsiTheme="minorHAnsi" w:cstheme="minorHAnsi"/>
          <w:sz w:val="22"/>
          <w:szCs w:val="22"/>
        </w:rPr>
        <w:t>•Retirement homes</w:t>
      </w:r>
    </w:p>
    <w:p w:rsidR="003B50B0" w:rsidRPr="003B50B0" w:rsidRDefault="003B50B0" w:rsidP="003B50B0">
      <w:pPr>
        <w:ind w:firstLine="720"/>
        <w:rPr>
          <w:rFonts w:asciiTheme="minorHAnsi" w:hAnsiTheme="minorHAnsi" w:cstheme="minorHAnsi"/>
          <w:sz w:val="22"/>
          <w:szCs w:val="22"/>
        </w:rPr>
      </w:pPr>
      <w:r w:rsidRPr="003B50B0">
        <w:rPr>
          <w:rFonts w:asciiTheme="minorHAnsi" w:hAnsiTheme="minorHAnsi" w:cstheme="minorHAnsi"/>
          <w:sz w:val="22"/>
          <w:szCs w:val="22"/>
        </w:rPr>
        <w:t>•Universities and colleges</w:t>
      </w:r>
    </w:p>
    <w:p w:rsidR="003B50B0" w:rsidRPr="003B50B0" w:rsidRDefault="003B50B0" w:rsidP="003B50B0">
      <w:pPr>
        <w:ind w:firstLine="720"/>
        <w:rPr>
          <w:rFonts w:asciiTheme="minorHAnsi" w:hAnsiTheme="minorHAnsi" w:cstheme="minorHAnsi"/>
          <w:sz w:val="22"/>
          <w:szCs w:val="22"/>
        </w:rPr>
      </w:pPr>
      <w:r w:rsidRPr="003B50B0">
        <w:rPr>
          <w:rFonts w:asciiTheme="minorHAnsi" w:hAnsiTheme="minorHAnsi" w:cstheme="minorHAnsi"/>
          <w:sz w:val="22"/>
          <w:szCs w:val="22"/>
        </w:rPr>
        <w:t>•Memorial homes, clubhouses or athletic grounds of the Royal Canadian Legion</w:t>
      </w:r>
    </w:p>
    <w:p w:rsidR="003B50B0" w:rsidRPr="003B50B0" w:rsidRDefault="003B50B0" w:rsidP="003B50B0">
      <w:pPr>
        <w:ind w:firstLine="720"/>
        <w:rPr>
          <w:rFonts w:asciiTheme="minorHAnsi" w:hAnsiTheme="minorHAnsi" w:cstheme="minorHAnsi"/>
          <w:sz w:val="22"/>
          <w:szCs w:val="22"/>
        </w:rPr>
      </w:pPr>
      <w:r w:rsidRPr="003B50B0">
        <w:rPr>
          <w:rFonts w:asciiTheme="minorHAnsi" w:hAnsiTheme="minorHAnsi" w:cstheme="minorHAnsi"/>
          <w:sz w:val="22"/>
          <w:szCs w:val="22"/>
        </w:rPr>
        <w:t>•Hospices</w:t>
      </w:r>
    </w:p>
    <w:p w:rsidR="003B50B0" w:rsidRPr="003B50B0" w:rsidRDefault="003B50B0" w:rsidP="003B50B0">
      <w:pPr>
        <w:ind w:firstLine="720"/>
        <w:rPr>
          <w:rFonts w:asciiTheme="minorHAnsi" w:hAnsiTheme="minorHAnsi" w:cstheme="minorHAnsi"/>
          <w:sz w:val="22"/>
          <w:szCs w:val="22"/>
        </w:rPr>
      </w:pPr>
      <w:r w:rsidRPr="003B50B0">
        <w:rPr>
          <w:rFonts w:asciiTheme="minorHAnsi" w:hAnsiTheme="minorHAnsi" w:cstheme="minorHAnsi"/>
          <w:sz w:val="22"/>
          <w:szCs w:val="22"/>
        </w:rPr>
        <w:t>•Non-profit housing</w:t>
      </w:r>
    </w:p>
    <w:p w:rsidR="003B50B0" w:rsidRPr="003B50B0" w:rsidRDefault="003B50B0" w:rsidP="003B50B0">
      <w:pPr>
        <w:ind w:firstLine="720"/>
        <w:rPr>
          <w:rFonts w:asciiTheme="minorHAnsi" w:hAnsiTheme="minorHAnsi" w:cstheme="minorHAnsi"/>
          <w:sz w:val="22"/>
          <w:szCs w:val="22"/>
        </w:rPr>
      </w:pPr>
    </w:p>
    <w:p w:rsidR="003B50B0" w:rsidRPr="003B50B0" w:rsidRDefault="003B50B0" w:rsidP="003B50B0">
      <w:pPr>
        <w:rPr>
          <w:rFonts w:asciiTheme="minorHAnsi" w:hAnsiTheme="minorHAnsi" w:cstheme="minorHAnsi"/>
          <w:b/>
          <w:sz w:val="22"/>
          <w:szCs w:val="22"/>
        </w:rPr>
      </w:pPr>
      <w:r>
        <w:rPr>
          <w:rFonts w:asciiTheme="minorHAnsi" w:hAnsiTheme="minorHAnsi" w:cstheme="minorHAnsi"/>
          <w:b/>
          <w:sz w:val="22"/>
          <w:szCs w:val="22"/>
        </w:rPr>
        <w:t>C</w:t>
      </w:r>
      <w:r w:rsidRPr="003B50B0">
        <w:rPr>
          <w:rFonts w:asciiTheme="minorHAnsi" w:hAnsiTheme="minorHAnsi" w:cstheme="minorHAnsi"/>
          <w:b/>
          <w:sz w:val="22"/>
          <w:szCs w:val="22"/>
        </w:rPr>
        <w:t>ity of Burlington Comments</w:t>
      </w:r>
    </w:p>
    <w:p w:rsidR="003B50B0" w:rsidRPr="003B50B0" w:rsidRDefault="003B50B0" w:rsidP="003B50B0">
      <w:pPr>
        <w:rPr>
          <w:rFonts w:asciiTheme="minorHAnsi" w:hAnsiTheme="minorHAnsi" w:cstheme="minorHAnsi"/>
          <w:b/>
          <w:sz w:val="22"/>
          <w:szCs w:val="22"/>
        </w:rPr>
      </w:pPr>
    </w:p>
    <w:p w:rsidR="003B50B0" w:rsidRPr="003B50B0" w:rsidRDefault="003B50B0" w:rsidP="003B50B0">
      <w:pPr>
        <w:rPr>
          <w:rFonts w:asciiTheme="minorHAnsi" w:hAnsiTheme="minorHAnsi" w:cstheme="minorHAnsi"/>
          <w:sz w:val="22"/>
          <w:szCs w:val="22"/>
        </w:rPr>
      </w:pPr>
      <w:r w:rsidRPr="003B50B0">
        <w:rPr>
          <w:rFonts w:asciiTheme="minorHAnsi" w:hAnsiTheme="minorHAnsi" w:cstheme="minorHAnsi"/>
          <w:sz w:val="22"/>
          <w:szCs w:val="22"/>
        </w:rPr>
        <w:t>Are for-profit developments (long term care homes and retirement homes) entitled to this exemption as well?</w:t>
      </w:r>
    </w:p>
    <w:p w:rsidR="003B50B0" w:rsidRPr="003B50B0" w:rsidRDefault="003B50B0" w:rsidP="003B50B0">
      <w:pPr>
        <w:rPr>
          <w:rFonts w:asciiTheme="minorHAnsi" w:hAnsiTheme="minorHAnsi" w:cstheme="minorHAnsi"/>
          <w:sz w:val="22"/>
          <w:szCs w:val="22"/>
        </w:rPr>
      </w:pPr>
    </w:p>
    <w:p w:rsidR="00640CDB" w:rsidRDefault="00640CDB" w:rsidP="003B50B0">
      <w:pPr>
        <w:rPr>
          <w:rFonts w:asciiTheme="minorHAnsi" w:hAnsiTheme="minorHAnsi" w:cstheme="minorHAnsi"/>
          <w:sz w:val="22"/>
          <w:szCs w:val="22"/>
        </w:rPr>
      </w:pPr>
    </w:p>
    <w:p w:rsidR="00640CDB" w:rsidRDefault="00640CDB" w:rsidP="003B50B0">
      <w:pPr>
        <w:rPr>
          <w:rFonts w:asciiTheme="minorHAnsi" w:hAnsiTheme="minorHAnsi" w:cstheme="minorHAnsi"/>
          <w:sz w:val="22"/>
          <w:szCs w:val="22"/>
        </w:rPr>
      </w:pPr>
    </w:p>
    <w:p w:rsidR="00640CDB" w:rsidRDefault="00640CDB" w:rsidP="003B50B0">
      <w:pPr>
        <w:rPr>
          <w:rFonts w:asciiTheme="minorHAnsi" w:hAnsiTheme="minorHAnsi" w:cstheme="minorHAnsi"/>
          <w:sz w:val="22"/>
          <w:szCs w:val="22"/>
        </w:rPr>
      </w:pPr>
    </w:p>
    <w:p w:rsidR="00640CDB" w:rsidRDefault="00640CDB" w:rsidP="003B50B0">
      <w:pPr>
        <w:rPr>
          <w:rFonts w:asciiTheme="minorHAnsi" w:hAnsiTheme="minorHAnsi" w:cstheme="minorHAnsi"/>
          <w:sz w:val="22"/>
          <w:szCs w:val="22"/>
        </w:rPr>
      </w:pPr>
    </w:p>
    <w:p w:rsidR="00640CDB" w:rsidRDefault="00640CDB" w:rsidP="003B50B0">
      <w:pPr>
        <w:rPr>
          <w:rFonts w:asciiTheme="minorHAnsi" w:hAnsiTheme="minorHAnsi" w:cstheme="minorHAnsi"/>
          <w:sz w:val="22"/>
          <w:szCs w:val="22"/>
        </w:rPr>
      </w:pPr>
    </w:p>
    <w:p w:rsidR="00640CDB" w:rsidRDefault="00640CDB" w:rsidP="003B50B0">
      <w:pPr>
        <w:rPr>
          <w:rFonts w:asciiTheme="minorHAnsi" w:hAnsiTheme="minorHAnsi" w:cstheme="minorHAnsi"/>
          <w:sz w:val="22"/>
          <w:szCs w:val="22"/>
        </w:rPr>
      </w:pPr>
    </w:p>
    <w:p w:rsidR="003B50B0" w:rsidRDefault="003B50B0" w:rsidP="003B50B0">
      <w:pPr>
        <w:rPr>
          <w:rFonts w:asciiTheme="minorHAnsi" w:hAnsiTheme="minorHAnsi" w:cstheme="minorHAnsi"/>
          <w:sz w:val="22"/>
          <w:szCs w:val="22"/>
        </w:rPr>
      </w:pPr>
      <w:r w:rsidRPr="003B50B0">
        <w:rPr>
          <w:rFonts w:asciiTheme="minorHAnsi" w:hAnsiTheme="minorHAnsi" w:cstheme="minorHAnsi"/>
          <w:sz w:val="22"/>
          <w:szCs w:val="22"/>
        </w:rPr>
        <w:t>Exemptions should be in line with respect to the exemptions in the DC Act (such as municipal and school property). For-profit developments should not be exempt from the community benefit charges.</w:t>
      </w:r>
    </w:p>
    <w:p w:rsidR="003B50B0" w:rsidRDefault="003B50B0" w:rsidP="003B50B0">
      <w:pPr>
        <w:rPr>
          <w:rFonts w:asciiTheme="minorHAnsi" w:hAnsiTheme="minorHAnsi" w:cstheme="minorHAnsi"/>
          <w:sz w:val="22"/>
          <w:szCs w:val="22"/>
        </w:rPr>
      </w:pPr>
    </w:p>
    <w:p w:rsidR="003B50B0" w:rsidRPr="003B50B0" w:rsidRDefault="003B50B0" w:rsidP="003B50B0">
      <w:pPr>
        <w:rPr>
          <w:rFonts w:asciiTheme="minorHAnsi" w:hAnsiTheme="minorHAnsi" w:cstheme="minorHAnsi"/>
          <w:sz w:val="22"/>
          <w:szCs w:val="22"/>
        </w:rPr>
      </w:pPr>
      <w:r w:rsidRPr="003B50B0">
        <w:rPr>
          <w:rFonts w:asciiTheme="minorHAnsi" w:hAnsiTheme="minorHAnsi" w:cstheme="minorHAnsi"/>
          <w:sz w:val="22"/>
          <w:szCs w:val="22"/>
        </w:rPr>
        <w:t xml:space="preserve">Does the exemption only relate to the academic space of universities and colleges? These types of institutions often also include housing. The province should provide more clarity on what is and isn’t included with respect to universities and colleges. </w:t>
      </w:r>
    </w:p>
    <w:p w:rsidR="003B50B0" w:rsidRPr="003B50B0" w:rsidRDefault="003B50B0" w:rsidP="003B50B0">
      <w:pPr>
        <w:rPr>
          <w:rFonts w:asciiTheme="minorHAnsi" w:hAnsiTheme="minorHAnsi" w:cstheme="minorHAnsi"/>
          <w:sz w:val="22"/>
          <w:szCs w:val="22"/>
        </w:rPr>
      </w:pPr>
    </w:p>
    <w:p w:rsidR="003B50B0" w:rsidRPr="003B50B0" w:rsidRDefault="003B50B0" w:rsidP="003B50B0">
      <w:pPr>
        <w:rPr>
          <w:rFonts w:asciiTheme="minorHAnsi" w:hAnsiTheme="minorHAnsi" w:cstheme="minorHAnsi"/>
          <w:sz w:val="22"/>
          <w:szCs w:val="22"/>
        </w:rPr>
      </w:pPr>
    </w:p>
    <w:p w:rsidR="003B50B0" w:rsidRPr="003B50B0" w:rsidRDefault="003B50B0" w:rsidP="003B50B0">
      <w:pPr>
        <w:rPr>
          <w:rFonts w:asciiTheme="minorHAnsi" w:hAnsiTheme="minorHAnsi" w:cstheme="minorHAnsi"/>
          <w:sz w:val="22"/>
          <w:szCs w:val="22"/>
        </w:rPr>
      </w:pPr>
      <w:r w:rsidRPr="003B50B0">
        <w:rPr>
          <w:rFonts w:asciiTheme="minorHAnsi" w:hAnsiTheme="minorHAnsi" w:cstheme="minorHAnsi"/>
          <w:b/>
          <w:sz w:val="22"/>
          <w:szCs w:val="22"/>
        </w:rPr>
        <w:t>6.</w:t>
      </w:r>
      <w:r w:rsidRPr="003B50B0">
        <w:rPr>
          <w:rFonts w:asciiTheme="minorHAnsi" w:hAnsiTheme="minorHAnsi" w:cstheme="minorHAnsi"/>
          <w:sz w:val="22"/>
          <w:szCs w:val="22"/>
        </w:rPr>
        <w:t xml:space="preserve"> It is proposed that a range of percentages will be prescribed to </w:t>
      </w:r>
      <w:proofErr w:type="gramStart"/>
      <w:r w:rsidRPr="003B50B0">
        <w:rPr>
          <w:rFonts w:asciiTheme="minorHAnsi" w:hAnsiTheme="minorHAnsi" w:cstheme="minorHAnsi"/>
          <w:sz w:val="22"/>
          <w:szCs w:val="22"/>
        </w:rPr>
        <w:t>take into account</w:t>
      </w:r>
      <w:proofErr w:type="gramEnd"/>
      <w:r w:rsidRPr="003B50B0">
        <w:rPr>
          <w:rFonts w:asciiTheme="minorHAnsi" w:hAnsiTheme="minorHAnsi" w:cstheme="minorHAnsi"/>
          <w:sz w:val="22"/>
          <w:szCs w:val="22"/>
        </w:rPr>
        <w:t xml:space="preserve"> varying values of land.</w:t>
      </w:r>
    </w:p>
    <w:p w:rsidR="003B50B0" w:rsidRPr="003B50B0" w:rsidRDefault="003B50B0" w:rsidP="003B50B0">
      <w:pPr>
        <w:rPr>
          <w:rFonts w:asciiTheme="minorHAnsi" w:hAnsiTheme="minorHAnsi" w:cstheme="minorHAnsi"/>
          <w:sz w:val="22"/>
          <w:szCs w:val="22"/>
        </w:rPr>
      </w:pPr>
    </w:p>
    <w:p w:rsidR="003B50B0" w:rsidRPr="003B50B0" w:rsidRDefault="003B50B0" w:rsidP="003B50B0">
      <w:pPr>
        <w:rPr>
          <w:rFonts w:asciiTheme="minorHAnsi" w:hAnsiTheme="minorHAnsi" w:cstheme="minorHAnsi"/>
          <w:sz w:val="22"/>
          <w:szCs w:val="22"/>
        </w:rPr>
      </w:pPr>
      <w:r w:rsidRPr="003B50B0">
        <w:rPr>
          <w:rFonts w:asciiTheme="minorHAnsi" w:hAnsiTheme="minorHAnsi" w:cstheme="minorHAnsi"/>
          <w:sz w:val="22"/>
          <w:szCs w:val="22"/>
        </w:rPr>
        <w:t>In determining the prescribed percentages, there are two goals.</w:t>
      </w:r>
    </w:p>
    <w:p w:rsidR="003B50B0" w:rsidRPr="003B50B0" w:rsidRDefault="003B50B0" w:rsidP="003B50B0">
      <w:pPr>
        <w:rPr>
          <w:rFonts w:asciiTheme="minorHAnsi" w:hAnsiTheme="minorHAnsi" w:cstheme="minorHAnsi"/>
          <w:sz w:val="22"/>
          <w:szCs w:val="22"/>
        </w:rPr>
      </w:pPr>
    </w:p>
    <w:p w:rsidR="003B50B0" w:rsidRPr="003B50B0" w:rsidRDefault="003B50B0" w:rsidP="003B50B0">
      <w:pPr>
        <w:ind w:left="720"/>
        <w:rPr>
          <w:rFonts w:asciiTheme="minorHAnsi" w:hAnsiTheme="minorHAnsi" w:cstheme="minorHAnsi"/>
          <w:sz w:val="22"/>
          <w:szCs w:val="22"/>
        </w:rPr>
      </w:pPr>
      <w:r w:rsidRPr="003B50B0">
        <w:rPr>
          <w:rFonts w:asciiTheme="minorHAnsi" w:hAnsiTheme="minorHAnsi" w:cstheme="minorHAnsi"/>
          <w:sz w:val="22"/>
          <w:szCs w:val="22"/>
        </w:rPr>
        <w:t>•Firstly, to ensure that municipal revenues historically collected from development charges for “soft services”, parkland dedication including the alternative rate, and density bonusing are maintained.</w:t>
      </w:r>
    </w:p>
    <w:p w:rsidR="003B50B0" w:rsidRPr="003B50B0" w:rsidRDefault="003B50B0" w:rsidP="003B50B0">
      <w:pPr>
        <w:ind w:firstLine="720"/>
        <w:rPr>
          <w:rFonts w:asciiTheme="minorHAnsi" w:hAnsiTheme="minorHAnsi" w:cstheme="minorHAnsi"/>
          <w:sz w:val="22"/>
          <w:szCs w:val="22"/>
        </w:rPr>
      </w:pPr>
      <w:r w:rsidRPr="003B50B0">
        <w:rPr>
          <w:rFonts w:asciiTheme="minorHAnsi" w:hAnsiTheme="minorHAnsi" w:cstheme="minorHAnsi"/>
          <w:sz w:val="22"/>
          <w:szCs w:val="22"/>
        </w:rPr>
        <w:t>•Secondly, to make costs of development more predictable.</w:t>
      </w:r>
    </w:p>
    <w:p w:rsidR="003B50B0" w:rsidRPr="003B50B0" w:rsidRDefault="003B50B0" w:rsidP="003B50B0">
      <w:pPr>
        <w:rPr>
          <w:rFonts w:asciiTheme="minorHAnsi" w:hAnsiTheme="minorHAnsi" w:cstheme="minorHAnsi"/>
          <w:sz w:val="22"/>
          <w:szCs w:val="22"/>
        </w:rPr>
      </w:pPr>
    </w:p>
    <w:p w:rsidR="003B50B0" w:rsidRPr="003B50B0" w:rsidRDefault="003B50B0" w:rsidP="003B50B0">
      <w:pPr>
        <w:rPr>
          <w:rFonts w:asciiTheme="minorHAnsi" w:hAnsiTheme="minorHAnsi" w:cstheme="minorHAnsi"/>
          <w:sz w:val="22"/>
          <w:szCs w:val="22"/>
        </w:rPr>
      </w:pPr>
      <w:r w:rsidRPr="003B50B0">
        <w:rPr>
          <w:rFonts w:asciiTheme="minorHAnsi" w:hAnsiTheme="minorHAnsi" w:cstheme="minorHAnsi"/>
          <w:sz w:val="22"/>
          <w:szCs w:val="22"/>
        </w:rPr>
        <w:t xml:space="preserve">This Ministry is not providing prescribed percentages </w:t>
      </w:r>
      <w:proofErr w:type="gramStart"/>
      <w:r w:rsidRPr="003B50B0">
        <w:rPr>
          <w:rFonts w:asciiTheme="minorHAnsi" w:hAnsiTheme="minorHAnsi" w:cstheme="minorHAnsi"/>
          <w:sz w:val="22"/>
          <w:szCs w:val="22"/>
        </w:rPr>
        <w:t>at this time</w:t>
      </w:r>
      <w:proofErr w:type="gramEnd"/>
      <w:r w:rsidRPr="003B50B0">
        <w:rPr>
          <w:rFonts w:asciiTheme="minorHAnsi" w:hAnsiTheme="minorHAnsi" w:cstheme="minorHAnsi"/>
          <w:sz w:val="22"/>
          <w:szCs w:val="22"/>
        </w:rPr>
        <w:t>. However, the Ministry would welcome feedback related to the determination of these percentages. There will be further consultation on the proposed formula in late summer.</w:t>
      </w:r>
    </w:p>
    <w:p w:rsidR="003B50B0" w:rsidRPr="003B50B0" w:rsidRDefault="003B50B0" w:rsidP="003B50B0">
      <w:pPr>
        <w:rPr>
          <w:rFonts w:asciiTheme="minorHAnsi" w:hAnsiTheme="minorHAnsi" w:cstheme="minorHAnsi"/>
          <w:sz w:val="22"/>
          <w:szCs w:val="22"/>
        </w:rPr>
      </w:pPr>
    </w:p>
    <w:p w:rsidR="003B50B0" w:rsidRPr="003B50B0" w:rsidRDefault="003B50B0" w:rsidP="003B50B0">
      <w:pPr>
        <w:rPr>
          <w:rFonts w:asciiTheme="minorHAnsi" w:hAnsiTheme="minorHAnsi" w:cstheme="minorHAnsi"/>
          <w:b/>
          <w:sz w:val="22"/>
          <w:szCs w:val="22"/>
        </w:rPr>
      </w:pPr>
      <w:r w:rsidRPr="003B50B0">
        <w:rPr>
          <w:rFonts w:asciiTheme="minorHAnsi" w:hAnsiTheme="minorHAnsi" w:cstheme="minorHAnsi"/>
          <w:b/>
          <w:sz w:val="22"/>
          <w:szCs w:val="22"/>
        </w:rPr>
        <w:t>City of Burlington Comments</w:t>
      </w:r>
    </w:p>
    <w:p w:rsidR="003B50B0" w:rsidRPr="003B50B0" w:rsidRDefault="003B50B0" w:rsidP="003B50B0">
      <w:pPr>
        <w:rPr>
          <w:rFonts w:asciiTheme="minorHAnsi" w:hAnsiTheme="minorHAnsi" w:cstheme="minorHAnsi"/>
          <w:b/>
          <w:sz w:val="22"/>
          <w:szCs w:val="22"/>
        </w:rPr>
      </w:pPr>
    </w:p>
    <w:p w:rsidR="003B50B0" w:rsidRPr="003B50B0" w:rsidRDefault="003B50B0" w:rsidP="003B50B0">
      <w:pPr>
        <w:rPr>
          <w:rFonts w:asciiTheme="minorHAnsi" w:hAnsiTheme="minorHAnsi" w:cstheme="minorHAnsi"/>
          <w:sz w:val="22"/>
          <w:szCs w:val="22"/>
          <w:lang w:val="en-US"/>
        </w:rPr>
      </w:pPr>
      <w:r w:rsidRPr="003B50B0">
        <w:rPr>
          <w:rFonts w:asciiTheme="minorHAnsi" w:hAnsiTheme="minorHAnsi" w:cstheme="minorHAnsi"/>
          <w:sz w:val="22"/>
          <w:szCs w:val="22"/>
        </w:rPr>
        <w:t xml:space="preserve">The city should have discretion on how to administer the CBC based on the choice to take or forgo land.  If the city forgoes land, the CBC rate should be adjusted to accommodate for soft services, cash in-lieu, density provisions etc. Similarly, if we receive land the collection under CBC would be reduced to reflect that. </w:t>
      </w:r>
    </w:p>
    <w:p w:rsidR="003B50B0" w:rsidRPr="003B50B0" w:rsidRDefault="003B50B0" w:rsidP="003B50B0">
      <w:pPr>
        <w:rPr>
          <w:rFonts w:asciiTheme="minorHAnsi" w:hAnsiTheme="minorHAnsi" w:cstheme="minorHAnsi"/>
          <w:b/>
          <w:bCs/>
          <w:sz w:val="22"/>
          <w:szCs w:val="22"/>
        </w:rPr>
      </w:pPr>
    </w:p>
    <w:p w:rsidR="003B50B0" w:rsidRPr="003B50B0" w:rsidRDefault="003B50B0" w:rsidP="003B50B0">
      <w:pPr>
        <w:rPr>
          <w:rFonts w:asciiTheme="minorHAnsi" w:hAnsiTheme="minorHAnsi" w:cstheme="minorHAnsi"/>
          <w:sz w:val="22"/>
          <w:szCs w:val="22"/>
        </w:rPr>
      </w:pPr>
      <w:r w:rsidRPr="003B50B0">
        <w:rPr>
          <w:rFonts w:asciiTheme="minorHAnsi" w:hAnsiTheme="minorHAnsi" w:cstheme="minorHAnsi"/>
          <w:sz w:val="22"/>
          <w:szCs w:val="22"/>
        </w:rPr>
        <w:t>The City of Burlington remains concerned that the elimination of the park dedication density provisions (1ha/300 units) will seriously impair municipalities ability to supply parks for medium and high-density areas. Notwithstanding this preference, to attempt to achieve revenue neutral prescribed rates and to preserve the ability for municipalities to choose land dedication in situations where park land is needed, the City of Burlington would propose the following rates:</w:t>
      </w:r>
    </w:p>
    <w:p w:rsidR="003B50B0" w:rsidRPr="003B50B0" w:rsidRDefault="003B50B0" w:rsidP="003B50B0">
      <w:pPr>
        <w:rPr>
          <w:rFonts w:asciiTheme="minorHAnsi" w:hAnsiTheme="minorHAnsi" w:cstheme="minorHAnsi"/>
          <w:sz w:val="22"/>
          <w:szCs w:val="22"/>
        </w:rPr>
      </w:pPr>
    </w:p>
    <w:p w:rsidR="003B50B0" w:rsidRPr="003B50B0" w:rsidRDefault="003B50B0" w:rsidP="003B50B0">
      <w:pPr>
        <w:pStyle w:val="ListParagraph"/>
        <w:numPr>
          <w:ilvl w:val="0"/>
          <w:numId w:val="5"/>
        </w:numPr>
        <w:spacing w:after="0" w:line="240" w:lineRule="auto"/>
        <w:contextualSpacing/>
        <w:rPr>
          <w:rFonts w:cstheme="minorHAnsi"/>
        </w:rPr>
      </w:pPr>
      <w:r w:rsidRPr="003B50B0">
        <w:rPr>
          <w:rFonts w:cstheme="minorHAnsi"/>
        </w:rPr>
        <w:t>Residential Low densities: The parkland rate of 5 per cent should be increased to 6 per cent to add an allowance for the soft services CBC charges</w:t>
      </w:r>
    </w:p>
    <w:p w:rsidR="003B50B0" w:rsidRPr="003B50B0" w:rsidRDefault="003B50B0" w:rsidP="003B50B0">
      <w:pPr>
        <w:pStyle w:val="ListParagraph"/>
        <w:numPr>
          <w:ilvl w:val="0"/>
          <w:numId w:val="5"/>
        </w:numPr>
        <w:spacing w:after="0" w:line="240" w:lineRule="auto"/>
        <w:contextualSpacing/>
        <w:rPr>
          <w:rFonts w:eastAsia="Times New Roman" w:cstheme="minorHAnsi"/>
          <w:lang w:val="en-CA"/>
        </w:rPr>
      </w:pPr>
      <w:r w:rsidRPr="003B50B0">
        <w:rPr>
          <w:rFonts w:cstheme="minorHAnsi"/>
        </w:rPr>
        <w:t xml:space="preserve">Residential Medium/High densities: The rate applied should be 60 per cent of land value (cash-in lieu, soft services, former Section 37), however, if the city elects to take park land, then the rate would be reduced to 55 per cent. </w:t>
      </w:r>
    </w:p>
    <w:p w:rsidR="003B50B0" w:rsidRPr="003B50B0" w:rsidRDefault="003B50B0" w:rsidP="003B50B0">
      <w:pPr>
        <w:pStyle w:val="ListParagraph"/>
        <w:numPr>
          <w:ilvl w:val="0"/>
          <w:numId w:val="5"/>
        </w:numPr>
        <w:spacing w:after="0" w:line="240" w:lineRule="auto"/>
        <w:contextualSpacing/>
        <w:rPr>
          <w:rFonts w:eastAsia="Times New Roman" w:cstheme="minorHAnsi"/>
          <w:lang w:val="en-CA"/>
        </w:rPr>
      </w:pPr>
      <w:r w:rsidRPr="003B50B0">
        <w:rPr>
          <w:rFonts w:cstheme="minorHAnsi"/>
        </w:rPr>
        <w:t>For non-residential development the rates should be increased to 2.5 per cent (cash in-lieu and soft services).</w:t>
      </w:r>
    </w:p>
    <w:p w:rsidR="003B50B0" w:rsidRPr="003B50B0" w:rsidRDefault="003B50B0" w:rsidP="003B50B0">
      <w:pPr>
        <w:rPr>
          <w:rFonts w:asciiTheme="minorHAnsi" w:eastAsiaTheme="minorHAnsi" w:hAnsiTheme="minorHAnsi" w:cstheme="minorHAnsi"/>
          <w:sz w:val="22"/>
          <w:szCs w:val="22"/>
          <w:lang w:val="en-US"/>
        </w:rPr>
      </w:pPr>
    </w:p>
    <w:p w:rsidR="003B50B0" w:rsidRPr="003B50B0" w:rsidRDefault="003B50B0" w:rsidP="003B50B0">
      <w:pPr>
        <w:rPr>
          <w:rFonts w:asciiTheme="minorHAnsi" w:hAnsiTheme="minorHAnsi" w:cstheme="minorHAnsi"/>
          <w:sz w:val="22"/>
          <w:szCs w:val="22"/>
        </w:rPr>
      </w:pPr>
      <w:r w:rsidRPr="003B50B0">
        <w:rPr>
          <w:rFonts w:asciiTheme="minorHAnsi" w:hAnsiTheme="minorHAnsi" w:cstheme="minorHAnsi"/>
          <w:sz w:val="22"/>
          <w:szCs w:val="22"/>
        </w:rPr>
        <w:t>In mixed use developments that may have certain areas that qualify for exemption then the percentage of the GFA that is attributed to the exemption would be removed from the land valuation</w:t>
      </w:r>
    </w:p>
    <w:p w:rsidR="003B50B0" w:rsidRDefault="003B50B0" w:rsidP="003B50B0">
      <w:pPr>
        <w:rPr>
          <w:rFonts w:asciiTheme="minorHAnsi" w:hAnsiTheme="minorHAnsi" w:cstheme="minorHAnsi"/>
          <w:sz w:val="22"/>
          <w:szCs w:val="22"/>
        </w:rPr>
      </w:pPr>
    </w:p>
    <w:p w:rsidR="00640CDB" w:rsidRDefault="00640CDB" w:rsidP="003B50B0">
      <w:pPr>
        <w:rPr>
          <w:rFonts w:asciiTheme="minorHAnsi" w:hAnsiTheme="minorHAnsi" w:cstheme="minorHAnsi"/>
          <w:sz w:val="22"/>
          <w:szCs w:val="22"/>
        </w:rPr>
      </w:pPr>
    </w:p>
    <w:p w:rsidR="00640CDB" w:rsidRDefault="00640CDB" w:rsidP="003B50B0">
      <w:pPr>
        <w:rPr>
          <w:rFonts w:asciiTheme="minorHAnsi" w:hAnsiTheme="minorHAnsi" w:cstheme="minorHAnsi"/>
          <w:sz w:val="22"/>
          <w:szCs w:val="22"/>
        </w:rPr>
      </w:pPr>
    </w:p>
    <w:p w:rsidR="00640CDB" w:rsidRDefault="00640CDB" w:rsidP="003B50B0">
      <w:pPr>
        <w:rPr>
          <w:rFonts w:asciiTheme="minorHAnsi" w:hAnsiTheme="minorHAnsi" w:cstheme="minorHAnsi"/>
          <w:sz w:val="22"/>
          <w:szCs w:val="22"/>
        </w:rPr>
      </w:pPr>
    </w:p>
    <w:p w:rsidR="00640CDB" w:rsidRDefault="00640CDB" w:rsidP="003B50B0">
      <w:pPr>
        <w:rPr>
          <w:rFonts w:asciiTheme="minorHAnsi" w:hAnsiTheme="minorHAnsi" w:cstheme="minorHAnsi"/>
          <w:sz w:val="22"/>
          <w:szCs w:val="22"/>
        </w:rPr>
      </w:pPr>
    </w:p>
    <w:p w:rsidR="00C4560A" w:rsidRDefault="00C4560A" w:rsidP="003B50B0">
      <w:pPr>
        <w:rPr>
          <w:rFonts w:asciiTheme="minorHAnsi" w:hAnsiTheme="minorHAnsi" w:cstheme="minorHAnsi"/>
          <w:sz w:val="22"/>
          <w:szCs w:val="22"/>
        </w:rPr>
      </w:pPr>
    </w:p>
    <w:p w:rsidR="00C4560A" w:rsidRDefault="00C4560A" w:rsidP="003B50B0">
      <w:pPr>
        <w:rPr>
          <w:rFonts w:asciiTheme="minorHAnsi" w:hAnsiTheme="minorHAnsi" w:cstheme="minorHAnsi"/>
          <w:b/>
          <w:sz w:val="22"/>
          <w:szCs w:val="22"/>
        </w:rPr>
      </w:pPr>
    </w:p>
    <w:p w:rsidR="00C4560A" w:rsidRDefault="00C4560A" w:rsidP="003B50B0">
      <w:pPr>
        <w:rPr>
          <w:rFonts w:asciiTheme="minorHAnsi" w:hAnsiTheme="minorHAnsi" w:cstheme="minorHAnsi"/>
          <w:b/>
          <w:sz w:val="22"/>
          <w:szCs w:val="22"/>
        </w:rPr>
      </w:pPr>
    </w:p>
    <w:p w:rsidR="00C4560A" w:rsidRDefault="00C4560A" w:rsidP="003B50B0">
      <w:pPr>
        <w:rPr>
          <w:rFonts w:asciiTheme="minorHAnsi" w:hAnsiTheme="minorHAnsi" w:cstheme="minorHAnsi"/>
          <w:b/>
          <w:sz w:val="22"/>
          <w:szCs w:val="22"/>
        </w:rPr>
      </w:pPr>
    </w:p>
    <w:p w:rsidR="003B50B0" w:rsidRPr="003B50B0" w:rsidRDefault="003B50B0" w:rsidP="003B50B0">
      <w:pPr>
        <w:rPr>
          <w:rFonts w:asciiTheme="minorHAnsi" w:hAnsiTheme="minorHAnsi" w:cstheme="minorHAnsi"/>
          <w:sz w:val="22"/>
          <w:szCs w:val="22"/>
        </w:rPr>
      </w:pPr>
      <w:r w:rsidRPr="003B50B0">
        <w:rPr>
          <w:rFonts w:asciiTheme="minorHAnsi" w:hAnsiTheme="minorHAnsi" w:cstheme="minorHAnsi"/>
          <w:b/>
          <w:sz w:val="22"/>
          <w:szCs w:val="22"/>
        </w:rPr>
        <w:t>7.</w:t>
      </w:r>
      <w:r w:rsidRPr="003B50B0">
        <w:rPr>
          <w:rFonts w:asciiTheme="minorHAnsi" w:hAnsiTheme="minorHAnsi" w:cstheme="minorHAnsi"/>
          <w:sz w:val="22"/>
          <w:szCs w:val="22"/>
        </w:rPr>
        <w:t xml:space="preserve"> The Minister is proposing to prescribe that the following facilities, services or matters be excluded from community benefits:</w:t>
      </w:r>
    </w:p>
    <w:p w:rsidR="003B50B0" w:rsidRPr="003B50B0" w:rsidRDefault="003B50B0" w:rsidP="003B50B0">
      <w:pPr>
        <w:ind w:firstLine="720"/>
        <w:rPr>
          <w:rFonts w:asciiTheme="minorHAnsi" w:hAnsiTheme="minorHAnsi" w:cstheme="minorHAnsi"/>
          <w:sz w:val="22"/>
          <w:szCs w:val="22"/>
        </w:rPr>
      </w:pPr>
      <w:r w:rsidRPr="003B50B0">
        <w:rPr>
          <w:rFonts w:asciiTheme="minorHAnsi" w:hAnsiTheme="minorHAnsi" w:cstheme="minorHAnsi"/>
          <w:sz w:val="22"/>
          <w:szCs w:val="22"/>
        </w:rPr>
        <w:t>•Cultural or entertainment facilities</w:t>
      </w:r>
    </w:p>
    <w:p w:rsidR="003B50B0" w:rsidRPr="003B50B0" w:rsidRDefault="003B50B0" w:rsidP="003B50B0">
      <w:pPr>
        <w:ind w:firstLine="720"/>
        <w:rPr>
          <w:rFonts w:asciiTheme="minorHAnsi" w:hAnsiTheme="minorHAnsi" w:cstheme="minorHAnsi"/>
          <w:sz w:val="22"/>
          <w:szCs w:val="22"/>
        </w:rPr>
      </w:pPr>
      <w:r w:rsidRPr="003B50B0">
        <w:rPr>
          <w:rFonts w:asciiTheme="minorHAnsi" w:hAnsiTheme="minorHAnsi" w:cstheme="minorHAnsi"/>
          <w:sz w:val="22"/>
          <w:szCs w:val="22"/>
        </w:rPr>
        <w:t>•Tourism facilities</w:t>
      </w:r>
    </w:p>
    <w:p w:rsidR="003B50B0" w:rsidRPr="003B50B0" w:rsidRDefault="003B50B0" w:rsidP="003B50B0">
      <w:pPr>
        <w:ind w:firstLine="720"/>
        <w:rPr>
          <w:rFonts w:asciiTheme="minorHAnsi" w:hAnsiTheme="minorHAnsi" w:cstheme="minorHAnsi"/>
          <w:sz w:val="22"/>
          <w:szCs w:val="22"/>
        </w:rPr>
      </w:pPr>
      <w:r w:rsidRPr="003B50B0">
        <w:rPr>
          <w:rFonts w:asciiTheme="minorHAnsi" w:hAnsiTheme="minorHAnsi" w:cstheme="minorHAnsi"/>
          <w:sz w:val="22"/>
          <w:szCs w:val="22"/>
        </w:rPr>
        <w:t>•Hospitals</w:t>
      </w:r>
    </w:p>
    <w:p w:rsidR="003B50B0" w:rsidRPr="003B50B0" w:rsidRDefault="003B50B0" w:rsidP="003B50B0">
      <w:pPr>
        <w:ind w:firstLine="720"/>
        <w:rPr>
          <w:rFonts w:asciiTheme="minorHAnsi" w:hAnsiTheme="minorHAnsi" w:cstheme="minorHAnsi"/>
          <w:sz w:val="22"/>
          <w:szCs w:val="22"/>
        </w:rPr>
      </w:pPr>
      <w:r w:rsidRPr="003B50B0">
        <w:rPr>
          <w:rFonts w:asciiTheme="minorHAnsi" w:hAnsiTheme="minorHAnsi" w:cstheme="minorHAnsi"/>
          <w:sz w:val="22"/>
          <w:szCs w:val="22"/>
        </w:rPr>
        <w:t>•Landfill sites and services</w:t>
      </w:r>
    </w:p>
    <w:p w:rsidR="003B50B0" w:rsidRPr="003B50B0" w:rsidRDefault="003B50B0" w:rsidP="003B50B0">
      <w:pPr>
        <w:ind w:firstLine="720"/>
        <w:rPr>
          <w:rFonts w:asciiTheme="minorHAnsi" w:hAnsiTheme="minorHAnsi" w:cstheme="minorHAnsi"/>
          <w:sz w:val="22"/>
          <w:szCs w:val="22"/>
        </w:rPr>
      </w:pPr>
      <w:r w:rsidRPr="003B50B0">
        <w:rPr>
          <w:rFonts w:asciiTheme="minorHAnsi" w:hAnsiTheme="minorHAnsi" w:cstheme="minorHAnsi"/>
          <w:sz w:val="22"/>
          <w:szCs w:val="22"/>
        </w:rPr>
        <w:t>•Facilities for the thermal treatment of waste</w:t>
      </w:r>
    </w:p>
    <w:p w:rsidR="003B50B0" w:rsidRPr="003B50B0" w:rsidRDefault="003B50B0" w:rsidP="003B50B0">
      <w:pPr>
        <w:ind w:firstLine="720"/>
        <w:rPr>
          <w:rFonts w:asciiTheme="minorHAnsi" w:hAnsiTheme="minorHAnsi" w:cstheme="minorHAnsi"/>
          <w:sz w:val="22"/>
          <w:szCs w:val="22"/>
        </w:rPr>
      </w:pPr>
      <w:r w:rsidRPr="003B50B0">
        <w:rPr>
          <w:rFonts w:asciiTheme="minorHAnsi" w:hAnsiTheme="minorHAnsi" w:cstheme="minorHAnsi"/>
          <w:sz w:val="22"/>
          <w:szCs w:val="22"/>
        </w:rPr>
        <w:t>•Headquarters for the general administration of municipalities and local boards</w:t>
      </w:r>
    </w:p>
    <w:p w:rsidR="003B50B0" w:rsidRPr="003B50B0" w:rsidRDefault="003B50B0" w:rsidP="003B50B0">
      <w:pPr>
        <w:rPr>
          <w:rFonts w:asciiTheme="minorHAnsi" w:hAnsiTheme="minorHAnsi" w:cstheme="minorHAnsi"/>
          <w:sz w:val="22"/>
          <w:szCs w:val="22"/>
        </w:rPr>
      </w:pPr>
    </w:p>
    <w:p w:rsidR="003B50B0" w:rsidRPr="003B50B0" w:rsidRDefault="003B50B0" w:rsidP="003B50B0">
      <w:pPr>
        <w:jc w:val="both"/>
        <w:rPr>
          <w:rFonts w:asciiTheme="minorHAnsi" w:hAnsiTheme="minorHAnsi" w:cstheme="minorHAnsi"/>
          <w:sz w:val="22"/>
          <w:szCs w:val="22"/>
        </w:rPr>
      </w:pPr>
      <w:r w:rsidRPr="003B50B0">
        <w:rPr>
          <w:rFonts w:asciiTheme="minorHAnsi" w:hAnsiTheme="minorHAnsi" w:cstheme="minorHAnsi"/>
          <w:sz w:val="22"/>
          <w:szCs w:val="22"/>
        </w:rPr>
        <w:t>This would be consistent with the ineligible services list currently found under the Development Charges Act.</w:t>
      </w:r>
    </w:p>
    <w:p w:rsidR="003B50B0" w:rsidRPr="003B50B0" w:rsidRDefault="003B50B0" w:rsidP="003B50B0">
      <w:pPr>
        <w:jc w:val="both"/>
        <w:rPr>
          <w:rFonts w:asciiTheme="minorHAnsi" w:hAnsiTheme="minorHAnsi" w:cstheme="minorHAnsi"/>
          <w:sz w:val="22"/>
          <w:szCs w:val="22"/>
        </w:rPr>
      </w:pPr>
    </w:p>
    <w:p w:rsidR="003B50B0" w:rsidRPr="003B50B0" w:rsidRDefault="003B50B0" w:rsidP="003B50B0">
      <w:pPr>
        <w:jc w:val="both"/>
        <w:rPr>
          <w:rFonts w:asciiTheme="minorHAnsi" w:hAnsiTheme="minorHAnsi" w:cstheme="minorHAnsi"/>
          <w:b/>
          <w:sz w:val="22"/>
          <w:szCs w:val="22"/>
        </w:rPr>
      </w:pPr>
      <w:r w:rsidRPr="003B50B0">
        <w:rPr>
          <w:rFonts w:asciiTheme="minorHAnsi" w:hAnsiTheme="minorHAnsi" w:cstheme="minorHAnsi"/>
          <w:b/>
          <w:sz w:val="22"/>
          <w:szCs w:val="22"/>
        </w:rPr>
        <w:t>City of Burlington Comments</w:t>
      </w:r>
    </w:p>
    <w:p w:rsidR="003B50B0" w:rsidRPr="003B50B0" w:rsidRDefault="003B50B0" w:rsidP="003B50B0">
      <w:pPr>
        <w:jc w:val="both"/>
        <w:rPr>
          <w:rFonts w:asciiTheme="minorHAnsi" w:hAnsiTheme="minorHAnsi" w:cstheme="minorHAnsi"/>
          <w:b/>
          <w:sz w:val="22"/>
          <w:szCs w:val="22"/>
        </w:rPr>
      </w:pPr>
    </w:p>
    <w:p w:rsidR="003B50B0" w:rsidRPr="003B50B0" w:rsidRDefault="003B50B0" w:rsidP="003B50B0">
      <w:pPr>
        <w:jc w:val="both"/>
        <w:rPr>
          <w:rFonts w:asciiTheme="minorHAnsi" w:hAnsiTheme="minorHAnsi" w:cstheme="minorHAnsi"/>
          <w:sz w:val="22"/>
          <w:szCs w:val="22"/>
        </w:rPr>
      </w:pPr>
      <w:r w:rsidRPr="003B50B0">
        <w:rPr>
          <w:rFonts w:asciiTheme="minorHAnsi" w:hAnsiTheme="minorHAnsi" w:cstheme="minorHAnsi"/>
          <w:sz w:val="22"/>
          <w:szCs w:val="22"/>
        </w:rPr>
        <w:t>No concerns identified.</w:t>
      </w:r>
    </w:p>
    <w:p w:rsidR="003B50B0" w:rsidRPr="003B50B0" w:rsidRDefault="003B50B0" w:rsidP="003B50B0">
      <w:pPr>
        <w:jc w:val="both"/>
        <w:rPr>
          <w:rFonts w:asciiTheme="minorHAnsi" w:hAnsiTheme="minorHAnsi" w:cstheme="minorHAnsi"/>
          <w:sz w:val="22"/>
          <w:szCs w:val="22"/>
        </w:rPr>
      </w:pPr>
    </w:p>
    <w:p w:rsidR="003B50B0" w:rsidRPr="003B50B0" w:rsidRDefault="003B50B0" w:rsidP="003B50B0">
      <w:pPr>
        <w:jc w:val="both"/>
        <w:rPr>
          <w:rFonts w:asciiTheme="minorHAnsi" w:hAnsiTheme="minorHAnsi" w:cstheme="minorHAnsi"/>
          <w:sz w:val="22"/>
          <w:szCs w:val="22"/>
        </w:rPr>
      </w:pPr>
    </w:p>
    <w:p w:rsidR="003B50B0" w:rsidRPr="003B50B0" w:rsidRDefault="003B50B0" w:rsidP="003B50B0">
      <w:pPr>
        <w:rPr>
          <w:rFonts w:asciiTheme="minorHAnsi" w:hAnsiTheme="minorHAnsi" w:cstheme="minorHAnsi"/>
          <w:sz w:val="22"/>
          <w:szCs w:val="22"/>
        </w:rPr>
      </w:pPr>
      <w:r w:rsidRPr="003B50B0">
        <w:rPr>
          <w:rFonts w:asciiTheme="minorHAnsi" w:hAnsiTheme="minorHAnsi" w:cstheme="minorHAnsi"/>
          <w:b/>
          <w:sz w:val="22"/>
          <w:szCs w:val="22"/>
        </w:rPr>
        <w:t>8.</w:t>
      </w:r>
      <w:r w:rsidRPr="003B50B0">
        <w:rPr>
          <w:rFonts w:asciiTheme="minorHAnsi" w:hAnsiTheme="minorHAnsi" w:cstheme="minorHAnsi"/>
          <w:sz w:val="22"/>
          <w:szCs w:val="22"/>
        </w:rPr>
        <w:t xml:space="preserve"> Amendments to the Planning Act in the More Homes, More Choice Act, 2019 establish a new authority for municipalities to levy charges for community benefits to make requirements in this regard more predictable. As the community planning permit system also allows conditions requiring the provision of specified community facilities or services, it is proposed that a community benefits charge by-law would not be available for use in areas within a municipality where a community planning permit system is in effect.</w:t>
      </w:r>
    </w:p>
    <w:p w:rsidR="003B50B0" w:rsidRPr="003B50B0" w:rsidRDefault="003B50B0" w:rsidP="003B50B0">
      <w:pPr>
        <w:rPr>
          <w:rFonts w:asciiTheme="minorHAnsi" w:hAnsiTheme="minorHAnsi" w:cstheme="minorHAnsi"/>
          <w:sz w:val="22"/>
          <w:szCs w:val="22"/>
        </w:rPr>
      </w:pPr>
    </w:p>
    <w:p w:rsidR="003B50B0" w:rsidRPr="003B50B0" w:rsidRDefault="003B50B0" w:rsidP="003B50B0">
      <w:pPr>
        <w:jc w:val="both"/>
        <w:rPr>
          <w:rFonts w:asciiTheme="minorHAnsi" w:hAnsiTheme="minorHAnsi" w:cstheme="minorHAnsi"/>
          <w:sz w:val="22"/>
          <w:szCs w:val="22"/>
        </w:rPr>
      </w:pPr>
      <w:r w:rsidRPr="003B50B0">
        <w:rPr>
          <w:rFonts w:asciiTheme="minorHAnsi" w:hAnsiTheme="minorHAnsi" w:cstheme="minorHAnsi"/>
          <w:sz w:val="22"/>
          <w:szCs w:val="22"/>
        </w:rPr>
        <w:t>In considering making a proposed new regulation and changes to existing regulations under the Planning Act, the government will continue to safeguard Ontarians’ health and safety, support a vibrant agricultural sector, and protect environmentally and culturally sensitive areas, including the Greenbelt.</w:t>
      </w:r>
    </w:p>
    <w:p w:rsidR="003B50B0" w:rsidRPr="003B50B0" w:rsidRDefault="003B50B0" w:rsidP="003B50B0">
      <w:pPr>
        <w:jc w:val="both"/>
        <w:rPr>
          <w:rFonts w:asciiTheme="minorHAnsi" w:hAnsiTheme="minorHAnsi" w:cstheme="minorHAnsi"/>
          <w:sz w:val="22"/>
          <w:szCs w:val="22"/>
        </w:rPr>
      </w:pPr>
    </w:p>
    <w:p w:rsidR="003B50B0" w:rsidRPr="003B50B0" w:rsidRDefault="003B50B0" w:rsidP="003B50B0">
      <w:pPr>
        <w:jc w:val="both"/>
        <w:rPr>
          <w:rFonts w:asciiTheme="minorHAnsi" w:hAnsiTheme="minorHAnsi" w:cstheme="minorHAnsi"/>
          <w:b/>
          <w:sz w:val="22"/>
          <w:szCs w:val="22"/>
        </w:rPr>
      </w:pPr>
      <w:r w:rsidRPr="003B50B0">
        <w:rPr>
          <w:rFonts w:asciiTheme="minorHAnsi" w:hAnsiTheme="minorHAnsi" w:cstheme="minorHAnsi"/>
          <w:b/>
          <w:sz w:val="22"/>
          <w:szCs w:val="22"/>
        </w:rPr>
        <w:t>City of Burlington Comments</w:t>
      </w:r>
    </w:p>
    <w:p w:rsidR="003B50B0" w:rsidRPr="003B50B0" w:rsidRDefault="003B50B0" w:rsidP="003B50B0">
      <w:pPr>
        <w:jc w:val="both"/>
        <w:rPr>
          <w:rFonts w:asciiTheme="minorHAnsi" w:hAnsiTheme="minorHAnsi" w:cstheme="minorHAnsi"/>
          <w:b/>
          <w:sz w:val="22"/>
          <w:szCs w:val="22"/>
        </w:rPr>
      </w:pPr>
    </w:p>
    <w:p w:rsidR="002830A9" w:rsidRDefault="003B50B0" w:rsidP="003B50B0">
      <w:pPr>
        <w:jc w:val="both"/>
        <w:rPr>
          <w:rFonts w:asciiTheme="minorHAnsi" w:hAnsiTheme="minorHAnsi" w:cstheme="minorHAnsi"/>
          <w:sz w:val="22"/>
          <w:szCs w:val="22"/>
        </w:rPr>
      </w:pPr>
      <w:r w:rsidRPr="003B50B0">
        <w:rPr>
          <w:rFonts w:asciiTheme="minorHAnsi" w:hAnsiTheme="minorHAnsi" w:cstheme="minorHAnsi"/>
          <w:sz w:val="22"/>
          <w:szCs w:val="22"/>
        </w:rPr>
        <w:t>No concerns identified</w:t>
      </w:r>
    </w:p>
    <w:p w:rsidR="0047266E" w:rsidRDefault="0047266E" w:rsidP="003B50B0">
      <w:pPr>
        <w:jc w:val="both"/>
        <w:rPr>
          <w:rFonts w:asciiTheme="minorHAnsi" w:hAnsiTheme="minorHAnsi" w:cstheme="minorHAnsi"/>
          <w:sz w:val="22"/>
          <w:szCs w:val="22"/>
        </w:rPr>
      </w:pPr>
    </w:p>
    <w:p w:rsidR="0047266E" w:rsidRDefault="0047266E" w:rsidP="003B50B0">
      <w:pPr>
        <w:jc w:val="both"/>
        <w:rPr>
          <w:rFonts w:asciiTheme="minorHAnsi" w:hAnsiTheme="minorHAnsi" w:cstheme="minorHAnsi"/>
          <w:sz w:val="22"/>
          <w:szCs w:val="22"/>
        </w:rPr>
      </w:pPr>
    </w:p>
    <w:p w:rsidR="0047266E" w:rsidRDefault="0047266E" w:rsidP="003B50B0">
      <w:pPr>
        <w:jc w:val="both"/>
        <w:rPr>
          <w:rFonts w:asciiTheme="minorHAnsi" w:hAnsiTheme="minorHAnsi" w:cstheme="minorHAnsi"/>
          <w:sz w:val="22"/>
          <w:szCs w:val="22"/>
        </w:rPr>
      </w:pPr>
      <w:r>
        <w:rPr>
          <w:rFonts w:asciiTheme="minorHAnsi" w:hAnsiTheme="minorHAnsi" w:cstheme="minorHAnsi"/>
          <w:sz w:val="22"/>
          <w:szCs w:val="22"/>
        </w:rPr>
        <w:t xml:space="preserve">Thank you for the opportunity to provide comments on behalf of </w:t>
      </w:r>
      <w:r w:rsidR="00C4560A">
        <w:rPr>
          <w:rFonts w:asciiTheme="minorHAnsi" w:hAnsiTheme="minorHAnsi" w:cstheme="minorHAnsi"/>
          <w:sz w:val="22"/>
          <w:szCs w:val="22"/>
        </w:rPr>
        <w:t>t</w:t>
      </w:r>
      <w:r>
        <w:rPr>
          <w:rFonts w:asciiTheme="minorHAnsi" w:hAnsiTheme="minorHAnsi" w:cstheme="minorHAnsi"/>
          <w:sz w:val="22"/>
          <w:szCs w:val="22"/>
        </w:rPr>
        <w:t>he City of Burlington.</w:t>
      </w:r>
    </w:p>
    <w:p w:rsidR="0047266E" w:rsidRDefault="0047266E" w:rsidP="003B50B0">
      <w:pPr>
        <w:jc w:val="both"/>
        <w:rPr>
          <w:rFonts w:asciiTheme="minorHAnsi" w:hAnsiTheme="minorHAnsi" w:cstheme="minorHAnsi"/>
          <w:sz w:val="22"/>
          <w:szCs w:val="22"/>
        </w:rPr>
      </w:pPr>
    </w:p>
    <w:p w:rsidR="0047266E" w:rsidRDefault="0047266E" w:rsidP="003B50B0">
      <w:pPr>
        <w:jc w:val="both"/>
        <w:rPr>
          <w:rFonts w:asciiTheme="minorHAnsi" w:hAnsiTheme="minorHAnsi" w:cstheme="minorHAnsi"/>
          <w:sz w:val="22"/>
          <w:szCs w:val="22"/>
        </w:rPr>
      </w:pPr>
    </w:p>
    <w:p w:rsidR="0047266E" w:rsidRDefault="0047266E" w:rsidP="003B50B0">
      <w:pPr>
        <w:jc w:val="both"/>
        <w:rPr>
          <w:rFonts w:asciiTheme="minorHAnsi" w:hAnsiTheme="minorHAnsi" w:cstheme="minorHAnsi"/>
          <w:sz w:val="22"/>
          <w:szCs w:val="22"/>
        </w:rPr>
      </w:pPr>
      <w:r>
        <w:rPr>
          <w:rFonts w:asciiTheme="minorHAnsi" w:hAnsiTheme="minorHAnsi" w:cstheme="minorHAnsi"/>
          <w:sz w:val="22"/>
          <w:szCs w:val="22"/>
        </w:rPr>
        <w:t>Sincerely,</w:t>
      </w:r>
    </w:p>
    <w:p w:rsidR="0047266E" w:rsidRDefault="0047266E" w:rsidP="003B50B0">
      <w:pPr>
        <w:jc w:val="both"/>
        <w:rPr>
          <w:rFonts w:asciiTheme="minorHAnsi" w:hAnsiTheme="minorHAnsi" w:cstheme="minorHAnsi"/>
          <w:sz w:val="22"/>
          <w:szCs w:val="22"/>
        </w:rPr>
      </w:pPr>
    </w:p>
    <w:p w:rsidR="0047266E" w:rsidRDefault="0047266E" w:rsidP="003B50B0">
      <w:pPr>
        <w:jc w:val="both"/>
        <w:rPr>
          <w:rFonts w:asciiTheme="minorHAnsi" w:hAnsiTheme="minorHAnsi" w:cstheme="minorHAnsi"/>
          <w:sz w:val="22"/>
          <w:szCs w:val="22"/>
        </w:rPr>
      </w:pPr>
      <w:bookmarkStart w:id="0" w:name="_GoBack"/>
      <w:bookmarkEnd w:id="0"/>
    </w:p>
    <w:p w:rsidR="0047266E" w:rsidRDefault="0047266E" w:rsidP="003B50B0">
      <w:pPr>
        <w:jc w:val="both"/>
        <w:rPr>
          <w:rFonts w:asciiTheme="minorHAnsi" w:hAnsiTheme="minorHAnsi" w:cstheme="minorHAnsi"/>
          <w:sz w:val="22"/>
          <w:szCs w:val="22"/>
        </w:rPr>
      </w:pPr>
    </w:p>
    <w:p w:rsidR="0047266E" w:rsidRDefault="0047266E" w:rsidP="003B50B0">
      <w:pPr>
        <w:jc w:val="both"/>
        <w:rPr>
          <w:rFonts w:asciiTheme="minorHAnsi" w:hAnsiTheme="minorHAnsi" w:cstheme="minorHAnsi"/>
          <w:sz w:val="22"/>
          <w:szCs w:val="22"/>
        </w:rPr>
      </w:pPr>
    </w:p>
    <w:p w:rsidR="0047266E" w:rsidRDefault="0047266E" w:rsidP="003B50B0">
      <w:pPr>
        <w:jc w:val="both"/>
        <w:rPr>
          <w:rFonts w:asciiTheme="minorHAnsi" w:hAnsiTheme="minorHAnsi" w:cstheme="minorHAnsi"/>
          <w:sz w:val="22"/>
          <w:szCs w:val="22"/>
        </w:rPr>
      </w:pPr>
      <w:r>
        <w:rPr>
          <w:rFonts w:asciiTheme="minorHAnsi" w:hAnsiTheme="minorHAnsi" w:cstheme="minorHAnsi"/>
          <w:sz w:val="22"/>
          <w:szCs w:val="22"/>
        </w:rPr>
        <w:t>Helen Walihura</w:t>
      </w:r>
    </w:p>
    <w:p w:rsidR="0047266E" w:rsidRDefault="0047266E" w:rsidP="003B50B0">
      <w:pPr>
        <w:jc w:val="both"/>
        <w:rPr>
          <w:rFonts w:asciiTheme="minorHAnsi" w:hAnsiTheme="minorHAnsi" w:cstheme="minorHAnsi"/>
          <w:sz w:val="22"/>
          <w:szCs w:val="22"/>
        </w:rPr>
      </w:pPr>
      <w:r>
        <w:rPr>
          <w:rFonts w:asciiTheme="minorHAnsi" w:hAnsiTheme="minorHAnsi" w:cstheme="minorHAnsi"/>
          <w:sz w:val="22"/>
          <w:szCs w:val="22"/>
        </w:rPr>
        <w:t>Government Relations Specialist</w:t>
      </w:r>
    </w:p>
    <w:p w:rsidR="0047266E" w:rsidRPr="003B50B0" w:rsidRDefault="0047266E" w:rsidP="003B50B0">
      <w:pPr>
        <w:jc w:val="both"/>
        <w:rPr>
          <w:rFonts w:asciiTheme="minorHAnsi" w:hAnsiTheme="minorHAnsi" w:cstheme="minorHAnsi"/>
          <w:sz w:val="22"/>
          <w:szCs w:val="22"/>
        </w:rPr>
      </w:pPr>
    </w:p>
    <w:sectPr w:rsidR="0047266E" w:rsidRPr="003B50B0">
      <w:headerReference w:type="default" r:id="rId7"/>
      <w:footerReference w:type="default" r:id="rId8"/>
      <w:pgSz w:w="12240" w:h="15840"/>
      <w:pgMar w:top="1000" w:right="1000" w:bottom="1000" w:left="10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934" w:rsidRDefault="00352DA7">
      <w:r>
        <w:separator/>
      </w:r>
    </w:p>
  </w:endnote>
  <w:endnote w:type="continuationSeparator" w:id="0">
    <w:p w:rsidR="00CC2934" w:rsidRDefault="0035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612368786"/>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rsidR="0047266E" w:rsidRPr="0047266E" w:rsidRDefault="0047266E">
            <w:pPr>
              <w:pStyle w:val="Footer"/>
              <w:jc w:val="right"/>
              <w:rPr>
                <w:rFonts w:asciiTheme="minorHAnsi" w:hAnsiTheme="minorHAnsi" w:cstheme="minorHAnsi"/>
              </w:rPr>
            </w:pPr>
            <w:r w:rsidRPr="0047266E">
              <w:rPr>
                <w:rFonts w:asciiTheme="minorHAnsi" w:hAnsiTheme="minorHAnsi" w:cstheme="minorHAnsi"/>
              </w:rPr>
              <w:t xml:space="preserve">Page </w:t>
            </w:r>
            <w:r w:rsidRPr="0047266E">
              <w:rPr>
                <w:rFonts w:asciiTheme="minorHAnsi" w:hAnsiTheme="minorHAnsi" w:cstheme="minorHAnsi"/>
                <w:b/>
                <w:bCs/>
              </w:rPr>
              <w:fldChar w:fldCharType="begin"/>
            </w:r>
            <w:r w:rsidRPr="0047266E">
              <w:rPr>
                <w:rFonts w:asciiTheme="minorHAnsi" w:hAnsiTheme="minorHAnsi" w:cstheme="minorHAnsi"/>
                <w:b/>
                <w:bCs/>
              </w:rPr>
              <w:instrText xml:space="preserve"> PAGE </w:instrText>
            </w:r>
            <w:r w:rsidRPr="0047266E">
              <w:rPr>
                <w:rFonts w:asciiTheme="minorHAnsi" w:hAnsiTheme="minorHAnsi" w:cstheme="minorHAnsi"/>
                <w:b/>
                <w:bCs/>
              </w:rPr>
              <w:fldChar w:fldCharType="separate"/>
            </w:r>
            <w:r w:rsidRPr="0047266E">
              <w:rPr>
                <w:rFonts w:asciiTheme="minorHAnsi" w:hAnsiTheme="minorHAnsi" w:cstheme="minorHAnsi"/>
                <w:b/>
                <w:bCs/>
                <w:noProof/>
              </w:rPr>
              <w:t>2</w:t>
            </w:r>
            <w:r w:rsidRPr="0047266E">
              <w:rPr>
                <w:rFonts w:asciiTheme="minorHAnsi" w:hAnsiTheme="minorHAnsi" w:cstheme="minorHAnsi"/>
                <w:b/>
                <w:bCs/>
              </w:rPr>
              <w:fldChar w:fldCharType="end"/>
            </w:r>
            <w:r w:rsidRPr="0047266E">
              <w:rPr>
                <w:rFonts w:asciiTheme="minorHAnsi" w:hAnsiTheme="minorHAnsi" w:cstheme="minorHAnsi"/>
              </w:rPr>
              <w:t xml:space="preserve"> of </w:t>
            </w:r>
            <w:r w:rsidRPr="0047266E">
              <w:rPr>
                <w:rFonts w:asciiTheme="minorHAnsi" w:hAnsiTheme="minorHAnsi" w:cstheme="minorHAnsi"/>
                <w:b/>
                <w:bCs/>
              </w:rPr>
              <w:fldChar w:fldCharType="begin"/>
            </w:r>
            <w:r w:rsidRPr="0047266E">
              <w:rPr>
                <w:rFonts w:asciiTheme="minorHAnsi" w:hAnsiTheme="minorHAnsi" w:cstheme="minorHAnsi"/>
                <w:b/>
                <w:bCs/>
              </w:rPr>
              <w:instrText xml:space="preserve"> NUMPAGES  </w:instrText>
            </w:r>
            <w:r w:rsidRPr="0047266E">
              <w:rPr>
                <w:rFonts w:asciiTheme="minorHAnsi" w:hAnsiTheme="minorHAnsi" w:cstheme="minorHAnsi"/>
                <w:b/>
                <w:bCs/>
              </w:rPr>
              <w:fldChar w:fldCharType="separate"/>
            </w:r>
            <w:r w:rsidRPr="0047266E">
              <w:rPr>
                <w:rFonts w:asciiTheme="minorHAnsi" w:hAnsiTheme="minorHAnsi" w:cstheme="minorHAnsi"/>
                <w:b/>
                <w:bCs/>
                <w:noProof/>
              </w:rPr>
              <w:t>2</w:t>
            </w:r>
            <w:r w:rsidRPr="0047266E">
              <w:rPr>
                <w:rFonts w:asciiTheme="minorHAnsi" w:hAnsiTheme="minorHAnsi" w:cstheme="minorHAnsi"/>
                <w:b/>
                <w:bCs/>
              </w:rPr>
              <w:fldChar w:fldCharType="end"/>
            </w:r>
          </w:p>
        </w:sdtContent>
      </w:sdt>
    </w:sdtContent>
  </w:sdt>
  <w:p w:rsidR="00CC2934" w:rsidRDefault="00CC2934">
    <w:pPr>
      <w:pStyle w:val="Footer"/>
      <w:jc w:val="center"/>
      <w:rPr>
        <w:color w:val="000099"/>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934" w:rsidRDefault="00352DA7">
      <w:r>
        <w:separator/>
      </w:r>
    </w:p>
  </w:footnote>
  <w:footnote w:type="continuationSeparator" w:id="0">
    <w:p w:rsidR="00CC2934" w:rsidRDefault="00352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934" w:rsidRDefault="009A7BD9">
    <w:pPr>
      <w:pStyle w:val="Header"/>
    </w:pPr>
    <w:r>
      <w:rPr>
        <w:noProof/>
        <w:sz w:val="20"/>
        <w:lang w:val="en-US"/>
      </w:rPr>
      <mc:AlternateContent>
        <mc:Choice Requires="wps">
          <w:drawing>
            <wp:anchor distT="0" distB="0" distL="114300" distR="114300" simplePos="0" relativeHeight="251658752" behindDoc="0" locked="0" layoutInCell="1" allowOverlap="1">
              <wp:simplePos x="0" y="0"/>
              <wp:positionH relativeFrom="column">
                <wp:posOffset>4914900</wp:posOffset>
              </wp:positionH>
              <wp:positionV relativeFrom="paragraph">
                <wp:posOffset>82550</wp:posOffset>
              </wp:positionV>
              <wp:extent cx="1885950" cy="736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934" w:rsidRDefault="00352DA7">
                          <w:pPr>
                            <w:spacing w:line="312" w:lineRule="auto"/>
                            <w:rPr>
                              <w:sz w:val="20"/>
                            </w:rPr>
                          </w:pPr>
                          <w:r>
                            <w:rPr>
                              <w:sz w:val="20"/>
                            </w:rPr>
                            <w:t xml:space="preserve">905-335-7600 ext. </w:t>
                          </w:r>
                          <w:r w:rsidR="007A41B9">
                            <w:rPr>
                              <w:sz w:val="20"/>
                            </w:rPr>
                            <w:t>7895</w:t>
                          </w:r>
                        </w:p>
                        <w:p w:rsidR="003123B0" w:rsidRDefault="007A41B9">
                          <w:pPr>
                            <w:spacing w:line="312" w:lineRule="auto"/>
                            <w:rPr>
                              <w:sz w:val="20"/>
                            </w:rPr>
                          </w:pPr>
                          <w:r>
                            <w:rPr>
                              <w:sz w:val="20"/>
                            </w:rPr>
                            <w:t>905-320-6257</w:t>
                          </w:r>
                        </w:p>
                        <w:p w:rsidR="00CC2934" w:rsidRDefault="007A41B9">
                          <w:pPr>
                            <w:spacing w:line="312" w:lineRule="auto"/>
                          </w:pPr>
                          <w:r>
                            <w:rPr>
                              <w:sz w:val="20"/>
                            </w:rPr>
                            <w:t>helen.walihura</w:t>
                          </w:r>
                          <w:r w:rsidR="00352DA7">
                            <w:rPr>
                              <w:sz w:val="20"/>
                            </w:rPr>
                            <w:t>@burlington.ca</w:t>
                          </w:r>
                        </w:p>
                      </w:txbxContent>
                    </wps:txbx>
                    <wps:bodyPr rot="0" vert="horz" wrap="square" lIns="63500" tIns="127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7pt;margin-top:6.5pt;width:148.5pt;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" stroked="f">
              <v:textbox inset="5pt,1pt">
                <w:txbxContent>
                  <w:p w:rsidR="00CC2934" w:rsidRDefault="00352DA7">
                    <w:pPr>
                      <w:spacing w:line="312" w:lineRule="auto"/>
                      <w:rPr>
                        <w:sz w:val="20"/>
                      </w:rPr>
                    </w:pPr>
                    <w:r>
                      <w:rPr>
                        <w:sz w:val="20"/>
                      </w:rPr>
                      <w:t xml:space="preserve">905-335-7600 ext. </w:t>
                    </w:r>
                    <w:r w:rsidR="007A41B9">
                      <w:rPr>
                        <w:sz w:val="20"/>
                      </w:rPr>
                      <w:t>7895</w:t>
                    </w:r>
                  </w:p>
                  <w:p w:rsidR="003123B0" w:rsidRDefault="007A41B9">
                    <w:pPr>
                      <w:spacing w:line="312" w:lineRule="auto"/>
                      <w:rPr>
                        <w:sz w:val="20"/>
                      </w:rPr>
                    </w:pPr>
                    <w:r>
                      <w:rPr>
                        <w:sz w:val="20"/>
                      </w:rPr>
                      <w:t>905-320-6257</w:t>
                    </w:r>
                  </w:p>
                  <w:p w:rsidR="00CC2934" w:rsidRDefault="007A41B9">
                    <w:pPr>
                      <w:spacing w:line="312" w:lineRule="auto"/>
                    </w:pPr>
                    <w:r>
                      <w:rPr>
                        <w:sz w:val="20"/>
                      </w:rPr>
                      <w:t>helen.walihura</w:t>
                    </w:r>
                    <w:r w:rsidR="00352DA7">
                      <w:rPr>
                        <w:sz w:val="20"/>
                      </w:rPr>
                      <w:t>@burlington.ca</w:t>
                    </w:r>
                  </w:p>
                </w:txbxContent>
              </v:textbox>
            </v:shape>
          </w:pict>
        </mc:Fallback>
      </mc:AlternateContent>
    </w:r>
    <w:r w:rsidR="00352DA7">
      <w:rPr>
        <w:noProof/>
        <w:sz w:val="20"/>
        <w:lang w:eastAsia="en-CA"/>
      </w:rPr>
      <w:drawing>
        <wp:anchor distT="0" distB="0" distL="114300" distR="114300" simplePos="0" relativeHeight="251657728" behindDoc="0" locked="0" layoutInCell="1" allowOverlap="1">
          <wp:simplePos x="0" y="0"/>
          <wp:positionH relativeFrom="column">
            <wp:posOffset>4686300</wp:posOffset>
          </wp:positionH>
          <wp:positionV relativeFrom="paragraph">
            <wp:posOffset>63500</wp:posOffset>
          </wp:positionV>
          <wp:extent cx="184785" cy="520065"/>
          <wp:effectExtent l="19050" t="0" r="5715" b="0"/>
          <wp:wrapSquare wrapText="bothSides"/>
          <wp:docPr id="2" name="Picture 2" descr="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s"/>
                  <pic:cNvPicPr>
                    <a:picLocks noChangeAspect="1" noChangeArrowheads="1"/>
                  </pic:cNvPicPr>
                </pic:nvPicPr>
                <pic:blipFill>
                  <a:blip r:embed="rId1"/>
                  <a:srcRect/>
                  <a:stretch>
                    <a:fillRect/>
                  </a:stretch>
                </pic:blipFill>
                <pic:spPr bwMode="auto">
                  <a:xfrm>
                    <a:off x="0" y="0"/>
                    <a:ext cx="184785" cy="520065"/>
                  </a:xfrm>
                  <a:prstGeom prst="rect">
                    <a:avLst/>
                  </a:prstGeom>
                  <a:noFill/>
                  <a:ln w="9525">
                    <a:noFill/>
                    <a:miter lim="800000"/>
                    <a:headEnd/>
                    <a:tailEnd/>
                  </a:ln>
                </pic:spPr>
              </pic:pic>
            </a:graphicData>
          </a:graphic>
        </wp:anchor>
      </w:drawing>
    </w:r>
    <w:r w:rsidR="00352DA7">
      <w:rPr>
        <w:noProof/>
        <w:sz w:val="20"/>
        <w:lang w:eastAsia="en-CA"/>
      </w:rPr>
      <w:drawing>
        <wp:anchor distT="0" distB="0" distL="114300" distR="114300" simplePos="0" relativeHeight="251656704" behindDoc="0" locked="0" layoutInCell="1" allowOverlap="1">
          <wp:simplePos x="0" y="0"/>
          <wp:positionH relativeFrom="column">
            <wp:posOffset>0</wp:posOffset>
          </wp:positionH>
          <wp:positionV relativeFrom="paragraph">
            <wp:posOffset>63500</wp:posOffset>
          </wp:positionV>
          <wp:extent cx="2290445" cy="687705"/>
          <wp:effectExtent l="19050" t="0" r="0" b="0"/>
          <wp:wrapSquare wrapText="bothSides"/>
          <wp:docPr id="1" name="Picture 1" descr="COB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_logo_hires"/>
                  <pic:cNvPicPr>
                    <a:picLocks noChangeAspect="1" noChangeArrowheads="1"/>
                  </pic:cNvPicPr>
                </pic:nvPicPr>
                <pic:blipFill>
                  <a:blip r:embed="rId2"/>
                  <a:srcRect l="4439" t="13455" r="4718" b="4572"/>
                  <a:stretch>
                    <a:fillRect/>
                  </a:stretch>
                </pic:blipFill>
                <pic:spPr bwMode="auto">
                  <a:xfrm>
                    <a:off x="0" y="0"/>
                    <a:ext cx="2290445" cy="6877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02123"/>
    <w:multiLevelType w:val="hybridMultilevel"/>
    <w:tmpl w:val="DA8CF0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860B32"/>
    <w:multiLevelType w:val="hybridMultilevel"/>
    <w:tmpl w:val="E208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DF51D72"/>
    <w:multiLevelType w:val="hybridMultilevel"/>
    <w:tmpl w:val="CF90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22A5C"/>
    <w:multiLevelType w:val="hybridMultilevel"/>
    <w:tmpl w:val="CBA27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482F8D"/>
    <w:multiLevelType w:val="hybridMultilevel"/>
    <w:tmpl w:val="FBE64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B0"/>
    <w:rsid w:val="001E04C7"/>
    <w:rsid w:val="002830A9"/>
    <w:rsid w:val="003123B0"/>
    <w:rsid w:val="00352DA7"/>
    <w:rsid w:val="003B50B0"/>
    <w:rsid w:val="0047266E"/>
    <w:rsid w:val="00640CDB"/>
    <w:rsid w:val="007A41B9"/>
    <w:rsid w:val="00906E21"/>
    <w:rsid w:val="009120C7"/>
    <w:rsid w:val="00987D86"/>
    <w:rsid w:val="009A7BD9"/>
    <w:rsid w:val="00C4560A"/>
    <w:rsid w:val="00CC29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A63CCB"/>
  <w15:docId w15:val="{A3863E5D-65B3-41FE-AB2F-B155C18D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123B0"/>
    <w:pPr>
      <w:spacing w:after="200" w:line="276" w:lineRule="auto"/>
      <w:ind w:left="720"/>
    </w:pPr>
    <w:rPr>
      <w:rFonts w:asciiTheme="minorHAnsi" w:eastAsiaTheme="minorHAnsi" w:hAnsiTheme="minorHAnsi" w:cstheme="minorBidi"/>
      <w:sz w:val="22"/>
      <w:szCs w:val="22"/>
      <w:lang w:val="en-US"/>
    </w:rPr>
  </w:style>
  <w:style w:type="character" w:styleId="Hyperlink">
    <w:name w:val="Hyperlink"/>
    <w:basedOn w:val="DefaultParagraphFont"/>
    <w:uiPriority w:val="99"/>
    <w:unhideWhenUsed/>
    <w:rsid w:val="003123B0"/>
    <w:rPr>
      <w:color w:val="0000FF" w:themeColor="hyperlink"/>
      <w:u w:val="single"/>
    </w:rPr>
  </w:style>
  <w:style w:type="character" w:customStyle="1" w:styleId="FooterChar">
    <w:name w:val="Footer Char"/>
    <w:basedOn w:val="DefaultParagraphFont"/>
    <w:link w:val="Footer"/>
    <w:uiPriority w:val="99"/>
    <w:rsid w:val="0047266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863885">
      <w:bodyDiv w:val="1"/>
      <w:marLeft w:val="0"/>
      <w:marRight w:val="0"/>
      <w:marTop w:val="0"/>
      <w:marBottom w:val="0"/>
      <w:divBdr>
        <w:top w:val="none" w:sz="0" w:space="0" w:color="auto"/>
        <w:left w:val="none" w:sz="0" w:space="0" w:color="auto"/>
        <w:bottom w:val="none" w:sz="0" w:space="0" w:color="auto"/>
        <w:right w:val="none" w:sz="0" w:space="0" w:color="auto"/>
      </w:divBdr>
    </w:div>
    <w:div w:id="16314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Lori please draft for my signature</vt:lpstr>
    </vt:vector>
  </TitlesOfParts>
  <Company>COB</Company>
  <LinksUpToDate>false</LinksUpToDate>
  <CharactersWithSpaces>7682</CharactersWithSpaces>
  <SharedDoc>false</SharedDoc>
  <HLinks>
    <vt:vector size="12" baseType="variant">
      <vt:variant>
        <vt:i4>5242995</vt:i4>
      </vt:variant>
      <vt:variant>
        <vt:i4>-1</vt:i4>
      </vt:variant>
      <vt:variant>
        <vt:i4>2049</vt:i4>
      </vt:variant>
      <vt:variant>
        <vt:i4>1</vt:i4>
      </vt:variant>
      <vt:variant>
        <vt:lpwstr>C:\Documents and Settings\rxh\My Documents\General Documents\COB_logo_hires.jpg</vt:lpwstr>
      </vt:variant>
      <vt:variant>
        <vt:lpwstr/>
      </vt:variant>
      <vt:variant>
        <vt:i4>3539046</vt:i4>
      </vt:variant>
      <vt:variant>
        <vt:i4>-1</vt:i4>
      </vt:variant>
      <vt:variant>
        <vt:i4>2050</vt:i4>
      </vt:variant>
      <vt:variant>
        <vt:i4>1</vt:i4>
      </vt:variant>
      <vt:variant>
        <vt:lpwstr>..\letterhead\symbols.tif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Lori please draft for my signature</dc:title>
  <dc:creator>ejd</dc:creator>
  <cp:lastModifiedBy>Walihura, Helen</cp:lastModifiedBy>
  <cp:revision>3</cp:revision>
  <cp:lastPrinted>2005-05-30T20:25:00Z</cp:lastPrinted>
  <dcterms:created xsi:type="dcterms:W3CDTF">2019-08-21T19:17:00Z</dcterms:created>
  <dcterms:modified xsi:type="dcterms:W3CDTF">2019-08-21T19:33:00Z</dcterms:modified>
</cp:coreProperties>
</file>