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934" w:rsidRPr="003123B0" w:rsidRDefault="00352DA7">
      <w:pPr>
        <w:tabs>
          <w:tab w:val="left" w:pos="6480"/>
        </w:tabs>
        <w:rPr>
          <w:rFonts w:asciiTheme="minorHAnsi" w:hAnsiTheme="minorHAnsi"/>
          <w:sz w:val="22"/>
          <w:szCs w:val="22"/>
        </w:rPr>
      </w:pP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p>
    <w:p w:rsidR="00CC2934" w:rsidRPr="003123B0" w:rsidRDefault="00352DA7">
      <w:pPr>
        <w:tabs>
          <w:tab w:val="left" w:pos="6480"/>
        </w:tabs>
        <w:rPr>
          <w:rFonts w:asciiTheme="minorHAnsi" w:hAnsiTheme="minorHAnsi"/>
          <w:sz w:val="22"/>
          <w:szCs w:val="22"/>
        </w:rPr>
      </w:pP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p>
    <w:p w:rsidR="00CC2934" w:rsidRPr="003123B0" w:rsidRDefault="00352DA7">
      <w:pPr>
        <w:tabs>
          <w:tab w:val="left" w:pos="6480"/>
        </w:tabs>
        <w:rPr>
          <w:rFonts w:asciiTheme="minorHAnsi" w:hAnsiTheme="minorHAnsi"/>
          <w:sz w:val="22"/>
          <w:szCs w:val="22"/>
        </w:rPr>
      </w:pP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r w:rsidRPr="003123B0">
        <w:rPr>
          <w:rFonts w:asciiTheme="minorHAnsi" w:hAnsiTheme="minorHAnsi"/>
          <w:sz w:val="22"/>
          <w:szCs w:val="22"/>
        </w:rPr>
        <w:tab/>
      </w:r>
    </w:p>
    <w:p w:rsidR="003123B0" w:rsidRPr="003123B0" w:rsidRDefault="007A41B9" w:rsidP="003123B0">
      <w:pPr>
        <w:rPr>
          <w:rFonts w:asciiTheme="minorHAnsi" w:hAnsiTheme="minorHAnsi" w:cs="Arial"/>
          <w:sz w:val="22"/>
          <w:szCs w:val="22"/>
        </w:rPr>
      </w:pPr>
      <w:r>
        <w:rPr>
          <w:rFonts w:asciiTheme="minorHAnsi" w:hAnsiTheme="minorHAnsi" w:cs="Arial"/>
          <w:sz w:val="22"/>
          <w:szCs w:val="22"/>
        </w:rPr>
        <w:t xml:space="preserve">August </w:t>
      </w:r>
      <w:r w:rsidR="003B50B0">
        <w:rPr>
          <w:rFonts w:asciiTheme="minorHAnsi" w:hAnsiTheme="minorHAnsi" w:cs="Arial"/>
          <w:sz w:val="22"/>
          <w:szCs w:val="22"/>
        </w:rPr>
        <w:t>21</w:t>
      </w:r>
      <w:r>
        <w:rPr>
          <w:rFonts w:asciiTheme="minorHAnsi" w:hAnsiTheme="minorHAnsi" w:cs="Arial"/>
          <w:sz w:val="22"/>
          <w:szCs w:val="22"/>
        </w:rPr>
        <w:t>, 2019</w:t>
      </w:r>
    </w:p>
    <w:p w:rsidR="003123B0" w:rsidRPr="003123B0" w:rsidRDefault="003123B0" w:rsidP="003123B0">
      <w:pPr>
        <w:rPr>
          <w:rFonts w:asciiTheme="minorHAnsi" w:hAnsiTheme="minorHAnsi" w:cs="Arial"/>
          <w:sz w:val="22"/>
          <w:szCs w:val="22"/>
        </w:rPr>
      </w:pPr>
    </w:p>
    <w:p w:rsidR="001E04C7" w:rsidRDefault="001E04C7" w:rsidP="002830A9">
      <w:pPr>
        <w:pStyle w:val="Heading1"/>
        <w:shd w:val="clear" w:color="auto" w:fill="FFFFFF"/>
        <w:rPr>
          <w:rFonts w:asciiTheme="minorHAnsi" w:hAnsiTheme="minorHAnsi" w:cs="Arial"/>
          <w:b w:val="0"/>
          <w:sz w:val="22"/>
          <w:szCs w:val="22"/>
          <w:u w:val="none"/>
        </w:rPr>
      </w:pPr>
      <w:r>
        <w:rPr>
          <w:rFonts w:asciiTheme="minorHAnsi" w:hAnsiTheme="minorHAnsi" w:cs="Arial"/>
          <w:b w:val="0"/>
          <w:sz w:val="22"/>
          <w:szCs w:val="22"/>
          <w:u w:val="none"/>
        </w:rPr>
        <w:t xml:space="preserve">The Honourable </w:t>
      </w:r>
      <w:r w:rsidR="002830A9">
        <w:rPr>
          <w:rFonts w:asciiTheme="minorHAnsi" w:hAnsiTheme="minorHAnsi" w:cs="Arial"/>
          <w:b w:val="0"/>
          <w:sz w:val="22"/>
          <w:szCs w:val="22"/>
          <w:u w:val="none"/>
        </w:rPr>
        <w:t>Steve Clark, M.P.P., Minister of Municipal Affairs and Housing</w:t>
      </w:r>
    </w:p>
    <w:p w:rsidR="002830A9" w:rsidRDefault="002830A9" w:rsidP="002830A9">
      <w:pPr>
        <w:rPr>
          <w:rFonts w:asciiTheme="minorHAnsi" w:hAnsiTheme="minorHAnsi" w:cstheme="minorHAnsi"/>
          <w:sz w:val="22"/>
          <w:szCs w:val="22"/>
        </w:rPr>
      </w:pPr>
      <w:r>
        <w:rPr>
          <w:rFonts w:asciiTheme="minorHAnsi" w:hAnsiTheme="minorHAnsi" w:cstheme="minorHAnsi"/>
          <w:sz w:val="22"/>
          <w:szCs w:val="22"/>
        </w:rPr>
        <w:t>Ministry of Municipal Affairs and Housing</w:t>
      </w:r>
    </w:p>
    <w:p w:rsidR="009120C7" w:rsidRDefault="002830A9" w:rsidP="002830A9">
      <w:pPr>
        <w:rPr>
          <w:rFonts w:asciiTheme="minorHAnsi" w:hAnsiTheme="minorHAnsi" w:cstheme="minorHAnsi"/>
          <w:sz w:val="22"/>
          <w:szCs w:val="22"/>
        </w:rPr>
      </w:pPr>
      <w:r>
        <w:rPr>
          <w:rFonts w:asciiTheme="minorHAnsi" w:hAnsiTheme="minorHAnsi" w:cstheme="minorHAnsi"/>
          <w:sz w:val="22"/>
          <w:szCs w:val="22"/>
        </w:rPr>
        <w:t>777 Bay Street</w:t>
      </w:r>
    </w:p>
    <w:p w:rsidR="002830A9" w:rsidRDefault="002830A9" w:rsidP="002830A9">
      <w:pPr>
        <w:rPr>
          <w:rFonts w:asciiTheme="minorHAnsi" w:hAnsiTheme="minorHAnsi" w:cstheme="minorHAnsi"/>
          <w:sz w:val="22"/>
          <w:szCs w:val="22"/>
        </w:rPr>
      </w:pPr>
      <w:r>
        <w:rPr>
          <w:rFonts w:asciiTheme="minorHAnsi" w:hAnsiTheme="minorHAnsi" w:cstheme="minorHAnsi"/>
          <w:sz w:val="22"/>
          <w:szCs w:val="22"/>
        </w:rPr>
        <w:t>Toronto, Ontario</w:t>
      </w:r>
    </w:p>
    <w:p w:rsidR="002830A9" w:rsidRPr="002830A9" w:rsidRDefault="002830A9" w:rsidP="002830A9">
      <w:pPr>
        <w:rPr>
          <w:rFonts w:asciiTheme="minorHAnsi" w:hAnsiTheme="minorHAnsi" w:cstheme="minorHAnsi"/>
          <w:sz w:val="22"/>
          <w:szCs w:val="22"/>
        </w:rPr>
      </w:pPr>
      <w:r>
        <w:rPr>
          <w:rFonts w:asciiTheme="minorHAnsi" w:hAnsiTheme="minorHAnsi" w:cstheme="minorHAnsi"/>
          <w:sz w:val="22"/>
          <w:szCs w:val="22"/>
        </w:rPr>
        <w:t>M5G 2E5</w:t>
      </w:r>
    </w:p>
    <w:p w:rsidR="002830A9" w:rsidRDefault="002830A9" w:rsidP="003123B0">
      <w:pPr>
        <w:pStyle w:val="Heading1"/>
        <w:shd w:val="clear" w:color="auto" w:fill="FFFFFF"/>
        <w:rPr>
          <w:rFonts w:asciiTheme="minorHAnsi" w:hAnsiTheme="minorHAnsi" w:cs="Arial"/>
          <w:sz w:val="22"/>
          <w:szCs w:val="22"/>
        </w:rPr>
      </w:pPr>
    </w:p>
    <w:p w:rsidR="003123B0" w:rsidRPr="003123B0" w:rsidRDefault="003123B0" w:rsidP="003123B0">
      <w:pPr>
        <w:pStyle w:val="Heading1"/>
        <w:shd w:val="clear" w:color="auto" w:fill="FFFFFF"/>
        <w:rPr>
          <w:rFonts w:asciiTheme="minorHAnsi" w:hAnsiTheme="minorHAnsi" w:cs="Arial"/>
          <w:bCs w:val="0"/>
          <w:sz w:val="22"/>
          <w:szCs w:val="22"/>
        </w:rPr>
      </w:pPr>
      <w:r w:rsidRPr="003123B0">
        <w:rPr>
          <w:rFonts w:asciiTheme="minorHAnsi" w:hAnsiTheme="minorHAnsi" w:cs="Arial"/>
          <w:sz w:val="22"/>
          <w:szCs w:val="22"/>
        </w:rPr>
        <w:t xml:space="preserve">Re: </w:t>
      </w:r>
      <w:r w:rsidR="002830A9">
        <w:rPr>
          <w:rFonts w:asciiTheme="minorHAnsi" w:hAnsiTheme="minorHAnsi" w:cs="Arial"/>
          <w:sz w:val="22"/>
          <w:szCs w:val="22"/>
        </w:rPr>
        <w:t>ERO 019-018</w:t>
      </w:r>
      <w:r w:rsidR="009F14CE">
        <w:rPr>
          <w:rFonts w:asciiTheme="minorHAnsi" w:hAnsiTheme="minorHAnsi" w:cs="Arial"/>
          <w:sz w:val="22"/>
          <w:szCs w:val="22"/>
        </w:rPr>
        <w:t>4</w:t>
      </w:r>
    </w:p>
    <w:p w:rsidR="003123B0" w:rsidRPr="003123B0" w:rsidRDefault="003123B0" w:rsidP="003123B0">
      <w:pPr>
        <w:rPr>
          <w:rFonts w:asciiTheme="minorHAnsi" w:hAnsiTheme="minorHAnsi" w:cs="Arial"/>
          <w:sz w:val="22"/>
          <w:szCs w:val="22"/>
        </w:rPr>
      </w:pPr>
    </w:p>
    <w:p w:rsidR="003123B0" w:rsidRPr="003123B0" w:rsidRDefault="003123B0" w:rsidP="003123B0">
      <w:pPr>
        <w:rPr>
          <w:rFonts w:asciiTheme="minorHAnsi" w:hAnsiTheme="minorHAnsi" w:cs="Arial"/>
          <w:sz w:val="22"/>
          <w:szCs w:val="22"/>
        </w:rPr>
      </w:pPr>
      <w:r w:rsidRPr="003123B0">
        <w:rPr>
          <w:rFonts w:asciiTheme="minorHAnsi" w:hAnsiTheme="minorHAnsi" w:cs="Arial"/>
          <w:sz w:val="22"/>
          <w:szCs w:val="22"/>
        </w:rPr>
        <w:t xml:space="preserve">Dear </w:t>
      </w:r>
      <w:r w:rsidR="001E04C7">
        <w:rPr>
          <w:rFonts w:asciiTheme="minorHAnsi" w:hAnsiTheme="minorHAnsi" w:cs="Arial"/>
          <w:sz w:val="22"/>
          <w:szCs w:val="22"/>
        </w:rPr>
        <w:t>Minister</w:t>
      </w:r>
      <w:r w:rsidRPr="003123B0">
        <w:rPr>
          <w:rFonts w:asciiTheme="minorHAnsi" w:hAnsiTheme="minorHAnsi" w:cs="Arial"/>
          <w:sz w:val="22"/>
          <w:szCs w:val="22"/>
        </w:rPr>
        <w:t>:</w:t>
      </w:r>
    </w:p>
    <w:p w:rsidR="003123B0" w:rsidRPr="003123B0" w:rsidRDefault="003123B0" w:rsidP="003123B0">
      <w:pPr>
        <w:rPr>
          <w:rFonts w:asciiTheme="minorHAnsi" w:hAnsiTheme="minorHAnsi" w:cs="Arial"/>
          <w:sz w:val="22"/>
          <w:szCs w:val="22"/>
        </w:rPr>
      </w:pPr>
    </w:p>
    <w:p w:rsidR="003123B0" w:rsidRPr="002830A9" w:rsidRDefault="003123B0" w:rsidP="003123B0">
      <w:pPr>
        <w:rPr>
          <w:rFonts w:asciiTheme="minorHAnsi" w:hAnsiTheme="minorHAnsi" w:cs="Arial"/>
          <w:i/>
          <w:sz w:val="22"/>
          <w:szCs w:val="22"/>
        </w:rPr>
      </w:pPr>
      <w:r w:rsidRPr="003123B0">
        <w:rPr>
          <w:rFonts w:asciiTheme="minorHAnsi" w:hAnsiTheme="minorHAnsi" w:cs="Arial"/>
          <w:sz w:val="22"/>
          <w:szCs w:val="22"/>
        </w:rPr>
        <w:t>Th</w:t>
      </w:r>
      <w:r w:rsidR="001E04C7">
        <w:rPr>
          <w:rFonts w:asciiTheme="minorHAnsi" w:hAnsiTheme="minorHAnsi" w:cs="Arial"/>
          <w:sz w:val="22"/>
          <w:szCs w:val="22"/>
        </w:rPr>
        <w:t>is submission represents the</w:t>
      </w:r>
      <w:r w:rsidRPr="003123B0">
        <w:rPr>
          <w:rFonts w:asciiTheme="minorHAnsi" w:hAnsiTheme="minorHAnsi" w:cs="Arial"/>
          <w:sz w:val="22"/>
          <w:szCs w:val="22"/>
        </w:rPr>
        <w:t xml:space="preserve"> City of Burlington</w:t>
      </w:r>
      <w:r w:rsidR="001E04C7">
        <w:rPr>
          <w:rFonts w:asciiTheme="minorHAnsi" w:hAnsiTheme="minorHAnsi" w:cs="Arial"/>
          <w:sz w:val="22"/>
          <w:szCs w:val="22"/>
        </w:rPr>
        <w:t>’s comments in response the propose</w:t>
      </w:r>
      <w:r w:rsidR="002830A9">
        <w:rPr>
          <w:rFonts w:asciiTheme="minorHAnsi" w:hAnsiTheme="minorHAnsi" w:cs="Arial"/>
          <w:sz w:val="22"/>
          <w:szCs w:val="22"/>
        </w:rPr>
        <w:t xml:space="preserve">d </w:t>
      </w:r>
      <w:r w:rsidR="009F14CE">
        <w:rPr>
          <w:rFonts w:asciiTheme="minorHAnsi" w:hAnsiTheme="minorHAnsi" w:cs="Arial"/>
          <w:sz w:val="22"/>
          <w:szCs w:val="22"/>
        </w:rPr>
        <w:t>changes to O. Reg 82/98 under the Development Charges Act related to Schedule 3 o</w:t>
      </w:r>
      <w:r w:rsidR="002830A9">
        <w:rPr>
          <w:rFonts w:asciiTheme="minorHAnsi" w:hAnsiTheme="minorHAnsi" w:cs="Arial"/>
          <w:sz w:val="22"/>
          <w:szCs w:val="22"/>
        </w:rPr>
        <w:t xml:space="preserve">f </w:t>
      </w:r>
      <w:r w:rsidR="002830A9" w:rsidRPr="002830A9">
        <w:rPr>
          <w:rFonts w:asciiTheme="minorHAnsi" w:hAnsiTheme="minorHAnsi" w:cs="Arial"/>
          <w:i/>
          <w:sz w:val="22"/>
          <w:szCs w:val="22"/>
        </w:rPr>
        <w:t>Bill 108 – the More Homes, More Choice Act, 2019.</w:t>
      </w:r>
      <w:r w:rsidR="001E04C7" w:rsidRPr="002830A9">
        <w:rPr>
          <w:rFonts w:asciiTheme="minorHAnsi" w:hAnsiTheme="minorHAnsi" w:cs="Arial"/>
          <w:i/>
          <w:sz w:val="22"/>
          <w:szCs w:val="22"/>
        </w:rPr>
        <w:t xml:space="preserve"> </w:t>
      </w:r>
      <w:r w:rsidRPr="002830A9">
        <w:rPr>
          <w:rFonts w:asciiTheme="minorHAnsi" w:hAnsiTheme="minorHAnsi" w:cs="Arial"/>
          <w:i/>
          <w:sz w:val="22"/>
          <w:szCs w:val="22"/>
        </w:rPr>
        <w:t xml:space="preserve"> </w:t>
      </w:r>
    </w:p>
    <w:p w:rsidR="002830A9" w:rsidRDefault="002830A9" w:rsidP="002830A9">
      <w:pPr>
        <w:jc w:val="both"/>
      </w:pPr>
    </w:p>
    <w:p w:rsidR="009F14CE" w:rsidRDefault="009F14CE" w:rsidP="009F14CE">
      <w:pPr>
        <w:jc w:val="both"/>
      </w:pPr>
    </w:p>
    <w:p w:rsidR="009F14CE" w:rsidRPr="009F14CE" w:rsidRDefault="009F14CE" w:rsidP="009F14CE">
      <w:pPr>
        <w:jc w:val="both"/>
        <w:rPr>
          <w:rFonts w:asciiTheme="minorHAnsi" w:hAnsiTheme="minorHAnsi"/>
          <w:sz w:val="22"/>
          <w:szCs w:val="22"/>
        </w:rPr>
      </w:pPr>
      <w:r w:rsidRPr="009F14CE">
        <w:rPr>
          <w:rFonts w:asciiTheme="minorHAnsi" w:hAnsiTheme="minorHAnsi"/>
          <w:b/>
          <w:sz w:val="22"/>
          <w:szCs w:val="22"/>
        </w:rPr>
        <w:t>1.</w:t>
      </w:r>
      <w:r w:rsidRPr="009F14CE">
        <w:rPr>
          <w:rFonts w:asciiTheme="minorHAnsi" w:hAnsiTheme="minorHAnsi"/>
          <w:sz w:val="22"/>
          <w:szCs w:val="22"/>
        </w:rPr>
        <w:t xml:space="preserve"> Transition</w:t>
      </w:r>
    </w:p>
    <w:p w:rsidR="009F14CE" w:rsidRPr="009F14CE" w:rsidRDefault="009F14CE" w:rsidP="009F14CE">
      <w:pPr>
        <w:jc w:val="both"/>
        <w:rPr>
          <w:rFonts w:asciiTheme="minorHAnsi" w:hAnsiTheme="minorHAnsi"/>
          <w:sz w:val="22"/>
          <w:szCs w:val="22"/>
        </w:rPr>
      </w:pPr>
      <w:r w:rsidRPr="009F14CE">
        <w:rPr>
          <w:rFonts w:asciiTheme="minorHAnsi" w:hAnsiTheme="minorHAnsi"/>
          <w:sz w:val="22"/>
          <w:szCs w:val="22"/>
        </w:rPr>
        <w:t>The Minister proposes that the specified date for municipalities to transition to community benefits is January 1, 2021.</w:t>
      </w:r>
    </w:p>
    <w:p w:rsidR="009F14CE" w:rsidRPr="009F14CE" w:rsidRDefault="009F14CE" w:rsidP="009F14CE">
      <w:pPr>
        <w:jc w:val="both"/>
        <w:rPr>
          <w:rFonts w:asciiTheme="minorHAnsi" w:hAnsiTheme="minorHAnsi"/>
          <w:sz w:val="22"/>
          <w:szCs w:val="22"/>
        </w:rPr>
      </w:pPr>
    </w:p>
    <w:p w:rsidR="009F14CE" w:rsidRPr="009F14CE" w:rsidRDefault="009F14CE" w:rsidP="009F14CE">
      <w:pPr>
        <w:jc w:val="both"/>
        <w:rPr>
          <w:rFonts w:asciiTheme="minorHAnsi" w:hAnsiTheme="minorHAnsi"/>
          <w:sz w:val="22"/>
          <w:szCs w:val="22"/>
        </w:rPr>
      </w:pPr>
      <w:r w:rsidRPr="009F14CE">
        <w:rPr>
          <w:rFonts w:asciiTheme="minorHAnsi" w:hAnsiTheme="minorHAnsi"/>
          <w:sz w:val="22"/>
          <w:szCs w:val="22"/>
        </w:rPr>
        <w:t>From this date to beyond:</w:t>
      </w:r>
    </w:p>
    <w:p w:rsidR="009F14CE" w:rsidRPr="009F14CE" w:rsidRDefault="009F14CE" w:rsidP="009F14CE">
      <w:pPr>
        <w:jc w:val="both"/>
        <w:rPr>
          <w:rFonts w:asciiTheme="minorHAnsi" w:hAnsiTheme="minorHAnsi"/>
          <w:sz w:val="22"/>
          <w:szCs w:val="22"/>
        </w:rPr>
      </w:pPr>
      <w:r w:rsidRPr="009F14CE">
        <w:rPr>
          <w:rFonts w:asciiTheme="minorHAnsi" w:hAnsiTheme="minorHAnsi"/>
          <w:sz w:val="22"/>
          <w:szCs w:val="22"/>
        </w:rPr>
        <w:t>•Municipalities would generally no longer be able to collect development charges for discounted services</w:t>
      </w:r>
    </w:p>
    <w:p w:rsidR="009F14CE" w:rsidRPr="009F14CE" w:rsidRDefault="009F14CE" w:rsidP="009F14CE">
      <w:pPr>
        <w:jc w:val="both"/>
        <w:rPr>
          <w:rFonts w:asciiTheme="minorHAnsi" w:hAnsiTheme="minorHAnsi"/>
          <w:sz w:val="22"/>
          <w:szCs w:val="22"/>
        </w:rPr>
      </w:pPr>
    </w:p>
    <w:p w:rsidR="009F14CE" w:rsidRPr="009F14CE" w:rsidRDefault="009F14CE" w:rsidP="009F14CE">
      <w:pPr>
        <w:jc w:val="both"/>
        <w:rPr>
          <w:rFonts w:asciiTheme="minorHAnsi" w:hAnsiTheme="minorHAnsi"/>
          <w:sz w:val="22"/>
          <w:szCs w:val="22"/>
        </w:rPr>
      </w:pPr>
    </w:p>
    <w:p w:rsidR="009F14CE" w:rsidRPr="009F14CE" w:rsidRDefault="009F14CE" w:rsidP="009F14CE">
      <w:pPr>
        <w:jc w:val="both"/>
        <w:rPr>
          <w:rFonts w:asciiTheme="minorHAnsi" w:hAnsiTheme="minorHAnsi"/>
          <w:b/>
          <w:sz w:val="22"/>
          <w:szCs w:val="22"/>
        </w:rPr>
      </w:pPr>
      <w:r w:rsidRPr="009F14CE">
        <w:rPr>
          <w:rFonts w:asciiTheme="minorHAnsi" w:hAnsiTheme="minorHAnsi"/>
          <w:b/>
          <w:sz w:val="22"/>
          <w:szCs w:val="22"/>
        </w:rPr>
        <w:t>City of Burlington Comments</w:t>
      </w:r>
    </w:p>
    <w:p w:rsidR="009F14CE" w:rsidRPr="009F14CE" w:rsidRDefault="009F14CE" w:rsidP="009F14CE">
      <w:pPr>
        <w:jc w:val="both"/>
        <w:rPr>
          <w:rFonts w:asciiTheme="minorHAnsi" w:hAnsiTheme="minorHAnsi"/>
          <w:sz w:val="22"/>
          <w:szCs w:val="22"/>
        </w:rPr>
      </w:pPr>
    </w:p>
    <w:p w:rsidR="009F14CE" w:rsidRPr="009F14CE" w:rsidRDefault="009F14CE" w:rsidP="009F14CE">
      <w:pPr>
        <w:jc w:val="both"/>
        <w:rPr>
          <w:rFonts w:asciiTheme="minorHAnsi" w:hAnsiTheme="minorHAnsi"/>
          <w:sz w:val="22"/>
          <w:szCs w:val="22"/>
        </w:rPr>
      </w:pPr>
      <w:r w:rsidRPr="009F14CE">
        <w:rPr>
          <w:rFonts w:asciiTheme="minorHAnsi" w:hAnsiTheme="minorHAnsi"/>
          <w:sz w:val="22"/>
          <w:szCs w:val="22"/>
        </w:rPr>
        <w:t>The transition period for soft services is clearly defined as of January 1, 2021.  It is unclear if this date is applicable to all other DCA provisions of Bill 108 and further clarity is required to determine if DC by law amendments for collections and statutory exemptions can take effect at the same time.</w:t>
      </w:r>
    </w:p>
    <w:p w:rsidR="009F14CE" w:rsidRPr="009F14CE" w:rsidRDefault="009F14CE" w:rsidP="009F14CE">
      <w:pPr>
        <w:jc w:val="both"/>
        <w:rPr>
          <w:rFonts w:asciiTheme="minorHAnsi" w:hAnsiTheme="minorHAnsi"/>
          <w:sz w:val="22"/>
          <w:szCs w:val="22"/>
        </w:rPr>
      </w:pPr>
    </w:p>
    <w:p w:rsidR="009F14CE" w:rsidRPr="009F14CE" w:rsidRDefault="009F14CE" w:rsidP="009F14CE">
      <w:pPr>
        <w:jc w:val="both"/>
        <w:rPr>
          <w:rFonts w:asciiTheme="minorHAnsi" w:hAnsiTheme="minorHAnsi"/>
          <w:sz w:val="22"/>
          <w:szCs w:val="22"/>
        </w:rPr>
      </w:pPr>
      <w:r w:rsidRPr="009F14CE">
        <w:rPr>
          <w:rFonts w:asciiTheme="minorHAnsi" w:hAnsiTheme="minorHAnsi"/>
          <w:sz w:val="22"/>
          <w:szCs w:val="22"/>
        </w:rPr>
        <w:t>DC background study update should not be required to amend the DC by law to exclude soft services and meet new legislative requirements. As well but should not be subject to a background study, with no public meeting should be required and no right to appeal.</w:t>
      </w:r>
    </w:p>
    <w:p w:rsidR="009F14CE" w:rsidRPr="009F14CE" w:rsidRDefault="009F14CE" w:rsidP="009F14CE">
      <w:pPr>
        <w:jc w:val="both"/>
        <w:rPr>
          <w:rFonts w:asciiTheme="minorHAnsi" w:hAnsiTheme="minorHAnsi"/>
          <w:sz w:val="22"/>
          <w:szCs w:val="22"/>
        </w:rPr>
      </w:pPr>
    </w:p>
    <w:p w:rsidR="009F14CE" w:rsidRPr="009F14CE" w:rsidRDefault="009F14CE" w:rsidP="009F14CE">
      <w:pPr>
        <w:jc w:val="both"/>
        <w:rPr>
          <w:rFonts w:asciiTheme="minorHAnsi" w:hAnsiTheme="minorHAnsi"/>
          <w:sz w:val="22"/>
          <w:szCs w:val="22"/>
        </w:rPr>
      </w:pPr>
      <w:r w:rsidRPr="009F14CE">
        <w:rPr>
          <w:rFonts w:asciiTheme="minorHAnsi" w:hAnsiTheme="minorHAnsi"/>
          <w:b/>
          <w:sz w:val="22"/>
          <w:szCs w:val="22"/>
        </w:rPr>
        <w:t>2.</w:t>
      </w:r>
      <w:r w:rsidRPr="009F14CE">
        <w:rPr>
          <w:rFonts w:asciiTheme="minorHAnsi" w:hAnsiTheme="minorHAnsi"/>
          <w:sz w:val="22"/>
          <w:szCs w:val="22"/>
        </w:rPr>
        <w:t xml:space="preserve"> The Minister proposes that the types of developments proposed for development charge deferrals be defined as follows:</w:t>
      </w:r>
    </w:p>
    <w:p w:rsidR="009F14CE" w:rsidRPr="009F14CE" w:rsidRDefault="009F14CE" w:rsidP="009F14CE">
      <w:pPr>
        <w:jc w:val="both"/>
        <w:rPr>
          <w:rFonts w:asciiTheme="minorHAnsi" w:hAnsiTheme="minorHAnsi"/>
          <w:sz w:val="22"/>
          <w:szCs w:val="22"/>
        </w:rPr>
      </w:pPr>
    </w:p>
    <w:p w:rsidR="009F14CE" w:rsidRDefault="009F14CE" w:rsidP="009F14CE">
      <w:pPr>
        <w:jc w:val="both"/>
        <w:rPr>
          <w:rFonts w:asciiTheme="minorHAnsi" w:hAnsiTheme="minorHAnsi"/>
          <w:sz w:val="22"/>
          <w:szCs w:val="22"/>
        </w:rPr>
      </w:pPr>
      <w:r w:rsidRPr="009F14CE">
        <w:rPr>
          <w:rFonts w:asciiTheme="minorHAnsi" w:hAnsiTheme="minorHAnsi"/>
          <w:sz w:val="22"/>
          <w:szCs w:val="22"/>
        </w:rPr>
        <w:t>• “Rental housing development” means construction, erection or placing of one or more buildings or structures for or the making of an addition or alteration to a building or structure for residential purposes with four or more self-contained units that are intended for use as rented residential premises</w:t>
      </w:r>
    </w:p>
    <w:p w:rsidR="009F14CE" w:rsidRPr="009F14CE" w:rsidRDefault="009F14CE" w:rsidP="009F14CE">
      <w:pPr>
        <w:jc w:val="both"/>
        <w:rPr>
          <w:rFonts w:asciiTheme="minorHAnsi" w:hAnsiTheme="minorHAnsi"/>
          <w:sz w:val="22"/>
          <w:szCs w:val="22"/>
        </w:rPr>
      </w:pPr>
    </w:p>
    <w:p w:rsidR="009F14CE" w:rsidRDefault="009F14CE" w:rsidP="009F14CE">
      <w:pPr>
        <w:jc w:val="both"/>
        <w:rPr>
          <w:rFonts w:asciiTheme="minorHAnsi" w:hAnsiTheme="minorHAnsi"/>
          <w:sz w:val="22"/>
          <w:szCs w:val="22"/>
        </w:rPr>
      </w:pPr>
      <w:r w:rsidRPr="009F14CE">
        <w:rPr>
          <w:rFonts w:asciiTheme="minorHAnsi" w:hAnsiTheme="minorHAnsi"/>
          <w:sz w:val="22"/>
          <w:szCs w:val="22"/>
        </w:rPr>
        <w:t>• “Non-profit housing development” means the construction, erection or placing of one or more buildings or structures for or the making of an addition or alteration to a building or structure for residential purposes by a non-profit corporation.</w:t>
      </w:r>
    </w:p>
    <w:p w:rsidR="009F14CE" w:rsidRDefault="009F14CE" w:rsidP="009F14CE">
      <w:pPr>
        <w:jc w:val="both"/>
        <w:rPr>
          <w:rFonts w:asciiTheme="minorHAnsi" w:hAnsiTheme="minorHAnsi"/>
          <w:sz w:val="22"/>
          <w:szCs w:val="22"/>
        </w:rPr>
      </w:pPr>
    </w:p>
    <w:p w:rsidR="003F4153" w:rsidRDefault="003F4153" w:rsidP="009F14CE">
      <w:pPr>
        <w:jc w:val="both"/>
        <w:rPr>
          <w:rFonts w:asciiTheme="minorHAnsi" w:hAnsiTheme="minorHAnsi"/>
          <w:sz w:val="22"/>
          <w:szCs w:val="22"/>
        </w:rPr>
      </w:pPr>
    </w:p>
    <w:p w:rsidR="003F4153" w:rsidRDefault="003F4153" w:rsidP="009F14CE">
      <w:pPr>
        <w:jc w:val="both"/>
        <w:rPr>
          <w:rFonts w:asciiTheme="minorHAnsi" w:hAnsiTheme="minorHAnsi"/>
          <w:sz w:val="22"/>
          <w:szCs w:val="22"/>
        </w:rPr>
      </w:pPr>
    </w:p>
    <w:p w:rsidR="003F4153" w:rsidRDefault="003F4153" w:rsidP="009F14CE">
      <w:pPr>
        <w:jc w:val="both"/>
        <w:rPr>
          <w:rFonts w:asciiTheme="minorHAnsi" w:hAnsiTheme="minorHAnsi"/>
          <w:sz w:val="22"/>
          <w:szCs w:val="22"/>
        </w:rPr>
      </w:pPr>
    </w:p>
    <w:p w:rsidR="009F14CE" w:rsidRDefault="009F14CE" w:rsidP="009F14CE">
      <w:pPr>
        <w:jc w:val="both"/>
        <w:rPr>
          <w:rFonts w:asciiTheme="minorHAnsi" w:hAnsiTheme="minorHAnsi"/>
          <w:sz w:val="22"/>
          <w:szCs w:val="22"/>
        </w:rPr>
      </w:pPr>
      <w:r w:rsidRPr="009F14CE">
        <w:rPr>
          <w:rFonts w:asciiTheme="minorHAnsi" w:hAnsiTheme="minorHAnsi"/>
          <w:sz w:val="22"/>
          <w:szCs w:val="22"/>
        </w:rPr>
        <w:t xml:space="preserve">• “Institutional development” means the construction, erection or placing of one or more buildings or structures for or the making of an addition or alteration to a building or structure for: </w:t>
      </w:r>
    </w:p>
    <w:p w:rsidR="009F14CE" w:rsidRPr="009F14CE" w:rsidRDefault="009F14CE" w:rsidP="003F4153">
      <w:pPr>
        <w:ind w:firstLine="720"/>
        <w:jc w:val="both"/>
        <w:rPr>
          <w:rFonts w:asciiTheme="minorHAnsi" w:hAnsiTheme="minorHAnsi"/>
          <w:sz w:val="22"/>
          <w:szCs w:val="22"/>
        </w:rPr>
      </w:pPr>
      <w:r w:rsidRPr="009F14CE">
        <w:rPr>
          <w:rFonts w:asciiTheme="minorHAnsi" w:hAnsiTheme="minorHAnsi"/>
          <w:sz w:val="22"/>
          <w:szCs w:val="22"/>
        </w:rPr>
        <w:t>•long-term care homes;</w:t>
      </w:r>
    </w:p>
    <w:p w:rsidR="009F14CE" w:rsidRPr="009F14CE" w:rsidRDefault="009F14CE" w:rsidP="003F4153">
      <w:pPr>
        <w:ind w:firstLine="720"/>
        <w:jc w:val="both"/>
        <w:rPr>
          <w:rFonts w:asciiTheme="minorHAnsi" w:hAnsiTheme="minorHAnsi"/>
          <w:sz w:val="22"/>
          <w:szCs w:val="22"/>
        </w:rPr>
      </w:pPr>
      <w:r w:rsidRPr="009F14CE">
        <w:rPr>
          <w:rFonts w:asciiTheme="minorHAnsi" w:hAnsiTheme="minorHAnsi"/>
          <w:sz w:val="22"/>
          <w:szCs w:val="22"/>
        </w:rPr>
        <w:t>•retirement homes;</w:t>
      </w:r>
    </w:p>
    <w:p w:rsidR="009F14CE" w:rsidRPr="009F14CE" w:rsidRDefault="009F14CE" w:rsidP="003F4153">
      <w:pPr>
        <w:ind w:firstLine="720"/>
        <w:jc w:val="both"/>
        <w:rPr>
          <w:rFonts w:asciiTheme="minorHAnsi" w:hAnsiTheme="minorHAnsi"/>
          <w:sz w:val="22"/>
          <w:szCs w:val="22"/>
        </w:rPr>
      </w:pPr>
      <w:r w:rsidRPr="009F14CE">
        <w:rPr>
          <w:rFonts w:asciiTheme="minorHAnsi" w:hAnsiTheme="minorHAnsi"/>
          <w:sz w:val="22"/>
          <w:szCs w:val="22"/>
        </w:rPr>
        <w:t>•universities and colleges;</w:t>
      </w:r>
    </w:p>
    <w:p w:rsidR="009F14CE" w:rsidRPr="009F14CE" w:rsidRDefault="009F14CE" w:rsidP="003F4153">
      <w:pPr>
        <w:ind w:firstLine="720"/>
        <w:jc w:val="both"/>
        <w:rPr>
          <w:rFonts w:asciiTheme="minorHAnsi" w:hAnsiTheme="minorHAnsi"/>
          <w:sz w:val="22"/>
          <w:szCs w:val="22"/>
        </w:rPr>
      </w:pPr>
      <w:r w:rsidRPr="009F14CE">
        <w:rPr>
          <w:rFonts w:asciiTheme="minorHAnsi" w:hAnsiTheme="minorHAnsi"/>
          <w:sz w:val="22"/>
          <w:szCs w:val="22"/>
        </w:rPr>
        <w:t>•memorial homes; clubhouses; or athletic grounds of the Royal Canadian Legion; and</w:t>
      </w:r>
    </w:p>
    <w:p w:rsidR="009F14CE" w:rsidRPr="009F14CE" w:rsidRDefault="009F14CE" w:rsidP="003F4153">
      <w:pPr>
        <w:ind w:firstLine="720"/>
        <w:jc w:val="both"/>
        <w:rPr>
          <w:rFonts w:asciiTheme="minorHAnsi" w:hAnsiTheme="minorHAnsi"/>
          <w:sz w:val="22"/>
          <w:szCs w:val="22"/>
        </w:rPr>
      </w:pPr>
      <w:r w:rsidRPr="009F14CE">
        <w:rPr>
          <w:rFonts w:asciiTheme="minorHAnsi" w:hAnsiTheme="minorHAnsi"/>
          <w:sz w:val="22"/>
          <w:szCs w:val="22"/>
        </w:rPr>
        <w:t>•hospices</w:t>
      </w:r>
    </w:p>
    <w:p w:rsidR="009F14CE" w:rsidRDefault="009F14CE" w:rsidP="009F14CE">
      <w:pPr>
        <w:jc w:val="both"/>
        <w:rPr>
          <w:rFonts w:asciiTheme="minorHAnsi" w:hAnsiTheme="minorHAnsi"/>
          <w:sz w:val="22"/>
          <w:szCs w:val="22"/>
        </w:rPr>
      </w:pPr>
    </w:p>
    <w:p w:rsidR="009F14CE" w:rsidRPr="009F14CE" w:rsidRDefault="009F14CE" w:rsidP="009F14CE">
      <w:pPr>
        <w:jc w:val="both"/>
        <w:rPr>
          <w:rFonts w:asciiTheme="minorHAnsi" w:hAnsiTheme="minorHAnsi"/>
          <w:sz w:val="22"/>
          <w:szCs w:val="22"/>
        </w:rPr>
      </w:pPr>
      <w:r w:rsidRPr="009F14CE">
        <w:rPr>
          <w:rFonts w:asciiTheme="minorHAnsi" w:hAnsiTheme="minorHAnsi"/>
          <w:sz w:val="22"/>
          <w:szCs w:val="22"/>
        </w:rPr>
        <w:t xml:space="preserve">• “Industrial development” means the construction, erection or placing of one or more buildings or structures for or the making of an addition or alteration to a building or structure for: </w:t>
      </w:r>
    </w:p>
    <w:p w:rsidR="009F14CE" w:rsidRPr="009F14CE" w:rsidRDefault="009F14CE" w:rsidP="009F14CE">
      <w:pPr>
        <w:ind w:firstLine="720"/>
        <w:jc w:val="both"/>
        <w:rPr>
          <w:rFonts w:asciiTheme="minorHAnsi" w:hAnsiTheme="minorHAnsi"/>
          <w:sz w:val="22"/>
          <w:szCs w:val="22"/>
        </w:rPr>
      </w:pPr>
      <w:r w:rsidRPr="009F14CE">
        <w:rPr>
          <w:rFonts w:asciiTheme="minorHAnsi" w:hAnsiTheme="minorHAnsi"/>
          <w:sz w:val="22"/>
          <w:szCs w:val="22"/>
        </w:rPr>
        <w:t>•manufacturing, producing or processing anything,</w:t>
      </w:r>
    </w:p>
    <w:p w:rsidR="009F14CE" w:rsidRPr="009F14CE" w:rsidRDefault="009F14CE" w:rsidP="009F14CE">
      <w:pPr>
        <w:ind w:firstLine="720"/>
        <w:jc w:val="both"/>
        <w:rPr>
          <w:rFonts w:asciiTheme="minorHAnsi" w:hAnsiTheme="minorHAnsi"/>
          <w:sz w:val="22"/>
          <w:szCs w:val="22"/>
        </w:rPr>
      </w:pPr>
      <w:r w:rsidRPr="009F14CE">
        <w:rPr>
          <w:rFonts w:asciiTheme="minorHAnsi" w:hAnsiTheme="minorHAnsi"/>
          <w:sz w:val="22"/>
          <w:szCs w:val="22"/>
        </w:rPr>
        <w:t>•research or development in connection with manufacturing, producing or processing anything,</w:t>
      </w:r>
    </w:p>
    <w:p w:rsidR="009F14CE" w:rsidRPr="009F14CE" w:rsidRDefault="009F14CE" w:rsidP="009F14CE">
      <w:pPr>
        <w:ind w:left="720"/>
        <w:jc w:val="both"/>
        <w:rPr>
          <w:rFonts w:asciiTheme="minorHAnsi" w:hAnsiTheme="minorHAnsi"/>
          <w:sz w:val="22"/>
          <w:szCs w:val="22"/>
        </w:rPr>
      </w:pPr>
      <w:r w:rsidRPr="009F14CE">
        <w:rPr>
          <w:rFonts w:asciiTheme="minorHAnsi" w:hAnsiTheme="minorHAnsi"/>
          <w:sz w:val="22"/>
          <w:szCs w:val="22"/>
        </w:rPr>
        <w:t>•storage, by a manufacturer, producer or processor, of anything used or produced in such manufacturing, production or processing if the storage is at the site where the manufacturing, production or processing takes place, or</w:t>
      </w:r>
    </w:p>
    <w:p w:rsidR="009F14CE" w:rsidRPr="009F14CE" w:rsidRDefault="009F14CE" w:rsidP="009F14CE">
      <w:pPr>
        <w:ind w:left="720"/>
        <w:jc w:val="both"/>
        <w:rPr>
          <w:rFonts w:asciiTheme="minorHAnsi" w:hAnsiTheme="minorHAnsi"/>
          <w:sz w:val="22"/>
          <w:szCs w:val="22"/>
        </w:rPr>
      </w:pPr>
      <w:r w:rsidRPr="009F14CE">
        <w:rPr>
          <w:rFonts w:asciiTheme="minorHAnsi" w:hAnsiTheme="minorHAnsi"/>
          <w:sz w:val="22"/>
          <w:szCs w:val="22"/>
        </w:rPr>
        <w:t>•retail sales by a manufacturer, producer or processor of anything produced in manufacturing, production or processing, if the retail sales are at the site where the manufacturing, production or processing takes place.</w:t>
      </w:r>
    </w:p>
    <w:p w:rsidR="009F14CE" w:rsidRPr="009F14CE" w:rsidRDefault="009F14CE" w:rsidP="009F14CE">
      <w:pPr>
        <w:jc w:val="both"/>
        <w:rPr>
          <w:rFonts w:asciiTheme="minorHAnsi" w:hAnsiTheme="minorHAnsi"/>
          <w:sz w:val="22"/>
          <w:szCs w:val="22"/>
        </w:rPr>
      </w:pPr>
    </w:p>
    <w:p w:rsidR="009F14CE" w:rsidRPr="009F14CE" w:rsidRDefault="009F14CE" w:rsidP="009F14CE">
      <w:pPr>
        <w:jc w:val="both"/>
        <w:rPr>
          <w:rFonts w:asciiTheme="minorHAnsi" w:hAnsiTheme="minorHAnsi"/>
          <w:sz w:val="22"/>
          <w:szCs w:val="22"/>
        </w:rPr>
      </w:pPr>
      <w:r w:rsidRPr="009F14CE">
        <w:rPr>
          <w:rFonts w:asciiTheme="minorHAnsi" w:hAnsiTheme="minorHAnsi"/>
          <w:sz w:val="22"/>
          <w:szCs w:val="22"/>
        </w:rPr>
        <w:t xml:space="preserve">• “Commercial development” means the construction, erection or placing of one or more buildings or structures for or the making of an addition or alteration to a building or structure for: </w:t>
      </w:r>
    </w:p>
    <w:p w:rsidR="009F14CE" w:rsidRPr="009F14CE" w:rsidRDefault="009F14CE" w:rsidP="009F14CE">
      <w:pPr>
        <w:ind w:left="720"/>
        <w:jc w:val="both"/>
        <w:rPr>
          <w:rFonts w:asciiTheme="minorHAnsi" w:hAnsiTheme="minorHAnsi"/>
          <w:sz w:val="22"/>
          <w:szCs w:val="22"/>
        </w:rPr>
      </w:pPr>
      <w:r w:rsidRPr="009F14CE">
        <w:rPr>
          <w:rFonts w:asciiTheme="minorHAnsi" w:hAnsiTheme="minorHAnsi"/>
          <w:sz w:val="22"/>
          <w:szCs w:val="22"/>
        </w:rPr>
        <w:t>•office buildings as defined under subsection 11(3) in Ontario Regulation 282/98 under the Assessment Act; and</w:t>
      </w:r>
    </w:p>
    <w:p w:rsidR="009F14CE" w:rsidRPr="009F14CE" w:rsidRDefault="009F14CE" w:rsidP="009F14CE">
      <w:pPr>
        <w:ind w:left="720"/>
        <w:jc w:val="both"/>
        <w:rPr>
          <w:rFonts w:asciiTheme="minorHAnsi" w:hAnsiTheme="minorHAnsi"/>
          <w:sz w:val="22"/>
          <w:szCs w:val="22"/>
        </w:rPr>
      </w:pPr>
      <w:r w:rsidRPr="009F14CE">
        <w:rPr>
          <w:rFonts w:asciiTheme="minorHAnsi" w:hAnsiTheme="minorHAnsi"/>
          <w:sz w:val="22"/>
          <w:szCs w:val="22"/>
        </w:rPr>
        <w:t>•shopping centres as defined under subsection 12(3) in Ontario Regulation 282/98 under the Assessment Act.</w:t>
      </w:r>
    </w:p>
    <w:p w:rsidR="009F14CE" w:rsidRPr="009F14CE" w:rsidRDefault="009F14CE" w:rsidP="009F14CE">
      <w:pPr>
        <w:jc w:val="both"/>
        <w:rPr>
          <w:rFonts w:asciiTheme="minorHAnsi" w:hAnsiTheme="minorHAnsi"/>
          <w:sz w:val="22"/>
          <w:szCs w:val="22"/>
        </w:rPr>
      </w:pPr>
    </w:p>
    <w:p w:rsidR="009F14CE" w:rsidRPr="009F14CE" w:rsidRDefault="009F14CE" w:rsidP="009F14CE">
      <w:pPr>
        <w:jc w:val="both"/>
        <w:rPr>
          <w:rFonts w:asciiTheme="minorHAnsi" w:hAnsiTheme="minorHAnsi"/>
          <w:sz w:val="22"/>
          <w:szCs w:val="22"/>
        </w:rPr>
      </w:pPr>
    </w:p>
    <w:p w:rsidR="009F14CE" w:rsidRPr="009F14CE" w:rsidRDefault="009F14CE" w:rsidP="009F14CE">
      <w:pPr>
        <w:jc w:val="both"/>
        <w:rPr>
          <w:rFonts w:asciiTheme="minorHAnsi" w:hAnsiTheme="minorHAnsi"/>
          <w:b/>
          <w:sz w:val="22"/>
          <w:szCs w:val="22"/>
        </w:rPr>
      </w:pPr>
      <w:r w:rsidRPr="009F14CE">
        <w:rPr>
          <w:rFonts w:asciiTheme="minorHAnsi" w:hAnsiTheme="minorHAnsi"/>
          <w:b/>
          <w:sz w:val="22"/>
          <w:szCs w:val="22"/>
        </w:rPr>
        <w:t>City of Burlington Comments</w:t>
      </w:r>
    </w:p>
    <w:p w:rsidR="009F14CE" w:rsidRPr="009F14CE" w:rsidRDefault="009F14CE" w:rsidP="009F14CE">
      <w:pPr>
        <w:jc w:val="both"/>
        <w:rPr>
          <w:rFonts w:asciiTheme="minorHAnsi" w:hAnsiTheme="minorHAnsi"/>
          <w:sz w:val="22"/>
          <w:szCs w:val="22"/>
        </w:rPr>
      </w:pPr>
    </w:p>
    <w:p w:rsidR="009F14CE" w:rsidRPr="009F14CE" w:rsidRDefault="009F14CE" w:rsidP="009F14CE">
      <w:pPr>
        <w:jc w:val="both"/>
        <w:rPr>
          <w:rFonts w:asciiTheme="minorHAnsi" w:hAnsiTheme="minorHAnsi"/>
          <w:sz w:val="22"/>
          <w:szCs w:val="22"/>
        </w:rPr>
      </w:pPr>
      <w:r w:rsidRPr="009F14CE">
        <w:rPr>
          <w:rFonts w:asciiTheme="minorHAnsi" w:hAnsiTheme="minorHAnsi"/>
          <w:sz w:val="22"/>
          <w:szCs w:val="22"/>
        </w:rPr>
        <w:t>Clarification is required regarding whether there will be provincial support to a municipality that is required to undertake significant infrastructure upgrades at the time of development approval of a development of the defined types, for which development charges may not be collected for several years.</w:t>
      </w:r>
    </w:p>
    <w:p w:rsidR="009F14CE" w:rsidRPr="009F14CE" w:rsidRDefault="009F14CE" w:rsidP="009F14CE">
      <w:pPr>
        <w:jc w:val="both"/>
        <w:rPr>
          <w:rFonts w:asciiTheme="minorHAnsi" w:hAnsiTheme="minorHAnsi"/>
          <w:sz w:val="22"/>
          <w:szCs w:val="22"/>
        </w:rPr>
      </w:pPr>
    </w:p>
    <w:p w:rsidR="009F14CE" w:rsidRPr="009F14CE" w:rsidRDefault="009F14CE" w:rsidP="009F14CE">
      <w:pPr>
        <w:jc w:val="both"/>
        <w:rPr>
          <w:rFonts w:asciiTheme="minorHAnsi" w:hAnsiTheme="minorHAnsi"/>
          <w:sz w:val="22"/>
          <w:szCs w:val="22"/>
        </w:rPr>
      </w:pPr>
      <w:r w:rsidRPr="009F14CE">
        <w:rPr>
          <w:rFonts w:asciiTheme="minorHAnsi" w:hAnsiTheme="minorHAnsi"/>
          <w:sz w:val="22"/>
          <w:szCs w:val="22"/>
        </w:rPr>
        <w:t xml:space="preserve">The Bill proposes that the deferral of DC’s over a term of 5- or 20-years dependant on the type of development.  The likelihood of the landowner changing during the deferral term is high; therefore, an instrument for the municipality to track the changes in ownership to ensure continued payment is required.  Furthermore, there is the possibility for a change in use during the payment term that will have an impact. In two-tier municipalities the city, region and education should be treating these situations the same to ensure consistency. The province should provide detail on how this will be ensured. </w:t>
      </w:r>
    </w:p>
    <w:p w:rsidR="009F14CE" w:rsidRPr="009F14CE" w:rsidRDefault="009F14CE" w:rsidP="009F14CE">
      <w:pPr>
        <w:jc w:val="both"/>
        <w:rPr>
          <w:rFonts w:asciiTheme="minorHAnsi" w:hAnsiTheme="minorHAnsi"/>
          <w:sz w:val="22"/>
          <w:szCs w:val="22"/>
        </w:rPr>
      </w:pPr>
    </w:p>
    <w:p w:rsidR="009F14CE" w:rsidRDefault="009F14CE" w:rsidP="009F14CE">
      <w:pPr>
        <w:jc w:val="both"/>
        <w:rPr>
          <w:rFonts w:asciiTheme="minorHAnsi" w:hAnsiTheme="minorHAnsi"/>
          <w:sz w:val="22"/>
          <w:szCs w:val="22"/>
        </w:rPr>
      </w:pPr>
    </w:p>
    <w:p w:rsidR="009F14CE" w:rsidRDefault="009F14CE" w:rsidP="009F14CE">
      <w:pPr>
        <w:jc w:val="both"/>
        <w:rPr>
          <w:rFonts w:asciiTheme="minorHAnsi" w:hAnsiTheme="minorHAnsi"/>
          <w:sz w:val="22"/>
          <w:szCs w:val="22"/>
        </w:rPr>
      </w:pPr>
    </w:p>
    <w:p w:rsidR="009F14CE" w:rsidRDefault="009F14CE" w:rsidP="009F14CE">
      <w:pPr>
        <w:jc w:val="both"/>
        <w:rPr>
          <w:rFonts w:asciiTheme="minorHAnsi" w:hAnsiTheme="minorHAnsi"/>
          <w:sz w:val="22"/>
          <w:szCs w:val="22"/>
        </w:rPr>
      </w:pPr>
    </w:p>
    <w:p w:rsidR="009F14CE" w:rsidRDefault="009F14CE" w:rsidP="009F14CE">
      <w:pPr>
        <w:jc w:val="both"/>
        <w:rPr>
          <w:rFonts w:asciiTheme="minorHAnsi" w:hAnsiTheme="minorHAnsi"/>
          <w:sz w:val="22"/>
          <w:szCs w:val="22"/>
        </w:rPr>
      </w:pPr>
    </w:p>
    <w:p w:rsidR="009F14CE" w:rsidRDefault="009F14CE" w:rsidP="009F14CE">
      <w:pPr>
        <w:jc w:val="both"/>
        <w:rPr>
          <w:rFonts w:asciiTheme="minorHAnsi" w:hAnsiTheme="minorHAnsi"/>
          <w:sz w:val="22"/>
          <w:szCs w:val="22"/>
        </w:rPr>
      </w:pPr>
    </w:p>
    <w:p w:rsidR="00C2049C" w:rsidRDefault="00C2049C" w:rsidP="009F14CE">
      <w:pPr>
        <w:jc w:val="both"/>
        <w:rPr>
          <w:rFonts w:asciiTheme="minorHAnsi" w:hAnsiTheme="minorHAnsi"/>
          <w:sz w:val="22"/>
          <w:szCs w:val="22"/>
        </w:rPr>
      </w:pPr>
    </w:p>
    <w:p w:rsidR="00C2049C" w:rsidRDefault="00C2049C" w:rsidP="009F14CE">
      <w:pPr>
        <w:jc w:val="both"/>
        <w:rPr>
          <w:rFonts w:asciiTheme="minorHAnsi" w:hAnsiTheme="minorHAnsi"/>
          <w:sz w:val="22"/>
          <w:szCs w:val="22"/>
        </w:rPr>
      </w:pPr>
    </w:p>
    <w:p w:rsidR="00C2049C" w:rsidRDefault="00C2049C" w:rsidP="009F14CE">
      <w:pPr>
        <w:jc w:val="both"/>
        <w:rPr>
          <w:rFonts w:asciiTheme="minorHAnsi" w:hAnsiTheme="minorHAnsi"/>
          <w:sz w:val="22"/>
          <w:szCs w:val="22"/>
        </w:rPr>
      </w:pPr>
    </w:p>
    <w:p w:rsidR="00C2049C" w:rsidRDefault="00C2049C" w:rsidP="009F14CE">
      <w:pPr>
        <w:jc w:val="both"/>
        <w:rPr>
          <w:rFonts w:asciiTheme="minorHAnsi" w:hAnsiTheme="minorHAnsi"/>
          <w:sz w:val="22"/>
          <w:szCs w:val="22"/>
        </w:rPr>
      </w:pPr>
    </w:p>
    <w:p w:rsidR="00C2049C" w:rsidRDefault="00C2049C" w:rsidP="009F14CE">
      <w:pPr>
        <w:jc w:val="both"/>
        <w:rPr>
          <w:rFonts w:asciiTheme="minorHAnsi" w:hAnsiTheme="minorHAnsi"/>
          <w:sz w:val="22"/>
          <w:szCs w:val="22"/>
        </w:rPr>
      </w:pPr>
    </w:p>
    <w:p w:rsidR="00C2049C" w:rsidRDefault="00C2049C" w:rsidP="009F14CE">
      <w:pPr>
        <w:jc w:val="both"/>
        <w:rPr>
          <w:rFonts w:asciiTheme="minorHAnsi" w:hAnsiTheme="minorHAnsi"/>
          <w:sz w:val="22"/>
          <w:szCs w:val="22"/>
        </w:rPr>
      </w:pPr>
    </w:p>
    <w:p w:rsidR="009F14CE" w:rsidRPr="009F14CE" w:rsidRDefault="009F14CE" w:rsidP="009F14CE">
      <w:pPr>
        <w:jc w:val="both"/>
        <w:rPr>
          <w:rFonts w:asciiTheme="minorHAnsi" w:hAnsiTheme="minorHAnsi"/>
          <w:sz w:val="22"/>
          <w:szCs w:val="22"/>
        </w:rPr>
      </w:pPr>
      <w:r w:rsidRPr="009F14CE">
        <w:rPr>
          <w:rFonts w:asciiTheme="minorHAnsi" w:hAnsiTheme="minorHAnsi"/>
          <w:sz w:val="22"/>
          <w:szCs w:val="22"/>
        </w:rPr>
        <w:t>The province should clarify the definitions on the types of development (rental, non-profit, industrial, and commercial development).</w:t>
      </w:r>
    </w:p>
    <w:p w:rsidR="009F14CE" w:rsidRPr="009F14CE" w:rsidRDefault="009F14CE" w:rsidP="009F14CE">
      <w:pPr>
        <w:jc w:val="both"/>
        <w:rPr>
          <w:rFonts w:asciiTheme="minorHAnsi" w:hAnsiTheme="minorHAnsi"/>
          <w:sz w:val="22"/>
          <w:szCs w:val="22"/>
        </w:rPr>
      </w:pPr>
    </w:p>
    <w:p w:rsidR="009F14CE" w:rsidRPr="009F14CE" w:rsidRDefault="009F14CE" w:rsidP="009F14CE">
      <w:pPr>
        <w:jc w:val="both"/>
        <w:rPr>
          <w:rFonts w:asciiTheme="minorHAnsi" w:hAnsiTheme="minorHAnsi"/>
          <w:sz w:val="22"/>
          <w:szCs w:val="22"/>
        </w:rPr>
      </w:pPr>
      <w:r w:rsidRPr="009F14CE">
        <w:rPr>
          <w:rFonts w:asciiTheme="minorHAnsi" w:hAnsiTheme="minorHAnsi"/>
          <w:sz w:val="22"/>
          <w:szCs w:val="22"/>
        </w:rPr>
        <w:t>The City of Burlington operates in a two-tier structure and administers the charge for education and Halton Region. There should be consistency on collection, default terms, interest rates, securities etc.</w:t>
      </w:r>
    </w:p>
    <w:p w:rsidR="009F14CE" w:rsidRPr="009F14CE" w:rsidRDefault="009F14CE" w:rsidP="009F14CE">
      <w:pPr>
        <w:jc w:val="both"/>
        <w:rPr>
          <w:rFonts w:asciiTheme="minorHAnsi" w:hAnsiTheme="minorHAnsi"/>
          <w:sz w:val="22"/>
          <w:szCs w:val="22"/>
        </w:rPr>
      </w:pPr>
    </w:p>
    <w:p w:rsidR="009F14CE" w:rsidRPr="009F14CE" w:rsidRDefault="009F14CE" w:rsidP="009F14CE">
      <w:pPr>
        <w:jc w:val="both"/>
        <w:rPr>
          <w:rFonts w:asciiTheme="minorHAnsi" w:hAnsiTheme="minorHAnsi"/>
          <w:sz w:val="22"/>
          <w:szCs w:val="22"/>
        </w:rPr>
      </w:pPr>
      <w:r w:rsidRPr="009F14CE">
        <w:rPr>
          <w:rFonts w:asciiTheme="minorHAnsi" w:hAnsiTheme="minorHAnsi"/>
          <w:sz w:val="22"/>
          <w:szCs w:val="22"/>
        </w:rPr>
        <w:t>Rental &amp; Non-Profit Housing:  mechanisms should be put in place to ensure that the development stays as originally intended over the payment term.  The city currently does not have any mechanisms to impose such requirements. The province should clearly define what constitutes a non-profit.</w:t>
      </w:r>
    </w:p>
    <w:p w:rsidR="009F14CE" w:rsidRPr="009F14CE" w:rsidRDefault="009F14CE" w:rsidP="009F14CE">
      <w:pPr>
        <w:jc w:val="both"/>
        <w:rPr>
          <w:rFonts w:asciiTheme="minorHAnsi" w:hAnsiTheme="minorHAnsi"/>
          <w:sz w:val="22"/>
          <w:szCs w:val="22"/>
        </w:rPr>
      </w:pPr>
    </w:p>
    <w:p w:rsidR="009F14CE" w:rsidRPr="009F14CE" w:rsidRDefault="009F14CE" w:rsidP="009F14CE">
      <w:pPr>
        <w:jc w:val="both"/>
        <w:rPr>
          <w:rFonts w:asciiTheme="minorHAnsi" w:hAnsiTheme="minorHAnsi"/>
          <w:sz w:val="22"/>
          <w:szCs w:val="22"/>
        </w:rPr>
      </w:pPr>
      <w:r w:rsidRPr="009F14CE">
        <w:rPr>
          <w:rFonts w:asciiTheme="minorHAnsi" w:hAnsiTheme="minorHAnsi"/>
          <w:sz w:val="22"/>
          <w:szCs w:val="22"/>
        </w:rPr>
        <w:t xml:space="preserve">Institutional Development:  The province should clearly define what constitutes an institutional development.  Long term care and retirement homes can be both non-profit or private (profit) developments, clarity should be provided to determine if the deferral is extended to both. </w:t>
      </w:r>
    </w:p>
    <w:p w:rsidR="009F14CE" w:rsidRPr="009F14CE" w:rsidRDefault="009F14CE" w:rsidP="009F14CE">
      <w:pPr>
        <w:jc w:val="both"/>
        <w:rPr>
          <w:rFonts w:asciiTheme="minorHAnsi" w:hAnsiTheme="minorHAnsi"/>
          <w:sz w:val="22"/>
          <w:szCs w:val="22"/>
        </w:rPr>
      </w:pPr>
    </w:p>
    <w:p w:rsidR="009F14CE" w:rsidRPr="009F14CE" w:rsidRDefault="009F14CE" w:rsidP="009F14CE">
      <w:pPr>
        <w:jc w:val="both"/>
        <w:rPr>
          <w:rFonts w:asciiTheme="minorHAnsi" w:hAnsiTheme="minorHAnsi"/>
          <w:sz w:val="22"/>
          <w:szCs w:val="22"/>
        </w:rPr>
      </w:pPr>
      <w:r w:rsidRPr="009F14CE">
        <w:rPr>
          <w:rFonts w:asciiTheme="minorHAnsi" w:hAnsiTheme="minorHAnsi"/>
          <w:sz w:val="22"/>
          <w:szCs w:val="22"/>
        </w:rPr>
        <w:t>In the case of universities and colleges does the exemption only relate to academic space?  Housing space should not be exempt as it relates to the institution. Clarification from the province is required.</w:t>
      </w:r>
    </w:p>
    <w:p w:rsidR="009F14CE" w:rsidRPr="009F14CE" w:rsidRDefault="009F14CE" w:rsidP="009F14CE">
      <w:pPr>
        <w:jc w:val="both"/>
        <w:rPr>
          <w:rFonts w:asciiTheme="minorHAnsi" w:hAnsiTheme="minorHAnsi"/>
          <w:sz w:val="22"/>
          <w:szCs w:val="22"/>
        </w:rPr>
      </w:pPr>
    </w:p>
    <w:p w:rsidR="009F14CE" w:rsidRPr="009F14CE" w:rsidRDefault="009F14CE" w:rsidP="009F14CE">
      <w:pPr>
        <w:jc w:val="both"/>
        <w:rPr>
          <w:rFonts w:asciiTheme="minorHAnsi" w:hAnsiTheme="minorHAnsi"/>
          <w:sz w:val="22"/>
          <w:szCs w:val="22"/>
        </w:rPr>
      </w:pPr>
      <w:r w:rsidRPr="009F14CE">
        <w:rPr>
          <w:rFonts w:asciiTheme="minorHAnsi" w:hAnsiTheme="minorHAnsi"/>
          <w:sz w:val="22"/>
          <w:szCs w:val="22"/>
        </w:rPr>
        <w:t>Commercial Development:  Based on the regulation the deferral is only applicable to certain types of commercial development, need confirmation that all other types of commercial development will continue to be charged at time of building permit and deferral is not applicable. Clearly define commercial development.</w:t>
      </w:r>
    </w:p>
    <w:p w:rsidR="009F14CE" w:rsidRPr="009F14CE" w:rsidRDefault="009F14CE" w:rsidP="009F14CE">
      <w:pPr>
        <w:jc w:val="both"/>
        <w:rPr>
          <w:rFonts w:asciiTheme="minorHAnsi" w:hAnsiTheme="minorHAnsi"/>
          <w:sz w:val="22"/>
          <w:szCs w:val="22"/>
        </w:rPr>
      </w:pPr>
    </w:p>
    <w:p w:rsidR="009F14CE" w:rsidRPr="009F14CE" w:rsidRDefault="009F14CE" w:rsidP="009F14CE">
      <w:pPr>
        <w:jc w:val="both"/>
        <w:rPr>
          <w:rFonts w:asciiTheme="minorHAnsi" w:hAnsiTheme="minorHAnsi"/>
          <w:sz w:val="22"/>
          <w:szCs w:val="22"/>
        </w:rPr>
      </w:pPr>
    </w:p>
    <w:p w:rsidR="009F14CE" w:rsidRPr="009F14CE" w:rsidRDefault="009F14CE" w:rsidP="009F14CE">
      <w:pPr>
        <w:jc w:val="both"/>
        <w:rPr>
          <w:rFonts w:asciiTheme="minorHAnsi" w:hAnsiTheme="minorHAnsi"/>
          <w:sz w:val="22"/>
          <w:szCs w:val="22"/>
        </w:rPr>
      </w:pPr>
      <w:r w:rsidRPr="009F14CE">
        <w:rPr>
          <w:rFonts w:asciiTheme="minorHAnsi" w:hAnsiTheme="minorHAnsi"/>
          <w:b/>
          <w:sz w:val="22"/>
          <w:szCs w:val="22"/>
        </w:rPr>
        <w:t>3.</w:t>
      </w:r>
      <w:r w:rsidRPr="009F14CE">
        <w:rPr>
          <w:rFonts w:asciiTheme="minorHAnsi" w:hAnsiTheme="minorHAnsi"/>
          <w:sz w:val="22"/>
          <w:szCs w:val="22"/>
        </w:rPr>
        <w:t xml:space="preserve"> In order to encourage development to move to the building permit stage so that housing can get to market faster and provide greater certainty of costs, the Minister is proposing that the development charge would be frozen until two years from the date the site plan application is approved, or in the absence of the site plan application, two years from the date the zoning application was approved.</w:t>
      </w:r>
    </w:p>
    <w:p w:rsidR="009F14CE" w:rsidRPr="009F14CE" w:rsidRDefault="009F14CE" w:rsidP="009F14CE">
      <w:pPr>
        <w:jc w:val="both"/>
        <w:rPr>
          <w:rFonts w:asciiTheme="minorHAnsi" w:hAnsiTheme="minorHAnsi"/>
          <w:sz w:val="22"/>
          <w:szCs w:val="22"/>
        </w:rPr>
      </w:pPr>
    </w:p>
    <w:p w:rsidR="009F14CE" w:rsidRPr="009F14CE" w:rsidRDefault="009F14CE" w:rsidP="009F14CE">
      <w:pPr>
        <w:jc w:val="both"/>
        <w:rPr>
          <w:rFonts w:asciiTheme="minorHAnsi" w:hAnsiTheme="minorHAnsi"/>
          <w:sz w:val="22"/>
          <w:szCs w:val="22"/>
        </w:rPr>
      </w:pPr>
    </w:p>
    <w:p w:rsidR="009F14CE" w:rsidRPr="009F14CE" w:rsidRDefault="009F14CE" w:rsidP="009F14CE">
      <w:pPr>
        <w:jc w:val="both"/>
        <w:rPr>
          <w:rFonts w:asciiTheme="minorHAnsi" w:hAnsiTheme="minorHAnsi"/>
          <w:b/>
          <w:sz w:val="22"/>
          <w:szCs w:val="22"/>
        </w:rPr>
      </w:pPr>
      <w:r w:rsidRPr="009F14CE">
        <w:rPr>
          <w:rFonts w:asciiTheme="minorHAnsi" w:hAnsiTheme="minorHAnsi"/>
          <w:b/>
          <w:sz w:val="22"/>
          <w:szCs w:val="22"/>
        </w:rPr>
        <w:t>City of Burlington Comments</w:t>
      </w:r>
    </w:p>
    <w:p w:rsidR="009F14CE" w:rsidRPr="009F14CE" w:rsidRDefault="009F14CE" w:rsidP="009F14CE">
      <w:pPr>
        <w:jc w:val="both"/>
        <w:rPr>
          <w:rFonts w:asciiTheme="minorHAnsi" w:hAnsiTheme="minorHAnsi"/>
          <w:sz w:val="22"/>
          <w:szCs w:val="22"/>
        </w:rPr>
      </w:pPr>
    </w:p>
    <w:p w:rsidR="009F14CE" w:rsidRPr="009F14CE" w:rsidRDefault="009F14CE" w:rsidP="009F14CE">
      <w:pPr>
        <w:jc w:val="both"/>
        <w:rPr>
          <w:rFonts w:asciiTheme="minorHAnsi" w:hAnsiTheme="minorHAnsi"/>
          <w:sz w:val="22"/>
          <w:szCs w:val="22"/>
        </w:rPr>
      </w:pPr>
      <w:r w:rsidRPr="009F14CE">
        <w:rPr>
          <w:rFonts w:asciiTheme="minorHAnsi" w:hAnsiTheme="minorHAnsi"/>
          <w:sz w:val="22"/>
          <w:szCs w:val="22"/>
        </w:rPr>
        <w:t xml:space="preserve">After the two-year period has passed, there should be no further opportunity for another two-year period on the proposed development. The DC should be re-calculated at building permit with the rate in effect at that time. </w:t>
      </w:r>
    </w:p>
    <w:p w:rsidR="009F14CE" w:rsidRPr="009F14CE" w:rsidRDefault="009F14CE" w:rsidP="009F14CE">
      <w:pPr>
        <w:jc w:val="both"/>
        <w:rPr>
          <w:rFonts w:asciiTheme="minorHAnsi" w:hAnsiTheme="minorHAnsi"/>
          <w:sz w:val="22"/>
          <w:szCs w:val="22"/>
        </w:rPr>
      </w:pPr>
    </w:p>
    <w:p w:rsidR="009F14CE" w:rsidRPr="009F14CE" w:rsidRDefault="009F14CE" w:rsidP="009F14CE">
      <w:pPr>
        <w:jc w:val="both"/>
        <w:rPr>
          <w:rFonts w:asciiTheme="minorHAnsi" w:hAnsiTheme="minorHAnsi"/>
          <w:sz w:val="22"/>
          <w:szCs w:val="22"/>
        </w:rPr>
      </w:pPr>
    </w:p>
    <w:p w:rsidR="009F14CE" w:rsidRPr="009F14CE" w:rsidRDefault="009F14CE" w:rsidP="009F14CE">
      <w:pPr>
        <w:jc w:val="both"/>
        <w:rPr>
          <w:rFonts w:asciiTheme="minorHAnsi" w:hAnsiTheme="minorHAnsi"/>
          <w:sz w:val="22"/>
          <w:szCs w:val="22"/>
        </w:rPr>
      </w:pPr>
      <w:r w:rsidRPr="009F14CE">
        <w:rPr>
          <w:rFonts w:asciiTheme="minorHAnsi" w:hAnsiTheme="minorHAnsi"/>
          <w:b/>
          <w:sz w:val="22"/>
          <w:szCs w:val="22"/>
        </w:rPr>
        <w:t>4.</w:t>
      </w:r>
      <w:r w:rsidRPr="009F14CE">
        <w:rPr>
          <w:rFonts w:asciiTheme="minorHAnsi" w:hAnsiTheme="minorHAnsi"/>
          <w:sz w:val="22"/>
          <w:szCs w:val="22"/>
        </w:rPr>
        <w:t xml:space="preserve"> The Minister is not proposing to prescribe a maximum interest rate that may be charged on development charge amounts that are deferred or on development charges that are frozen.</w:t>
      </w:r>
    </w:p>
    <w:p w:rsidR="009F14CE" w:rsidRPr="009F14CE" w:rsidRDefault="009F14CE" w:rsidP="009F14CE">
      <w:pPr>
        <w:jc w:val="both"/>
        <w:rPr>
          <w:rFonts w:asciiTheme="minorHAnsi" w:hAnsiTheme="minorHAnsi"/>
          <w:sz w:val="22"/>
          <w:szCs w:val="22"/>
        </w:rPr>
      </w:pPr>
    </w:p>
    <w:p w:rsidR="009F14CE" w:rsidRPr="009F14CE" w:rsidRDefault="009F14CE" w:rsidP="009F14CE">
      <w:pPr>
        <w:jc w:val="both"/>
        <w:rPr>
          <w:rFonts w:asciiTheme="minorHAnsi" w:hAnsiTheme="minorHAnsi"/>
          <w:sz w:val="22"/>
          <w:szCs w:val="22"/>
        </w:rPr>
      </w:pPr>
    </w:p>
    <w:p w:rsidR="009F14CE" w:rsidRPr="009F14CE" w:rsidRDefault="009F14CE" w:rsidP="009F14CE">
      <w:pPr>
        <w:jc w:val="both"/>
        <w:rPr>
          <w:rFonts w:asciiTheme="minorHAnsi" w:hAnsiTheme="minorHAnsi"/>
          <w:b/>
          <w:sz w:val="22"/>
          <w:szCs w:val="22"/>
        </w:rPr>
      </w:pPr>
      <w:r w:rsidRPr="009F14CE">
        <w:rPr>
          <w:rFonts w:asciiTheme="minorHAnsi" w:hAnsiTheme="minorHAnsi"/>
          <w:b/>
          <w:sz w:val="22"/>
          <w:szCs w:val="22"/>
        </w:rPr>
        <w:t>City of Burlington Comments</w:t>
      </w:r>
    </w:p>
    <w:p w:rsidR="009F14CE" w:rsidRPr="009F14CE" w:rsidRDefault="009F14CE" w:rsidP="009F14CE">
      <w:pPr>
        <w:jc w:val="both"/>
        <w:rPr>
          <w:rFonts w:asciiTheme="minorHAnsi" w:hAnsiTheme="minorHAnsi"/>
          <w:sz w:val="22"/>
          <w:szCs w:val="22"/>
        </w:rPr>
      </w:pPr>
    </w:p>
    <w:p w:rsidR="009F14CE" w:rsidRPr="009F14CE" w:rsidRDefault="009F14CE" w:rsidP="009F14CE">
      <w:pPr>
        <w:jc w:val="both"/>
        <w:rPr>
          <w:rFonts w:asciiTheme="minorHAnsi" w:hAnsiTheme="minorHAnsi"/>
          <w:sz w:val="22"/>
          <w:szCs w:val="22"/>
        </w:rPr>
      </w:pPr>
      <w:r w:rsidRPr="009F14CE">
        <w:rPr>
          <w:rFonts w:asciiTheme="minorHAnsi" w:hAnsiTheme="minorHAnsi"/>
          <w:sz w:val="22"/>
          <w:szCs w:val="22"/>
        </w:rPr>
        <w:t xml:space="preserve">The city supports no prescribed maximum interest rate. However, consistency between the City of Burlington, Halton Region and education, needs to be established.  </w:t>
      </w:r>
    </w:p>
    <w:p w:rsidR="009F14CE" w:rsidRPr="009F14CE" w:rsidRDefault="009F14CE" w:rsidP="009F14CE">
      <w:pPr>
        <w:jc w:val="both"/>
        <w:rPr>
          <w:rFonts w:asciiTheme="minorHAnsi" w:hAnsiTheme="minorHAnsi"/>
          <w:sz w:val="22"/>
          <w:szCs w:val="22"/>
        </w:rPr>
      </w:pPr>
    </w:p>
    <w:p w:rsidR="00C2049C" w:rsidRDefault="00C2049C" w:rsidP="009F14CE">
      <w:pPr>
        <w:jc w:val="both"/>
        <w:rPr>
          <w:rFonts w:asciiTheme="minorHAnsi" w:hAnsiTheme="minorHAnsi"/>
          <w:b/>
          <w:sz w:val="22"/>
          <w:szCs w:val="22"/>
        </w:rPr>
      </w:pPr>
    </w:p>
    <w:p w:rsidR="00C2049C" w:rsidRDefault="00C2049C" w:rsidP="009F14CE">
      <w:pPr>
        <w:jc w:val="both"/>
        <w:rPr>
          <w:rFonts w:asciiTheme="minorHAnsi" w:hAnsiTheme="minorHAnsi"/>
          <w:b/>
          <w:sz w:val="22"/>
          <w:szCs w:val="22"/>
        </w:rPr>
      </w:pPr>
    </w:p>
    <w:p w:rsidR="00C2049C" w:rsidRDefault="00C2049C" w:rsidP="009F14CE">
      <w:pPr>
        <w:jc w:val="both"/>
        <w:rPr>
          <w:rFonts w:asciiTheme="minorHAnsi" w:hAnsiTheme="minorHAnsi"/>
          <w:b/>
          <w:sz w:val="22"/>
          <w:szCs w:val="22"/>
        </w:rPr>
      </w:pPr>
    </w:p>
    <w:p w:rsidR="00C2049C" w:rsidRDefault="00C2049C" w:rsidP="009F14CE">
      <w:pPr>
        <w:jc w:val="both"/>
        <w:rPr>
          <w:rFonts w:asciiTheme="minorHAnsi" w:hAnsiTheme="minorHAnsi"/>
          <w:b/>
          <w:sz w:val="22"/>
          <w:szCs w:val="22"/>
        </w:rPr>
      </w:pPr>
    </w:p>
    <w:p w:rsidR="00C2049C" w:rsidRDefault="00C2049C" w:rsidP="009F14CE">
      <w:pPr>
        <w:jc w:val="both"/>
        <w:rPr>
          <w:rFonts w:asciiTheme="minorHAnsi" w:hAnsiTheme="minorHAnsi"/>
          <w:b/>
          <w:sz w:val="22"/>
          <w:szCs w:val="22"/>
        </w:rPr>
      </w:pPr>
    </w:p>
    <w:p w:rsidR="00C2049C" w:rsidRDefault="00C2049C" w:rsidP="009F14CE">
      <w:pPr>
        <w:jc w:val="both"/>
        <w:rPr>
          <w:rFonts w:asciiTheme="minorHAnsi" w:hAnsiTheme="minorHAnsi"/>
          <w:b/>
          <w:sz w:val="22"/>
          <w:szCs w:val="22"/>
        </w:rPr>
      </w:pPr>
    </w:p>
    <w:p w:rsidR="009F14CE" w:rsidRDefault="009F14CE" w:rsidP="009F14CE">
      <w:pPr>
        <w:jc w:val="both"/>
        <w:rPr>
          <w:rFonts w:asciiTheme="minorHAnsi" w:hAnsiTheme="minorHAnsi"/>
          <w:sz w:val="22"/>
          <w:szCs w:val="22"/>
        </w:rPr>
      </w:pPr>
      <w:r w:rsidRPr="009F14CE">
        <w:rPr>
          <w:rFonts w:asciiTheme="minorHAnsi" w:hAnsiTheme="minorHAnsi"/>
          <w:b/>
          <w:sz w:val="22"/>
          <w:szCs w:val="22"/>
        </w:rPr>
        <w:t>5.</w:t>
      </w:r>
      <w:r w:rsidRPr="009F14CE">
        <w:rPr>
          <w:rFonts w:asciiTheme="minorHAnsi" w:hAnsiTheme="minorHAnsi"/>
          <w:sz w:val="22"/>
          <w:szCs w:val="22"/>
        </w:rPr>
        <w:t xml:space="preserve"> The existing O. Reg. 82/98 prescribes existing single detached dwellings, semi-detached/row dwellings and other residential buildings as buildings in which additional residential units can be created without triggering a development charge and rules related to the maximum number of additional units and other restrictions. It is </w:t>
      </w:r>
    </w:p>
    <w:p w:rsidR="009F14CE" w:rsidRPr="009F14CE" w:rsidRDefault="009F14CE" w:rsidP="009F14CE">
      <w:pPr>
        <w:jc w:val="both"/>
        <w:rPr>
          <w:rFonts w:asciiTheme="minorHAnsi" w:hAnsiTheme="minorHAnsi"/>
          <w:sz w:val="22"/>
          <w:szCs w:val="22"/>
        </w:rPr>
      </w:pPr>
      <w:bookmarkStart w:id="0" w:name="_GoBack"/>
      <w:bookmarkEnd w:id="0"/>
      <w:r w:rsidRPr="009F14CE">
        <w:rPr>
          <w:rFonts w:asciiTheme="minorHAnsi" w:hAnsiTheme="minorHAnsi"/>
          <w:sz w:val="22"/>
          <w:szCs w:val="22"/>
        </w:rPr>
        <w:t>proposed that this regulation be amended so that units could also be created within ancillary structures to these existing dwellings without triggering a development charge (subject to the same rules/restrictions).</w:t>
      </w:r>
    </w:p>
    <w:p w:rsidR="009F14CE" w:rsidRPr="009F14CE" w:rsidRDefault="009F14CE" w:rsidP="009F14CE">
      <w:pPr>
        <w:jc w:val="both"/>
        <w:rPr>
          <w:rFonts w:asciiTheme="minorHAnsi" w:hAnsiTheme="minorHAnsi"/>
          <w:sz w:val="22"/>
          <w:szCs w:val="22"/>
        </w:rPr>
      </w:pPr>
    </w:p>
    <w:p w:rsidR="009F14CE" w:rsidRPr="009F14CE" w:rsidRDefault="009F14CE" w:rsidP="009F14CE">
      <w:pPr>
        <w:jc w:val="both"/>
        <w:rPr>
          <w:rFonts w:asciiTheme="minorHAnsi" w:hAnsiTheme="minorHAnsi"/>
          <w:sz w:val="22"/>
          <w:szCs w:val="22"/>
        </w:rPr>
      </w:pPr>
      <w:r w:rsidRPr="009F14CE">
        <w:rPr>
          <w:rFonts w:asciiTheme="minorHAnsi" w:hAnsiTheme="minorHAnsi"/>
          <w:sz w:val="22"/>
          <w:szCs w:val="22"/>
        </w:rPr>
        <w:t>It is also proposed that one additional unit in a new single detached dwelling; semi-detached dwelling; and row dwelling, including in a structure ancillary to one of these dwellings, would be exempt from development charges.</w:t>
      </w:r>
    </w:p>
    <w:p w:rsidR="009F14CE" w:rsidRPr="009F14CE" w:rsidRDefault="009F14CE" w:rsidP="009F14CE">
      <w:pPr>
        <w:jc w:val="both"/>
        <w:rPr>
          <w:rFonts w:asciiTheme="minorHAnsi" w:hAnsiTheme="minorHAnsi"/>
          <w:sz w:val="22"/>
          <w:szCs w:val="22"/>
        </w:rPr>
      </w:pPr>
    </w:p>
    <w:p w:rsidR="009F14CE" w:rsidRPr="009F14CE" w:rsidRDefault="009F14CE" w:rsidP="009F14CE">
      <w:pPr>
        <w:jc w:val="both"/>
        <w:rPr>
          <w:rFonts w:asciiTheme="minorHAnsi" w:hAnsiTheme="minorHAnsi"/>
          <w:sz w:val="22"/>
          <w:szCs w:val="22"/>
        </w:rPr>
      </w:pPr>
      <w:r w:rsidRPr="009F14CE">
        <w:rPr>
          <w:rFonts w:asciiTheme="minorHAnsi" w:hAnsiTheme="minorHAnsi"/>
          <w:sz w:val="22"/>
          <w:szCs w:val="22"/>
        </w:rPr>
        <w:t>It is also proposed that within other existing residential buildings, the creation of additional units comprising 1% of existing units would be exempt from development charges.</w:t>
      </w:r>
    </w:p>
    <w:p w:rsidR="009F14CE" w:rsidRPr="009F14CE" w:rsidRDefault="009F14CE" w:rsidP="009F14CE">
      <w:pPr>
        <w:jc w:val="both"/>
        <w:rPr>
          <w:rFonts w:asciiTheme="minorHAnsi" w:hAnsiTheme="minorHAnsi"/>
          <w:sz w:val="22"/>
          <w:szCs w:val="22"/>
        </w:rPr>
      </w:pPr>
    </w:p>
    <w:p w:rsidR="009F14CE" w:rsidRPr="009F14CE" w:rsidRDefault="009F14CE" w:rsidP="009F14CE">
      <w:pPr>
        <w:jc w:val="both"/>
        <w:rPr>
          <w:rFonts w:asciiTheme="minorHAnsi" w:hAnsiTheme="minorHAnsi"/>
          <w:sz w:val="22"/>
          <w:szCs w:val="22"/>
        </w:rPr>
      </w:pPr>
    </w:p>
    <w:p w:rsidR="009F14CE" w:rsidRPr="009F14CE" w:rsidRDefault="009F14CE" w:rsidP="009F14CE">
      <w:pPr>
        <w:jc w:val="both"/>
        <w:rPr>
          <w:rFonts w:asciiTheme="minorHAnsi" w:hAnsiTheme="minorHAnsi"/>
          <w:b/>
          <w:sz w:val="22"/>
          <w:szCs w:val="22"/>
        </w:rPr>
      </w:pPr>
      <w:r w:rsidRPr="009F14CE">
        <w:rPr>
          <w:rFonts w:asciiTheme="minorHAnsi" w:hAnsiTheme="minorHAnsi"/>
          <w:b/>
          <w:sz w:val="22"/>
          <w:szCs w:val="22"/>
        </w:rPr>
        <w:t>City of Burlington Comments</w:t>
      </w:r>
    </w:p>
    <w:p w:rsidR="009F14CE" w:rsidRPr="009F14CE" w:rsidRDefault="009F14CE" w:rsidP="009F14CE">
      <w:pPr>
        <w:jc w:val="both"/>
        <w:rPr>
          <w:rFonts w:asciiTheme="minorHAnsi" w:hAnsiTheme="minorHAnsi"/>
          <w:sz w:val="22"/>
          <w:szCs w:val="22"/>
        </w:rPr>
      </w:pPr>
    </w:p>
    <w:p w:rsidR="009F14CE" w:rsidRPr="009F14CE" w:rsidRDefault="009F14CE" w:rsidP="009F14CE">
      <w:pPr>
        <w:jc w:val="both"/>
        <w:rPr>
          <w:rFonts w:asciiTheme="minorHAnsi" w:hAnsiTheme="minorHAnsi"/>
          <w:sz w:val="22"/>
          <w:szCs w:val="22"/>
        </w:rPr>
      </w:pPr>
      <w:r w:rsidRPr="009F14CE">
        <w:rPr>
          <w:rFonts w:asciiTheme="minorHAnsi" w:hAnsiTheme="minorHAnsi"/>
          <w:sz w:val="22"/>
          <w:szCs w:val="22"/>
        </w:rPr>
        <w:t>The province should clearly define dwelling type terms: row dwellings, ancillary structures and “other residential buildings”.</w:t>
      </w:r>
    </w:p>
    <w:p w:rsidR="009F14CE" w:rsidRPr="009F14CE" w:rsidRDefault="009F14CE" w:rsidP="009F14CE">
      <w:pPr>
        <w:jc w:val="both"/>
        <w:rPr>
          <w:rFonts w:asciiTheme="minorHAnsi" w:hAnsiTheme="minorHAnsi"/>
          <w:sz w:val="22"/>
          <w:szCs w:val="22"/>
        </w:rPr>
      </w:pPr>
    </w:p>
    <w:p w:rsidR="009F14CE" w:rsidRPr="009F14CE" w:rsidRDefault="009F14CE" w:rsidP="009F14CE">
      <w:pPr>
        <w:jc w:val="both"/>
        <w:rPr>
          <w:rFonts w:asciiTheme="minorHAnsi" w:hAnsiTheme="minorHAnsi"/>
          <w:sz w:val="22"/>
          <w:szCs w:val="22"/>
        </w:rPr>
      </w:pPr>
      <w:r w:rsidRPr="009F14CE">
        <w:rPr>
          <w:rFonts w:asciiTheme="minorHAnsi" w:hAnsiTheme="minorHAnsi"/>
          <w:sz w:val="22"/>
          <w:szCs w:val="22"/>
        </w:rPr>
        <w:t>The province should also clarify if the 1 per cent of existing units relates to the existing GFA footprint, and whether it applies to structures that are separate from the existing building.</w:t>
      </w:r>
    </w:p>
    <w:p w:rsidR="009F14CE" w:rsidRPr="009F14CE" w:rsidRDefault="009F14CE" w:rsidP="002830A9">
      <w:pPr>
        <w:jc w:val="both"/>
        <w:rPr>
          <w:rFonts w:asciiTheme="minorHAnsi" w:hAnsiTheme="minorHAnsi"/>
          <w:sz w:val="22"/>
          <w:szCs w:val="22"/>
        </w:rPr>
      </w:pPr>
    </w:p>
    <w:p w:rsidR="009F14CE" w:rsidRDefault="009F14CE" w:rsidP="009F14CE">
      <w:pPr>
        <w:rPr>
          <w:rFonts w:asciiTheme="minorHAnsi" w:hAnsiTheme="minorHAnsi" w:cs="Arial"/>
          <w:sz w:val="22"/>
          <w:szCs w:val="22"/>
        </w:rPr>
      </w:pPr>
      <w:r>
        <w:rPr>
          <w:rFonts w:asciiTheme="minorHAnsi" w:hAnsiTheme="minorHAnsi" w:cs="Arial"/>
          <w:sz w:val="22"/>
          <w:szCs w:val="22"/>
        </w:rPr>
        <w:t xml:space="preserve">Thank you for providing the opportunity </w:t>
      </w:r>
      <w:r>
        <w:rPr>
          <w:rFonts w:asciiTheme="minorHAnsi" w:hAnsiTheme="minorHAnsi" w:cs="Arial"/>
          <w:sz w:val="22"/>
          <w:szCs w:val="22"/>
        </w:rPr>
        <w:t xml:space="preserve">for the </w:t>
      </w:r>
      <w:r>
        <w:rPr>
          <w:rFonts w:asciiTheme="minorHAnsi" w:hAnsiTheme="minorHAnsi" w:cs="Arial"/>
          <w:sz w:val="22"/>
          <w:szCs w:val="22"/>
        </w:rPr>
        <w:t>City of Burlington to comment on these regulations.</w:t>
      </w:r>
    </w:p>
    <w:p w:rsidR="009F14CE" w:rsidRDefault="009F14CE" w:rsidP="009F14CE">
      <w:pPr>
        <w:rPr>
          <w:rFonts w:asciiTheme="minorHAnsi" w:hAnsiTheme="minorHAnsi" w:cs="Arial"/>
          <w:sz w:val="22"/>
          <w:szCs w:val="22"/>
        </w:rPr>
      </w:pPr>
    </w:p>
    <w:p w:rsidR="009F14CE" w:rsidRDefault="009F14CE" w:rsidP="009F14CE">
      <w:pPr>
        <w:rPr>
          <w:rFonts w:asciiTheme="minorHAnsi" w:hAnsiTheme="minorHAnsi" w:cs="Arial"/>
          <w:sz w:val="22"/>
          <w:szCs w:val="22"/>
        </w:rPr>
      </w:pPr>
    </w:p>
    <w:p w:rsidR="009F14CE" w:rsidRDefault="009F14CE" w:rsidP="009F14CE">
      <w:pPr>
        <w:rPr>
          <w:rFonts w:asciiTheme="minorHAnsi" w:hAnsiTheme="minorHAnsi" w:cs="Arial"/>
          <w:sz w:val="22"/>
          <w:szCs w:val="22"/>
        </w:rPr>
      </w:pPr>
    </w:p>
    <w:p w:rsidR="009F14CE" w:rsidRDefault="009F14CE" w:rsidP="009F14CE">
      <w:pPr>
        <w:rPr>
          <w:rFonts w:asciiTheme="minorHAnsi" w:hAnsiTheme="minorHAnsi" w:cs="Arial"/>
          <w:sz w:val="22"/>
          <w:szCs w:val="22"/>
        </w:rPr>
      </w:pPr>
      <w:r>
        <w:rPr>
          <w:rFonts w:asciiTheme="minorHAnsi" w:hAnsiTheme="minorHAnsi" w:cs="Arial"/>
          <w:sz w:val="22"/>
          <w:szCs w:val="22"/>
        </w:rPr>
        <w:t>Respectfully submitted,</w:t>
      </w:r>
    </w:p>
    <w:p w:rsidR="009F14CE" w:rsidRDefault="009F14CE" w:rsidP="009F14CE">
      <w:pPr>
        <w:rPr>
          <w:rFonts w:asciiTheme="minorHAnsi" w:hAnsiTheme="minorHAnsi" w:cs="Arial"/>
          <w:sz w:val="22"/>
          <w:szCs w:val="22"/>
        </w:rPr>
      </w:pPr>
    </w:p>
    <w:p w:rsidR="009F14CE" w:rsidRDefault="009F14CE" w:rsidP="009F14CE">
      <w:pPr>
        <w:rPr>
          <w:rFonts w:asciiTheme="minorHAnsi" w:hAnsiTheme="minorHAnsi" w:cs="Arial"/>
          <w:sz w:val="22"/>
          <w:szCs w:val="22"/>
        </w:rPr>
      </w:pPr>
    </w:p>
    <w:p w:rsidR="009F14CE" w:rsidRDefault="009F14CE" w:rsidP="009F14CE">
      <w:pPr>
        <w:rPr>
          <w:rFonts w:asciiTheme="minorHAnsi" w:hAnsiTheme="minorHAnsi" w:cs="Arial"/>
          <w:sz w:val="22"/>
          <w:szCs w:val="22"/>
        </w:rPr>
      </w:pPr>
    </w:p>
    <w:p w:rsidR="009F14CE" w:rsidRDefault="009F14CE" w:rsidP="009F14CE">
      <w:pPr>
        <w:rPr>
          <w:rFonts w:asciiTheme="minorHAnsi" w:hAnsiTheme="minorHAnsi" w:cs="Arial"/>
          <w:sz w:val="22"/>
          <w:szCs w:val="22"/>
        </w:rPr>
      </w:pPr>
      <w:r>
        <w:rPr>
          <w:rFonts w:asciiTheme="minorHAnsi" w:hAnsiTheme="minorHAnsi" w:cs="Arial"/>
          <w:sz w:val="22"/>
          <w:szCs w:val="22"/>
        </w:rPr>
        <w:t>Helen Walihura</w:t>
      </w:r>
    </w:p>
    <w:p w:rsidR="009F14CE" w:rsidRPr="003123B0" w:rsidRDefault="009F14CE" w:rsidP="009F14CE">
      <w:pPr>
        <w:rPr>
          <w:rFonts w:asciiTheme="minorHAnsi" w:hAnsiTheme="minorHAnsi" w:cs="Arial"/>
          <w:sz w:val="22"/>
          <w:szCs w:val="22"/>
        </w:rPr>
      </w:pPr>
      <w:r>
        <w:rPr>
          <w:rFonts w:asciiTheme="minorHAnsi" w:hAnsiTheme="minorHAnsi" w:cs="Arial"/>
          <w:sz w:val="22"/>
          <w:szCs w:val="22"/>
        </w:rPr>
        <w:t xml:space="preserve">Government Relations Specialist </w:t>
      </w:r>
    </w:p>
    <w:p w:rsidR="009F14CE" w:rsidRPr="009F14CE" w:rsidRDefault="009F14CE">
      <w:pPr>
        <w:jc w:val="both"/>
        <w:rPr>
          <w:rFonts w:asciiTheme="minorHAnsi" w:hAnsiTheme="minorHAnsi"/>
          <w:sz w:val="22"/>
          <w:szCs w:val="22"/>
        </w:rPr>
      </w:pPr>
    </w:p>
    <w:sectPr w:rsidR="009F14CE" w:rsidRPr="009F14CE">
      <w:headerReference w:type="even" r:id="rId7"/>
      <w:headerReference w:type="default" r:id="rId8"/>
      <w:footerReference w:type="even" r:id="rId9"/>
      <w:footerReference w:type="default" r:id="rId10"/>
      <w:headerReference w:type="first" r:id="rId11"/>
      <w:footerReference w:type="first" r:id="rId12"/>
      <w:pgSz w:w="12240" w:h="15840"/>
      <w:pgMar w:top="1000" w:right="1000" w:bottom="1000" w:left="10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934" w:rsidRDefault="00352DA7">
      <w:r>
        <w:separator/>
      </w:r>
    </w:p>
  </w:endnote>
  <w:endnote w:type="continuationSeparator" w:id="0">
    <w:p w:rsidR="00CC2934" w:rsidRDefault="0035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66E" w:rsidRDefault="00472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612368786"/>
      <w:docPartObj>
        <w:docPartGallery w:val="Page Numbers (Bottom of Page)"/>
        <w:docPartUnique/>
      </w:docPartObj>
    </w:sdtPr>
    <w:sdtEndPr/>
    <w:sdtContent>
      <w:sdt>
        <w:sdtPr>
          <w:rPr>
            <w:rFonts w:asciiTheme="minorHAnsi" w:hAnsiTheme="minorHAnsi" w:cstheme="minorHAnsi"/>
            <w:sz w:val="22"/>
            <w:szCs w:val="22"/>
          </w:rPr>
          <w:id w:val="-1769616900"/>
          <w:docPartObj>
            <w:docPartGallery w:val="Page Numbers (Top of Page)"/>
            <w:docPartUnique/>
          </w:docPartObj>
        </w:sdtPr>
        <w:sdtEndPr/>
        <w:sdtContent>
          <w:p w:rsidR="0047266E" w:rsidRPr="0047266E" w:rsidRDefault="0047266E">
            <w:pPr>
              <w:pStyle w:val="Footer"/>
              <w:jc w:val="right"/>
              <w:rPr>
                <w:rFonts w:asciiTheme="minorHAnsi" w:hAnsiTheme="minorHAnsi" w:cstheme="minorHAnsi"/>
                <w:sz w:val="22"/>
                <w:szCs w:val="22"/>
              </w:rPr>
            </w:pPr>
            <w:r w:rsidRPr="0047266E">
              <w:rPr>
                <w:rFonts w:asciiTheme="minorHAnsi" w:hAnsiTheme="minorHAnsi" w:cstheme="minorHAnsi"/>
                <w:sz w:val="22"/>
                <w:szCs w:val="22"/>
              </w:rPr>
              <w:t xml:space="preserve">Page </w:t>
            </w:r>
            <w:r w:rsidRPr="0047266E">
              <w:rPr>
                <w:rFonts w:asciiTheme="minorHAnsi" w:hAnsiTheme="minorHAnsi" w:cstheme="minorHAnsi"/>
                <w:b/>
                <w:bCs/>
                <w:sz w:val="22"/>
                <w:szCs w:val="22"/>
              </w:rPr>
              <w:fldChar w:fldCharType="begin"/>
            </w:r>
            <w:r w:rsidRPr="0047266E">
              <w:rPr>
                <w:rFonts w:asciiTheme="minorHAnsi" w:hAnsiTheme="minorHAnsi" w:cstheme="minorHAnsi"/>
                <w:b/>
                <w:bCs/>
                <w:sz w:val="22"/>
                <w:szCs w:val="22"/>
              </w:rPr>
              <w:instrText xml:space="preserve"> PAGE </w:instrText>
            </w:r>
            <w:r w:rsidRPr="0047266E">
              <w:rPr>
                <w:rFonts w:asciiTheme="minorHAnsi" w:hAnsiTheme="minorHAnsi" w:cstheme="minorHAnsi"/>
                <w:b/>
                <w:bCs/>
                <w:sz w:val="22"/>
                <w:szCs w:val="22"/>
              </w:rPr>
              <w:fldChar w:fldCharType="separate"/>
            </w:r>
            <w:r w:rsidRPr="0047266E">
              <w:rPr>
                <w:rFonts w:asciiTheme="minorHAnsi" w:hAnsiTheme="minorHAnsi" w:cstheme="minorHAnsi"/>
                <w:b/>
                <w:bCs/>
                <w:noProof/>
                <w:sz w:val="22"/>
                <w:szCs w:val="22"/>
              </w:rPr>
              <w:t>2</w:t>
            </w:r>
            <w:r w:rsidRPr="0047266E">
              <w:rPr>
                <w:rFonts w:asciiTheme="minorHAnsi" w:hAnsiTheme="minorHAnsi" w:cstheme="minorHAnsi"/>
                <w:b/>
                <w:bCs/>
                <w:sz w:val="22"/>
                <w:szCs w:val="22"/>
              </w:rPr>
              <w:fldChar w:fldCharType="end"/>
            </w:r>
            <w:r w:rsidRPr="0047266E">
              <w:rPr>
                <w:rFonts w:asciiTheme="minorHAnsi" w:hAnsiTheme="minorHAnsi" w:cstheme="minorHAnsi"/>
                <w:sz w:val="22"/>
                <w:szCs w:val="22"/>
              </w:rPr>
              <w:t xml:space="preserve"> of </w:t>
            </w:r>
            <w:r w:rsidRPr="0047266E">
              <w:rPr>
                <w:rFonts w:asciiTheme="minorHAnsi" w:hAnsiTheme="minorHAnsi" w:cstheme="minorHAnsi"/>
                <w:b/>
                <w:bCs/>
                <w:sz w:val="22"/>
                <w:szCs w:val="22"/>
              </w:rPr>
              <w:fldChar w:fldCharType="begin"/>
            </w:r>
            <w:r w:rsidRPr="0047266E">
              <w:rPr>
                <w:rFonts w:asciiTheme="minorHAnsi" w:hAnsiTheme="minorHAnsi" w:cstheme="minorHAnsi"/>
                <w:b/>
                <w:bCs/>
                <w:sz w:val="22"/>
                <w:szCs w:val="22"/>
              </w:rPr>
              <w:instrText xml:space="preserve"> NUMPAGES  </w:instrText>
            </w:r>
            <w:r w:rsidRPr="0047266E">
              <w:rPr>
                <w:rFonts w:asciiTheme="minorHAnsi" w:hAnsiTheme="minorHAnsi" w:cstheme="minorHAnsi"/>
                <w:b/>
                <w:bCs/>
                <w:sz w:val="22"/>
                <w:szCs w:val="22"/>
              </w:rPr>
              <w:fldChar w:fldCharType="separate"/>
            </w:r>
            <w:r w:rsidRPr="0047266E">
              <w:rPr>
                <w:rFonts w:asciiTheme="minorHAnsi" w:hAnsiTheme="minorHAnsi" w:cstheme="minorHAnsi"/>
                <w:b/>
                <w:bCs/>
                <w:noProof/>
                <w:sz w:val="22"/>
                <w:szCs w:val="22"/>
              </w:rPr>
              <w:t>2</w:t>
            </w:r>
            <w:r w:rsidRPr="0047266E">
              <w:rPr>
                <w:rFonts w:asciiTheme="minorHAnsi" w:hAnsiTheme="minorHAnsi" w:cstheme="minorHAnsi"/>
                <w:b/>
                <w:bCs/>
                <w:sz w:val="22"/>
                <w:szCs w:val="22"/>
              </w:rPr>
              <w:fldChar w:fldCharType="end"/>
            </w:r>
          </w:p>
        </w:sdtContent>
      </w:sdt>
    </w:sdtContent>
  </w:sdt>
  <w:p w:rsidR="00CC2934" w:rsidRDefault="00CC2934">
    <w:pPr>
      <w:pStyle w:val="Footer"/>
      <w:jc w:val="center"/>
      <w:rPr>
        <w:color w:val="000099"/>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66E" w:rsidRDefault="00472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934" w:rsidRDefault="00352DA7">
      <w:r>
        <w:separator/>
      </w:r>
    </w:p>
  </w:footnote>
  <w:footnote w:type="continuationSeparator" w:id="0">
    <w:p w:rsidR="00CC2934" w:rsidRDefault="00352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66E" w:rsidRDefault="004726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934" w:rsidRDefault="009A7BD9">
    <w:pPr>
      <w:pStyle w:val="Header"/>
    </w:pPr>
    <w:r>
      <w:rPr>
        <w:noProof/>
        <w:sz w:val="20"/>
        <w:lang w:val="en-US"/>
      </w:rPr>
      <mc:AlternateContent>
        <mc:Choice Requires="wps">
          <w:drawing>
            <wp:anchor distT="0" distB="0" distL="114300" distR="114300" simplePos="0" relativeHeight="251658752" behindDoc="0" locked="0" layoutInCell="1" allowOverlap="1">
              <wp:simplePos x="0" y="0"/>
              <wp:positionH relativeFrom="column">
                <wp:posOffset>4914900</wp:posOffset>
              </wp:positionH>
              <wp:positionV relativeFrom="paragraph">
                <wp:posOffset>82550</wp:posOffset>
              </wp:positionV>
              <wp:extent cx="1885950" cy="736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73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2934" w:rsidRDefault="00352DA7">
                          <w:pPr>
                            <w:spacing w:line="312" w:lineRule="auto"/>
                            <w:rPr>
                              <w:sz w:val="20"/>
                            </w:rPr>
                          </w:pPr>
                          <w:r>
                            <w:rPr>
                              <w:sz w:val="20"/>
                            </w:rPr>
                            <w:t xml:space="preserve">905-335-7600 ext. </w:t>
                          </w:r>
                          <w:r w:rsidR="007A41B9">
                            <w:rPr>
                              <w:sz w:val="20"/>
                            </w:rPr>
                            <w:t>7895</w:t>
                          </w:r>
                        </w:p>
                        <w:p w:rsidR="003123B0" w:rsidRDefault="007A41B9">
                          <w:pPr>
                            <w:spacing w:line="312" w:lineRule="auto"/>
                            <w:rPr>
                              <w:sz w:val="20"/>
                            </w:rPr>
                          </w:pPr>
                          <w:r>
                            <w:rPr>
                              <w:sz w:val="20"/>
                            </w:rPr>
                            <w:t>905-320-6257</w:t>
                          </w:r>
                        </w:p>
                        <w:p w:rsidR="00CC2934" w:rsidRDefault="007A41B9">
                          <w:pPr>
                            <w:spacing w:line="312" w:lineRule="auto"/>
                          </w:pPr>
                          <w:r>
                            <w:rPr>
                              <w:sz w:val="20"/>
                            </w:rPr>
                            <w:t>helen.walihura</w:t>
                          </w:r>
                          <w:r w:rsidR="00352DA7">
                            <w:rPr>
                              <w:sz w:val="20"/>
                            </w:rPr>
                            <w:t>@burlington.ca</w:t>
                          </w:r>
                        </w:p>
                      </w:txbxContent>
                    </wps:txbx>
                    <wps:bodyPr rot="0" vert="horz" wrap="square" lIns="63500" tIns="127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87pt;margin-top:6.5pt;width:148.5pt;height: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" stroked="f">
              <v:textbox inset="5pt,1pt">
                <w:txbxContent>
                  <w:p w:rsidR="00CC2934" w:rsidRDefault="00352DA7">
                    <w:pPr>
                      <w:spacing w:line="312" w:lineRule="auto"/>
                      <w:rPr>
                        <w:sz w:val="20"/>
                      </w:rPr>
                    </w:pPr>
                    <w:r>
                      <w:rPr>
                        <w:sz w:val="20"/>
                      </w:rPr>
                      <w:t xml:space="preserve">905-335-7600 ext. </w:t>
                    </w:r>
                    <w:r w:rsidR="007A41B9">
                      <w:rPr>
                        <w:sz w:val="20"/>
                      </w:rPr>
                      <w:t>7895</w:t>
                    </w:r>
                  </w:p>
                  <w:p w:rsidR="003123B0" w:rsidRDefault="007A41B9">
                    <w:pPr>
                      <w:spacing w:line="312" w:lineRule="auto"/>
                      <w:rPr>
                        <w:sz w:val="20"/>
                      </w:rPr>
                    </w:pPr>
                    <w:r>
                      <w:rPr>
                        <w:sz w:val="20"/>
                      </w:rPr>
                      <w:t>905-320-6257</w:t>
                    </w:r>
                  </w:p>
                  <w:p w:rsidR="00CC2934" w:rsidRDefault="007A41B9">
                    <w:pPr>
                      <w:spacing w:line="312" w:lineRule="auto"/>
                    </w:pPr>
                    <w:r>
                      <w:rPr>
                        <w:sz w:val="20"/>
                      </w:rPr>
                      <w:t>helen.walihura</w:t>
                    </w:r>
                    <w:r w:rsidR="00352DA7">
                      <w:rPr>
                        <w:sz w:val="20"/>
                      </w:rPr>
                      <w:t>@burlington.ca</w:t>
                    </w:r>
                  </w:p>
                </w:txbxContent>
              </v:textbox>
            </v:shape>
          </w:pict>
        </mc:Fallback>
      </mc:AlternateContent>
    </w:r>
    <w:r w:rsidR="00352DA7">
      <w:rPr>
        <w:noProof/>
        <w:sz w:val="20"/>
        <w:lang w:eastAsia="en-CA"/>
      </w:rPr>
      <w:drawing>
        <wp:anchor distT="0" distB="0" distL="114300" distR="114300" simplePos="0" relativeHeight="251657728" behindDoc="0" locked="0" layoutInCell="1" allowOverlap="1">
          <wp:simplePos x="0" y="0"/>
          <wp:positionH relativeFrom="column">
            <wp:posOffset>4686300</wp:posOffset>
          </wp:positionH>
          <wp:positionV relativeFrom="paragraph">
            <wp:posOffset>63500</wp:posOffset>
          </wp:positionV>
          <wp:extent cx="184785" cy="520065"/>
          <wp:effectExtent l="19050" t="0" r="5715" b="0"/>
          <wp:wrapSquare wrapText="bothSides"/>
          <wp:docPr id="2" name="Picture 2" descr="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mbols"/>
                  <pic:cNvPicPr>
                    <a:picLocks noChangeAspect="1" noChangeArrowheads="1"/>
                  </pic:cNvPicPr>
                </pic:nvPicPr>
                <pic:blipFill>
                  <a:blip r:embed="rId1"/>
                  <a:srcRect/>
                  <a:stretch>
                    <a:fillRect/>
                  </a:stretch>
                </pic:blipFill>
                <pic:spPr bwMode="auto">
                  <a:xfrm>
                    <a:off x="0" y="0"/>
                    <a:ext cx="184785" cy="520065"/>
                  </a:xfrm>
                  <a:prstGeom prst="rect">
                    <a:avLst/>
                  </a:prstGeom>
                  <a:noFill/>
                  <a:ln w="9525">
                    <a:noFill/>
                    <a:miter lim="800000"/>
                    <a:headEnd/>
                    <a:tailEnd/>
                  </a:ln>
                </pic:spPr>
              </pic:pic>
            </a:graphicData>
          </a:graphic>
        </wp:anchor>
      </w:drawing>
    </w:r>
    <w:r w:rsidR="00352DA7">
      <w:rPr>
        <w:noProof/>
        <w:sz w:val="20"/>
        <w:lang w:eastAsia="en-CA"/>
      </w:rPr>
      <w:drawing>
        <wp:anchor distT="0" distB="0" distL="114300" distR="114300" simplePos="0" relativeHeight="251656704" behindDoc="0" locked="0" layoutInCell="1" allowOverlap="1">
          <wp:simplePos x="0" y="0"/>
          <wp:positionH relativeFrom="column">
            <wp:posOffset>0</wp:posOffset>
          </wp:positionH>
          <wp:positionV relativeFrom="paragraph">
            <wp:posOffset>63500</wp:posOffset>
          </wp:positionV>
          <wp:extent cx="2290445" cy="687705"/>
          <wp:effectExtent l="19050" t="0" r="0" b="0"/>
          <wp:wrapSquare wrapText="bothSides"/>
          <wp:docPr id="1" name="Picture 1" descr="COB_logo_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B_logo_hires"/>
                  <pic:cNvPicPr>
                    <a:picLocks noChangeAspect="1" noChangeArrowheads="1"/>
                  </pic:cNvPicPr>
                </pic:nvPicPr>
                <pic:blipFill>
                  <a:blip r:embed="rId2"/>
                  <a:srcRect l="4439" t="13455" r="4718" b="4572"/>
                  <a:stretch>
                    <a:fillRect/>
                  </a:stretch>
                </pic:blipFill>
                <pic:spPr bwMode="auto">
                  <a:xfrm>
                    <a:off x="0" y="0"/>
                    <a:ext cx="2290445" cy="68770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66E" w:rsidRDefault="00472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02123"/>
    <w:multiLevelType w:val="hybridMultilevel"/>
    <w:tmpl w:val="DA8CF0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860B32"/>
    <w:multiLevelType w:val="hybridMultilevel"/>
    <w:tmpl w:val="E2080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DF51D72"/>
    <w:multiLevelType w:val="hybridMultilevel"/>
    <w:tmpl w:val="CF903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122A5C"/>
    <w:multiLevelType w:val="hybridMultilevel"/>
    <w:tmpl w:val="CBA27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482F8D"/>
    <w:multiLevelType w:val="hybridMultilevel"/>
    <w:tmpl w:val="FBE64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3B0"/>
    <w:rsid w:val="001E04C7"/>
    <w:rsid w:val="002830A9"/>
    <w:rsid w:val="003123B0"/>
    <w:rsid w:val="00352DA7"/>
    <w:rsid w:val="00366713"/>
    <w:rsid w:val="003B50B0"/>
    <w:rsid w:val="003F4153"/>
    <w:rsid w:val="0047266E"/>
    <w:rsid w:val="007A41B9"/>
    <w:rsid w:val="00906E21"/>
    <w:rsid w:val="009120C7"/>
    <w:rsid w:val="00987D86"/>
    <w:rsid w:val="009A7BD9"/>
    <w:rsid w:val="009F14CE"/>
    <w:rsid w:val="00C2049C"/>
    <w:rsid w:val="00CC29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BCCFE39"/>
  <w15:docId w15:val="{A3863E5D-65B3-41FE-AB2F-B155C18D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123B0"/>
    <w:pPr>
      <w:spacing w:after="200" w:line="276" w:lineRule="auto"/>
      <w:ind w:left="720"/>
    </w:pPr>
    <w:rPr>
      <w:rFonts w:asciiTheme="minorHAnsi" w:eastAsiaTheme="minorHAnsi" w:hAnsiTheme="minorHAnsi" w:cstheme="minorBidi"/>
      <w:sz w:val="22"/>
      <w:szCs w:val="22"/>
      <w:lang w:val="en-US"/>
    </w:rPr>
  </w:style>
  <w:style w:type="character" w:styleId="Hyperlink">
    <w:name w:val="Hyperlink"/>
    <w:basedOn w:val="DefaultParagraphFont"/>
    <w:uiPriority w:val="99"/>
    <w:unhideWhenUsed/>
    <w:rsid w:val="003123B0"/>
    <w:rPr>
      <w:color w:val="0000FF" w:themeColor="hyperlink"/>
      <w:u w:val="single"/>
    </w:rPr>
  </w:style>
  <w:style w:type="character" w:customStyle="1" w:styleId="FooterChar">
    <w:name w:val="Footer Char"/>
    <w:basedOn w:val="DefaultParagraphFont"/>
    <w:link w:val="Footer"/>
    <w:uiPriority w:val="99"/>
    <w:rsid w:val="0047266E"/>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863885">
      <w:bodyDiv w:val="1"/>
      <w:marLeft w:val="0"/>
      <w:marRight w:val="0"/>
      <w:marTop w:val="0"/>
      <w:marBottom w:val="0"/>
      <w:divBdr>
        <w:top w:val="none" w:sz="0" w:space="0" w:color="auto"/>
        <w:left w:val="none" w:sz="0" w:space="0" w:color="auto"/>
        <w:bottom w:val="none" w:sz="0" w:space="0" w:color="auto"/>
        <w:right w:val="none" w:sz="0" w:space="0" w:color="auto"/>
      </w:divBdr>
    </w:div>
    <w:div w:id="1631403835">
      <w:bodyDiv w:val="1"/>
      <w:marLeft w:val="0"/>
      <w:marRight w:val="0"/>
      <w:marTop w:val="0"/>
      <w:marBottom w:val="0"/>
      <w:divBdr>
        <w:top w:val="none" w:sz="0" w:space="0" w:color="auto"/>
        <w:left w:val="none" w:sz="0" w:space="0" w:color="auto"/>
        <w:bottom w:val="none" w:sz="0" w:space="0" w:color="auto"/>
        <w:right w:val="none" w:sz="0" w:space="0" w:color="auto"/>
      </w:divBdr>
    </w:div>
    <w:div w:id="173199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1272</Words>
  <Characters>7207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Lori please draft for my signature</vt:lpstr>
    </vt:vector>
  </TitlesOfParts>
  <Company>COB</Company>
  <LinksUpToDate>false</LinksUpToDate>
  <CharactersWithSpaces>8463</CharactersWithSpaces>
  <SharedDoc>false</SharedDoc>
  <HLinks>
    <vt:vector size="12" baseType="variant">
      <vt:variant>
        <vt:i4>5242995</vt:i4>
      </vt:variant>
      <vt:variant>
        <vt:i4>-1</vt:i4>
      </vt:variant>
      <vt:variant>
        <vt:i4>2049</vt:i4>
      </vt:variant>
      <vt:variant>
        <vt:i4>1</vt:i4>
      </vt:variant>
      <vt:variant>
        <vt:lpwstr>C:\Documents and Settings\rxh\My Documents\General Documents\COB_logo_hires.jpg</vt:lpwstr>
      </vt:variant>
      <vt:variant>
        <vt:lpwstr/>
      </vt:variant>
      <vt:variant>
        <vt:i4>3539046</vt:i4>
      </vt:variant>
      <vt:variant>
        <vt:i4>-1</vt:i4>
      </vt:variant>
      <vt:variant>
        <vt:i4>2050</vt:i4>
      </vt:variant>
      <vt:variant>
        <vt:i4>1</vt:i4>
      </vt:variant>
      <vt:variant>
        <vt:lpwstr>..\letterhead\symbols.tif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Lori please draft for my signature</dc:title>
  <dc:creator>ejd</dc:creator>
  <cp:lastModifiedBy>Walihura, Helen</cp:lastModifiedBy>
  <cp:revision>4</cp:revision>
  <cp:lastPrinted>2005-05-30T20:25:00Z</cp:lastPrinted>
  <dcterms:created xsi:type="dcterms:W3CDTF">2019-08-21T19:27:00Z</dcterms:created>
  <dcterms:modified xsi:type="dcterms:W3CDTF">2019-08-21T19:30:00Z</dcterms:modified>
</cp:coreProperties>
</file>