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714" w:rsidRPr="00DA7157" w:rsidRDefault="00462126" w:rsidP="00083714">
      <w:pPr>
        <w:widowControl w:val="0"/>
        <w:ind w:left="6480" w:right="-214" w:hanging="6660"/>
        <w:rPr>
          <w:rFonts w:ascii="Arial" w:hAnsi="Arial" w:cs="Arial"/>
          <w:b/>
          <w:bCs/>
          <w:i/>
          <w:iCs/>
        </w:rPr>
      </w:pPr>
      <w:r w:rsidRPr="00DA7157">
        <w:rPr>
          <w:rFonts w:ascii="Arial" w:hAnsi="Arial" w:cs="Arial"/>
          <w:i/>
          <w:noProof/>
        </w:rPr>
        <w:drawing>
          <wp:anchor distT="0" distB="0" distL="114300" distR="114300" simplePos="0" relativeHeight="251658240" behindDoc="1" locked="0" layoutInCell="1" allowOverlap="0" wp14:anchorId="33EC3002" wp14:editId="06FA9BAA">
            <wp:simplePos x="0" y="0"/>
            <wp:positionH relativeFrom="column">
              <wp:posOffset>2843530</wp:posOffset>
            </wp:positionH>
            <wp:positionV relativeFrom="paragraph">
              <wp:posOffset>94615</wp:posOffset>
            </wp:positionV>
            <wp:extent cx="1092835" cy="122999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835" cy="1229995"/>
                    </a:xfrm>
                    <a:prstGeom prst="rect">
                      <a:avLst/>
                    </a:prstGeom>
                    <a:noFill/>
                    <a:ln>
                      <a:noFill/>
                    </a:ln>
                  </pic:spPr>
                </pic:pic>
              </a:graphicData>
            </a:graphic>
            <wp14:sizeRelH relativeFrom="page">
              <wp14:pctWidth>0</wp14:pctWidth>
            </wp14:sizeRelH>
            <wp14:sizeRelV relativeFrom="page">
              <wp14:pctHeight>0</wp14:pctHeight>
            </wp14:sizeRelV>
          </wp:anchor>
        </w:drawing>
      </w:r>
      <w:r w:rsidR="00442CE1" w:rsidRPr="00DA7157">
        <w:rPr>
          <w:rFonts w:ascii="Arial" w:hAnsi="Arial" w:cs="Arial"/>
          <w:i/>
        </w:rPr>
        <w:fldChar w:fldCharType="begin"/>
      </w:r>
      <w:r w:rsidR="00442CE1" w:rsidRPr="00DA7157">
        <w:rPr>
          <w:rFonts w:ascii="Arial" w:hAnsi="Arial" w:cs="Arial"/>
          <w:i/>
        </w:rPr>
        <w:instrText xml:space="preserve"> SEQ CHAPTER \h \r 1</w:instrText>
      </w:r>
      <w:r w:rsidR="00442CE1" w:rsidRPr="00DA7157">
        <w:rPr>
          <w:rFonts w:ascii="Arial" w:hAnsi="Arial" w:cs="Arial"/>
          <w:i/>
        </w:rPr>
        <w:fldChar w:fldCharType="end"/>
      </w:r>
      <w:r w:rsidR="00083714" w:rsidRPr="00DA7157">
        <w:rPr>
          <w:rFonts w:ascii="Arial" w:hAnsi="Arial" w:cs="Arial"/>
          <w:b/>
          <w:bCs/>
          <w:i/>
          <w:iCs/>
        </w:rPr>
        <w:tab/>
      </w:r>
      <w:r w:rsidR="00083714" w:rsidRPr="00DA7157">
        <w:rPr>
          <w:rFonts w:ascii="Arial" w:hAnsi="Arial" w:cs="Arial"/>
          <w:b/>
          <w:bCs/>
          <w:i/>
          <w:iCs/>
        </w:rPr>
        <w:tab/>
      </w:r>
      <w:r w:rsidR="00083714" w:rsidRPr="00DA7157">
        <w:rPr>
          <w:rFonts w:ascii="Arial" w:hAnsi="Arial" w:cs="Arial"/>
          <w:b/>
          <w:bCs/>
          <w:i/>
          <w:iCs/>
        </w:rPr>
        <w:tab/>
      </w:r>
      <w:r w:rsidR="00083714" w:rsidRPr="00DA7157">
        <w:rPr>
          <w:rFonts w:ascii="Arial" w:hAnsi="Arial" w:cs="Arial"/>
          <w:b/>
          <w:bCs/>
          <w:i/>
          <w:iCs/>
        </w:rPr>
        <w:tab/>
      </w:r>
    </w:p>
    <w:p w:rsidR="00442CE1" w:rsidRPr="00DA7157" w:rsidRDefault="00442CE1">
      <w:pPr>
        <w:widowControl w:val="0"/>
        <w:rPr>
          <w:rFonts w:ascii="Arial" w:hAnsi="Arial" w:cs="Arial"/>
        </w:rPr>
      </w:pPr>
    </w:p>
    <w:p w:rsidR="005D23F7" w:rsidRPr="00DA7157" w:rsidRDefault="005D23F7" w:rsidP="005D23F7">
      <w:pPr>
        <w:rPr>
          <w:rFonts w:ascii="Arial" w:hAnsi="Arial" w:cs="Arial"/>
        </w:rPr>
      </w:pPr>
    </w:p>
    <w:p w:rsidR="00DA7157" w:rsidRPr="00DA7157" w:rsidRDefault="00DA7157" w:rsidP="005D23F7">
      <w:pPr>
        <w:rPr>
          <w:rFonts w:ascii="Arial" w:hAnsi="Arial" w:cs="Arial"/>
        </w:rPr>
      </w:pPr>
    </w:p>
    <w:p w:rsidR="00DA7157" w:rsidRPr="00DA7157" w:rsidRDefault="00DA7157" w:rsidP="005D23F7">
      <w:pPr>
        <w:rPr>
          <w:rFonts w:ascii="Arial" w:hAnsi="Arial" w:cs="Arial"/>
        </w:rPr>
      </w:pPr>
    </w:p>
    <w:p w:rsidR="00DA7157" w:rsidRPr="00DA7157" w:rsidRDefault="00DA7157" w:rsidP="005D23F7">
      <w:pPr>
        <w:rPr>
          <w:rFonts w:ascii="Arial" w:hAnsi="Arial" w:cs="Arial"/>
        </w:rPr>
      </w:pPr>
    </w:p>
    <w:p w:rsidR="00DA7157" w:rsidRPr="00DA7157" w:rsidRDefault="00DA7157" w:rsidP="005D23F7">
      <w:pPr>
        <w:rPr>
          <w:rFonts w:ascii="Arial" w:hAnsi="Arial" w:cs="Arial"/>
        </w:rPr>
      </w:pPr>
    </w:p>
    <w:p w:rsidR="00DA7157" w:rsidRPr="00DA7157" w:rsidRDefault="00DA7157" w:rsidP="005D23F7">
      <w:pPr>
        <w:rPr>
          <w:rFonts w:ascii="Arial" w:hAnsi="Arial" w:cs="Arial"/>
        </w:rPr>
      </w:pPr>
      <w:r w:rsidRPr="00DA7157">
        <w:rPr>
          <w:rFonts w:ascii="Arial" w:hAnsi="Arial" w:cs="Arial"/>
          <w:noProof/>
        </w:rPr>
        <mc:AlternateContent>
          <mc:Choice Requires="wps">
            <w:drawing>
              <wp:anchor distT="0" distB="0" distL="114300" distR="114300" simplePos="0" relativeHeight="251660288" behindDoc="0" locked="1" layoutInCell="1" allowOverlap="1" wp14:anchorId="5732818D" wp14:editId="47A0F249">
                <wp:simplePos x="0" y="0"/>
                <wp:positionH relativeFrom="column">
                  <wp:posOffset>-76200</wp:posOffset>
                </wp:positionH>
                <wp:positionV relativeFrom="page">
                  <wp:posOffset>1695450</wp:posOffset>
                </wp:positionV>
                <wp:extent cx="5781675" cy="12954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295400"/>
                        </a:xfrm>
                        <a:prstGeom prst="rect">
                          <a:avLst/>
                        </a:prstGeom>
                        <a:solidFill>
                          <a:srgbClr val="FFFFFF"/>
                        </a:solidFill>
                        <a:ln w="9525">
                          <a:noFill/>
                          <a:miter lim="800000"/>
                          <a:headEnd/>
                          <a:tailEnd/>
                        </a:ln>
                      </wps:spPr>
                      <wps:txbx>
                        <w:txbxContent>
                          <w:p w:rsidR="007C3D07" w:rsidRDefault="000A4DF3" w:rsidP="00DA7157">
                            <w:pPr>
                              <w:widowControl w:val="0"/>
                              <w:rPr>
                                <w:rFonts w:ascii="Arial" w:hAnsi="Arial" w:cs="Arial"/>
                              </w:rPr>
                            </w:pPr>
                            <w:r>
                              <w:rPr>
                                <w:rFonts w:ascii="Arial" w:hAnsi="Arial" w:cs="Arial"/>
                              </w:rPr>
                              <w:t>John Ballantine, Manager</w:t>
                            </w:r>
                            <w:r>
                              <w:rPr>
                                <w:rFonts w:ascii="Arial" w:hAnsi="Arial" w:cs="Arial"/>
                              </w:rPr>
                              <w:tab/>
                            </w:r>
                          </w:p>
                          <w:p w:rsidR="00EA5C6A" w:rsidRDefault="000A4DF3" w:rsidP="00DA7157">
                            <w:pPr>
                              <w:widowControl w:val="0"/>
                              <w:rPr>
                                <w:rFonts w:ascii="Arial" w:hAnsi="Arial" w:cs="Arial"/>
                              </w:rPr>
                            </w:pPr>
                            <w:r>
                              <w:rPr>
                                <w:rFonts w:ascii="Arial" w:hAnsi="Arial" w:cs="Arial"/>
                              </w:rPr>
                              <w:t>Municipal Finance Policy Branch</w:t>
                            </w:r>
                          </w:p>
                          <w:p w:rsidR="000A4DF3" w:rsidRDefault="000A4DF3" w:rsidP="00DA7157">
                            <w:pPr>
                              <w:widowControl w:val="0"/>
                              <w:rPr>
                                <w:rFonts w:ascii="Arial" w:hAnsi="Arial" w:cs="Arial"/>
                              </w:rPr>
                            </w:pPr>
                            <w:r>
                              <w:rPr>
                                <w:rFonts w:ascii="Arial" w:hAnsi="Arial" w:cs="Arial"/>
                              </w:rPr>
                              <w:t>Municipal Affairs and Housing</w:t>
                            </w:r>
                            <w:r>
                              <w:rPr>
                                <w:rFonts w:ascii="Arial" w:hAnsi="Arial" w:cs="Arial"/>
                              </w:rPr>
                              <w:tab/>
                            </w:r>
                            <w:r>
                              <w:rPr>
                                <w:rFonts w:ascii="Arial" w:hAnsi="Arial" w:cs="Arial"/>
                              </w:rPr>
                              <w:tab/>
                            </w:r>
                            <w:r w:rsidRPr="000A4DF3">
                              <w:rPr>
                                <w:rFonts w:ascii="Arial" w:hAnsi="Arial" w:cs="Arial"/>
                              </w:rPr>
                              <w:tab/>
                            </w:r>
                            <w:r>
                              <w:rPr>
                                <w:rFonts w:ascii="Arial" w:hAnsi="Arial" w:cs="Arial"/>
                              </w:rPr>
                              <w:tab/>
                            </w:r>
                          </w:p>
                          <w:p w:rsidR="00410144" w:rsidRDefault="000A4DF3" w:rsidP="000A4DF3">
                            <w:pPr>
                              <w:widowControl w:val="0"/>
                              <w:rPr>
                                <w:rFonts w:ascii="Arial" w:hAnsi="Arial" w:cs="Arial"/>
                              </w:rPr>
                            </w:pPr>
                            <w:r>
                              <w:rPr>
                                <w:rFonts w:ascii="Arial" w:hAnsi="Arial" w:cs="Arial"/>
                              </w:rPr>
                              <w:t>13th Floor, 777 Bay Street</w:t>
                            </w:r>
                          </w:p>
                          <w:p w:rsidR="000A4DF3" w:rsidRDefault="000A4DF3" w:rsidP="000A4DF3">
                            <w:pPr>
                              <w:widowControl w:val="0"/>
                              <w:rPr>
                                <w:rFonts w:ascii="Arial" w:hAnsi="Arial" w:cs="Arial"/>
                              </w:rPr>
                            </w:pPr>
                            <w:r>
                              <w:rPr>
                                <w:rFonts w:ascii="Arial" w:hAnsi="Arial" w:cs="Arial"/>
                              </w:rPr>
                              <w:t>Toronto, ON M5G 2E5</w:t>
                            </w:r>
                          </w:p>
                          <w:p w:rsidR="000A4DF3" w:rsidRDefault="000A4DF3" w:rsidP="000A4DF3">
                            <w:pPr>
                              <w:widowControl w:val="0"/>
                              <w:rPr>
                                <w:rFonts w:ascii="Arial" w:hAnsi="Arial" w:cs="Arial"/>
                              </w:rPr>
                            </w:pPr>
                          </w:p>
                          <w:p w:rsidR="000A4DF3" w:rsidRDefault="000A4DF3" w:rsidP="000A4DF3">
                            <w:pPr>
                              <w:widowControl w:val="0"/>
                            </w:pPr>
                            <w:r>
                              <w:rPr>
                                <w:rFonts w:ascii="Arial" w:hAnsi="Arial" w:cs="Arial"/>
                              </w:rPr>
                              <w:t>Submitted through Environmental Registry Ontario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133.5pt;width:455.2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ajIgIAAB4EAAAOAAAAZHJzL2Uyb0RvYy54bWysU9uO2yAQfa/Uf0C8N7403iRWnNU221SV&#10;thdptx+AMY5RgXGBxE6/vgPOZqPtW1UeEMMMh5kzZ9a3o1bkKKyTYCqazVJKhOHQSLOv6I+n3bsl&#10;Jc4z0zAFRlT0JBy93bx9sx76UuTQgWqEJQhiXDn0Fe2878skcbwTmrkZ9MKgswWrmUfT7pPGsgHR&#10;tUryNL1JBrBNb4EL5/D2fnLSTcRvW8H9t7Z1whNVUczNx93GvQ57slmzcm9Z30l+ToP9QxaaSYOf&#10;XqDumWfkYOVfUFpyCw5aP+OgE2hbyUWsAavJ0lfVPHasF7EWJMf1F5rc/4PlX4/fLZFNRd+nC0oM&#10;09ikJzF68gFGkgd+ht6VGPbYY6Af8Rr7HGt1/QPwn44Y2HbM7MWdtTB0gjWYXxZeJldPJxwXQOrh&#10;CzT4DTt4iEBja3UgD+kgiI59Ol16E1LheFksltnNoqCEoy/LV8U8jd1LWPn8vLfOfxKgSThU1GLz&#10;Izw7Pjgf0mHlc0j4zYGSzU4qFQ27r7fKkiNDoeziihW8ClOGDBVdFXkRkQ2E91FDWnoUspK6oss0&#10;rElagY6Ppokhnkk1nTETZc78BEomcvxYjxgYSKuhOSFTFibB4oDhoQP7m5IBxVpR9+vArKBEfTbI&#10;9iqbz4O6ozEvFjka9tpTX3uY4QhVUU/JdNz6OBGBBwN32JVWRr5eMjnniiKMNJ4HJqj82o5RL2O9&#10;+QMAAP//AwBQSwMEFAAGAAgAAAAhAMaR/JXgAAAACwEAAA8AAABkcnMvZG93bnJldi54bWxMj8Fu&#10;gzAQRO+V+g/WVuqlSgwoAUJZorZSq16T5gMW7AAqthF2Avn7bk/tbVYzmn1T7hcziKuefO8sQryO&#10;QGjbONXbFuH09b7KQfhAVtHgrEa4aQ/76v6upEK52R709RhawSXWF4TQhTAWUvqm04b82o3asnd2&#10;k6HA59RKNdHM5WaQSRSl0lBv+UNHo37rdPN9vBiE8+f8tN3N9Uc4ZYdN+kp9Vrsb4uPD8vIMIugl&#10;/IXhF5/RoWKm2l2s8mJAWMUJbwkISZqx4ES+y7cgaoRNFkcgq1L+31D9AAAA//8DAFBLAQItABQA&#10;BgAIAAAAIQC2gziS/gAAAOEBAAATAAAAAAAAAAAAAAAAAAAAAABbQ29udGVudF9UeXBlc10ueG1s&#10;UEsBAi0AFAAGAAgAAAAhADj9If/WAAAAlAEAAAsAAAAAAAAAAAAAAAAALwEAAF9yZWxzLy5yZWxz&#10;UEsBAi0AFAAGAAgAAAAhAJgKZqMiAgAAHgQAAA4AAAAAAAAAAAAAAAAALgIAAGRycy9lMm9Eb2Mu&#10;eG1sUEsBAi0AFAAGAAgAAAAhAMaR/JXgAAAACwEAAA8AAAAAAAAAAAAAAAAAfAQAAGRycy9kb3du&#10;cmV2LnhtbFBLBQYAAAAABAAEAPMAAACJBQAAAAA=&#10;" stroked="f">
                <v:textbox>
                  <w:txbxContent>
                    <w:p w:rsidR="007C3D07" w:rsidRDefault="000A4DF3" w:rsidP="00DA7157">
                      <w:pPr>
                        <w:widowControl w:val="0"/>
                        <w:rPr>
                          <w:rFonts w:ascii="Arial" w:hAnsi="Arial" w:cs="Arial"/>
                        </w:rPr>
                      </w:pPr>
                      <w:r>
                        <w:rPr>
                          <w:rFonts w:ascii="Arial" w:hAnsi="Arial" w:cs="Arial"/>
                        </w:rPr>
                        <w:t>John Ballantine, Manager</w:t>
                      </w:r>
                      <w:r>
                        <w:rPr>
                          <w:rFonts w:ascii="Arial" w:hAnsi="Arial" w:cs="Arial"/>
                        </w:rPr>
                        <w:tab/>
                      </w:r>
                    </w:p>
                    <w:p w:rsidR="00EA5C6A" w:rsidRDefault="000A4DF3" w:rsidP="00DA7157">
                      <w:pPr>
                        <w:widowControl w:val="0"/>
                        <w:rPr>
                          <w:rFonts w:ascii="Arial" w:hAnsi="Arial" w:cs="Arial"/>
                        </w:rPr>
                      </w:pPr>
                      <w:r>
                        <w:rPr>
                          <w:rFonts w:ascii="Arial" w:hAnsi="Arial" w:cs="Arial"/>
                        </w:rPr>
                        <w:t>Municipal Finance Policy Branch</w:t>
                      </w:r>
                    </w:p>
                    <w:p w:rsidR="000A4DF3" w:rsidRDefault="000A4DF3" w:rsidP="00DA7157">
                      <w:pPr>
                        <w:widowControl w:val="0"/>
                        <w:rPr>
                          <w:rFonts w:ascii="Arial" w:hAnsi="Arial" w:cs="Arial"/>
                        </w:rPr>
                      </w:pPr>
                      <w:r>
                        <w:rPr>
                          <w:rFonts w:ascii="Arial" w:hAnsi="Arial" w:cs="Arial"/>
                        </w:rPr>
                        <w:t>Municipal Affairs and Housing</w:t>
                      </w:r>
                      <w:r>
                        <w:rPr>
                          <w:rFonts w:ascii="Arial" w:hAnsi="Arial" w:cs="Arial"/>
                        </w:rPr>
                        <w:tab/>
                      </w:r>
                      <w:r>
                        <w:rPr>
                          <w:rFonts w:ascii="Arial" w:hAnsi="Arial" w:cs="Arial"/>
                        </w:rPr>
                        <w:tab/>
                      </w:r>
                      <w:r w:rsidRPr="000A4DF3">
                        <w:rPr>
                          <w:rFonts w:ascii="Arial" w:hAnsi="Arial" w:cs="Arial"/>
                        </w:rPr>
                        <w:tab/>
                      </w:r>
                      <w:r>
                        <w:rPr>
                          <w:rFonts w:ascii="Arial" w:hAnsi="Arial" w:cs="Arial"/>
                        </w:rPr>
                        <w:tab/>
                      </w:r>
                    </w:p>
                    <w:p w:rsidR="00410144" w:rsidRDefault="000A4DF3" w:rsidP="000A4DF3">
                      <w:pPr>
                        <w:widowControl w:val="0"/>
                        <w:rPr>
                          <w:rFonts w:ascii="Arial" w:hAnsi="Arial" w:cs="Arial"/>
                        </w:rPr>
                      </w:pPr>
                      <w:r>
                        <w:rPr>
                          <w:rFonts w:ascii="Arial" w:hAnsi="Arial" w:cs="Arial"/>
                        </w:rPr>
                        <w:t>13th Floor, 777 Bay Street</w:t>
                      </w:r>
                    </w:p>
                    <w:p w:rsidR="000A4DF3" w:rsidRDefault="000A4DF3" w:rsidP="000A4DF3">
                      <w:pPr>
                        <w:widowControl w:val="0"/>
                        <w:rPr>
                          <w:rFonts w:ascii="Arial" w:hAnsi="Arial" w:cs="Arial"/>
                        </w:rPr>
                      </w:pPr>
                      <w:r>
                        <w:rPr>
                          <w:rFonts w:ascii="Arial" w:hAnsi="Arial" w:cs="Arial"/>
                        </w:rPr>
                        <w:t>Toronto, ON M5G 2E5</w:t>
                      </w:r>
                    </w:p>
                    <w:p w:rsidR="000A4DF3" w:rsidRDefault="000A4DF3" w:rsidP="000A4DF3">
                      <w:pPr>
                        <w:widowControl w:val="0"/>
                        <w:rPr>
                          <w:rFonts w:ascii="Arial" w:hAnsi="Arial" w:cs="Arial"/>
                        </w:rPr>
                      </w:pPr>
                    </w:p>
                    <w:p w:rsidR="000A4DF3" w:rsidRDefault="000A4DF3" w:rsidP="000A4DF3">
                      <w:pPr>
                        <w:widowControl w:val="0"/>
                      </w:pPr>
                      <w:r>
                        <w:rPr>
                          <w:rFonts w:ascii="Arial" w:hAnsi="Arial" w:cs="Arial"/>
                        </w:rPr>
                        <w:t>Submitted through Environmental Registry Ontario website</w:t>
                      </w:r>
                    </w:p>
                  </w:txbxContent>
                </v:textbox>
                <w10:wrap anchory="page"/>
                <w10:anchorlock/>
              </v:shape>
            </w:pict>
          </mc:Fallback>
        </mc:AlternateContent>
      </w:r>
    </w:p>
    <w:p w:rsidR="00DA7157" w:rsidRPr="00DA7157" w:rsidRDefault="00DA7157" w:rsidP="005D23F7">
      <w:pPr>
        <w:rPr>
          <w:rFonts w:ascii="Arial" w:hAnsi="Arial" w:cs="Arial"/>
        </w:rPr>
      </w:pPr>
    </w:p>
    <w:p w:rsidR="00DA7157" w:rsidRPr="00410144" w:rsidRDefault="00DA7157" w:rsidP="005D23F7">
      <w:pPr>
        <w:rPr>
          <w:rFonts w:ascii="Arial" w:hAnsi="Arial" w:cs="Arial"/>
        </w:rPr>
      </w:pPr>
    </w:p>
    <w:p w:rsidR="00DA7157" w:rsidRPr="00410144" w:rsidRDefault="00DA7157" w:rsidP="005D23F7">
      <w:pPr>
        <w:rPr>
          <w:rFonts w:ascii="Arial" w:hAnsi="Arial" w:cs="Arial"/>
        </w:rPr>
      </w:pPr>
    </w:p>
    <w:p w:rsidR="00DA7157" w:rsidRPr="00410144" w:rsidRDefault="00DA7157" w:rsidP="005D23F7">
      <w:pPr>
        <w:rPr>
          <w:rFonts w:ascii="Arial" w:hAnsi="Arial" w:cs="Arial"/>
        </w:rPr>
      </w:pPr>
    </w:p>
    <w:p w:rsidR="00DA7157" w:rsidRPr="00410144" w:rsidRDefault="00DA7157" w:rsidP="005D23F7">
      <w:pPr>
        <w:rPr>
          <w:rFonts w:ascii="Arial" w:hAnsi="Arial" w:cs="Arial"/>
        </w:rPr>
      </w:pPr>
    </w:p>
    <w:p w:rsidR="00DA7157" w:rsidRPr="00410144" w:rsidRDefault="00DA7157" w:rsidP="005D23F7">
      <w:pPr>
        <w:rPr>
          <w:rFonts w:ascii="Arial" w:hAnsi="Arial" w:cs="Arial"/>
        </w:rPr>
      </w:pPr>
    </w:p>
    <w:p w:rsidR="00410144" w:rsidRDefault="00410144" w:rsidP="005D23F7">
      <w:pPr>
        <w:rPr>
          <w:rFonts w:ascii="Arial" w:hAnsi="Arial" w:cs="Arial"/>
        </w:rPr>
      </w:pPr>
    </w:p>
    <w:p w:rsidR="002A332B" w:rsidRDefault="002A332B" w:rsidP="005D23F7">
      <w:pPr>
        <w:rPr>
          <w:rFonts w:ascii="Arial" w:hAnsi="Arial" w:cs="Arial"/>
        </w:rPr>
      </w:pPr>
    </w:p>
    <w:p w:rsidR="00DA7157" w:rsidRPr="006D65CC" w:rsidRDefault="002A332B" w:rsidP="005D23F7">
      <w:pPr>
        <w:rPr>
          <w:rFonts w:ascii="Arial" w:hAnsi="Arial" w:cs="Arial"/>
        </w:rPr>
      </w:pPr>
      <w:r w:rsidRPr="006D65CC">
        <w:rPr>
          <w:rFonts w:ascii="Arial" w:hAnsi="Arial" w:cs="Arial"/>
        </w:rPr>
        <w:t>August 15</w:t>
      </w:r>
      <w:r w:rsidR="006C5431" w:rsidRPr="006D65CC">
        <w:rPr>
          <w:rFonts w:ascii="Arial" w:hAnsi="Arial" w:cs="Arial"/>
        </w:rPr>
        <w:t>, 2019</w:t>
      </w:r>
    </w:p>
    <w:p w:rsidR="00DA7157" w:rsidRPr="006D65CC" w:rsidRDefault="00DA7157" w:rsidP="005D23F7">
      <w:pPr>
        <w:rPr>
          <w:rFonts w:ascii="Arial" w:hAnsi="Arial" w:cs="Arial"/>
        </w:rPr>
      </w:pPr>
    </w:p>
    <w:p w:rsidR="00F96A56" w:rsidRPr="006D65CC" w:rsidRDefault="006C5431" w:rsidP="00091566">
      <w:pPr>
        <w:rPr>
          <w:rFonts w:ascii="Arial" w:hAnsi="Arial" w:cs="Arial"/>
        </w:rPr>
      </w:pPr>
      <w:r w:rsidRPr="006D65CC">
        <w:rPr>
          <w:rFonts w:ascii="Arial" w:hAnsi="Arial" w:cs="Arial"/>
        </w:rPr>
        <w:t xml:space="preserve">Re: </w:t>
      </w:r>
      <w:r w:rsidR="00F96A56" w:rsidRPr="006D65CC">
        <w:rPr>
          <w:rFonts w:ascii="Arial" w:hAnsi="Arial" w:cs="Arial"/>
        </w:rPr>
        <w:tab/>
      </w:r>
      <w:r w:rsidR="00EA5C6A" w:rsidRPr="006D65CC">
        <w:rPr>
          <w:rFonts w:ascii="Arial" w:hAnsi="Arial" w:cs="Arial"/>
        </w:rPr>
        <w:t>ERO File No. 019-0184</w:t>
      </w:r>
    </w:p>
    <w:p w:rsidR="00B92A68" w:rsidRPr="006D65CC" w:rsidRDefault="00F96A56" w:rsidP="00091566">
      <w:pPr>
        <w:rPr>
          <w:rFonts w:ascii="Arial" w:hAnsi="Arial" w:cs="Arial"/>
        </w:rPr>
      </w:pPr>
      <w:r w:rsidRPr="006D65CC">
        <w:rPr>
          <w:rFonts w:ascii="Arial" w:hAnsi="Arial" w:cs="Arial"/>
        </w:rPr>
        <w:tab/>
      </w:r>
      <w:r w:rsidR="00EA5C6A" w:rsidRPr="006D65CC">
        <w:rPr>
          <w:rFonts w:ascii="Arial" w:hAnsi="Arial" w:cs="Arial"/>
        </w:rPr>
        <w:t xml:space="preserve">Proposal to make changes to </w:t>
      </w:r>
      <w:r w:rsidR="00EA5C6A" w:rsidRPr="006D65CC">
        <w:rPr>
          <w:rFonts w:ascii="Arial" w:hAnsi="Arial" w:cs="Arial"/>
          <w:u w:val="single"/>
        </w:rPr>
        <w:t>O. Reg</w:t>
      </w:r>
      <w:r w:rsidR="00EA5C6A" w:rsidRPr="006D65CC">
        <w:rPr>
          <w:rFonts w:ascii="Arial" w:hAnsi="Arial" w:cs="Arial"/>
        </w:rPr>
        <w:t xml:space="preserve">. 82/98, under the </w:t>
      </w:r>
      <w:r w:rsidR="00EA5C6A" w:rsidRPr="006D65CC">
        <w:rPr>
          <w:rFonts w:ascii="Arial" w:hAnsi="Arial" w:cs="Arial"/>
          <w:i/>
        </w:rPr>
        <w:t>Development Charges Act, 1997</w:t>
      </w:r>
      <w:r w:rsidR="00EA5C6A" w:rsidRPr="006D65CC">
        <w:rPr>
          <w:rFonts w:ascii="Arial" w:hAnsi="Arial" w:cs="Arial"/>
        </w:rPr>
        <w:t xml:space="preserve"> </w:t>
      </w:r>
      <w:r w:rsidR="00EA5C6A" w:rsidRPr="006D65CC">
        <w:rPr>
          <w:rFonts w:ascii="Arial" w:hAnsi="Arial" w:cs="Arial"/>
        </w:rPr>
        <w:tab/>
        <w:t xml:space="preserve">related to Schedule 3 of the </w:t>
      </w:r>
      <w:r w:rsidR="00EA5C6A" w:rsidRPr="006D65CC">
        <w:rPr>
          <w:rFonts w:ascii="Arial" w:hAnsi="Arial" w:cs="Arial"/>
          <w:i/>
        </w:rPr>
        <w:t>More Homes, More Choice Act, 2019</w:t>
      </w:r>
      <w:r w:rsidR="00EA5C6A" w:rsidRPr="006D65CC">
        <w:rPr>
          <w:rFonts w:ascii="Arial" w:hAnsi="Arial" w:cs="Arial"/>
        </w:rPr>
        <w:t>.</w:t>
      </w:r>
    </w:p>
    <w:p w:rsidR="006C5431" w:rsidRPr="006D65CC" w:rsidRDefault="006C5431" w:rsidP="00091566">
      <w:pPr>
        <w:rPr>
          <w:rFonts w:ascii="Arial" w:hAnsi="Arial" w:cs="Arial"/>
        </w:rPr>
      </w:pPr>
    </w:p>
    <w:p w:rsidR="006C5431" w:rsidRPr="006D65CC" w:rsidRDefault="006C5431" w:rsidP="006C5431">
      <w:pPr>
        <w:rPr>
          <w:rFonts w:ascii="Arial" w:hAnsi="Arial" w:cs="Arial"/>
        </w:rPr>
      </w:pPr>
    </w:p>
    <w:p w:rsidR="002A332B" w:rsidRPr="006D65CC" w:rsidRDefault="002A332B" w:rsidP="002A332B">
      <w:pPr>
        <w:pStyle w:val="ListParagraph"/>
        <w:numPr>
          <w:ilvl w:val="0"/>
          <w:numId w:val="5"/>
        </w:numPr>
        <w:rPr>
          <w:rFonts w:ascii="Arial" w:hAnsi="Arial" w:cs="Arial"/>
          <w:sz w:val="24"/>
          <w:szCs w:val="24"/>
        </w:rPr>
      </w:pPr>
      <w:r w:rsidRPr="006D65CC">
        <w:rPr>
          <w:rFonts w:ascii="Arial" w:hAnsi="Arial" w:cs="Arial"/>
          <w:sz w:val="24"/>
          <w:szCs w:val="24"/>
        </w:rPr>
        <w:t>Transition</w:t>
      </w:r>
    </w:p>
    <w:p w:rsidR="00596983" w:rsidRPr="006D65CC" w:rsidRDefault="00596983" w:rsidP="00596983">
      <w:pPr>
        <w:rPr>
          <w:rFonts w:ascii="Arial" w:hAnsi="Arial" w:cs="Arial"/>
        </w:rPr>
      </w:pPr>
      <w:r w:rsidRPr="006D65CC">
        <w:rPr>
          <w:rFonts w:ascii="Arial" w:hAnsi="Arial" w:cs="Arial"/>
        </w:rPr>
        <w:t>The date by which all municipalities in Ontario must transition from the current development charges system to the new development charges system is January 1, 2021. The difficulty with this is that any budgets for planning reviews were set in January 2019. At the time the More Homes, More Choice Act was not being considered. To have all the municipalities requesting proposals from the few firms which assist Ontario municipalities with the development charges/community benefits by-laws will create a situation whereby all 444 municipalities are vying for their services. Without the funds in a current budget, all will be tendering after the 2020 budgets have been set - the end of January at best.</w:t>
      </w:r>
    </w:p>
    <w:p w:rsidR="00596983" w:rsidRPr="006D65CC" w:rsidRDefault="00596983" w:rsidP="00596983">
      <w:pPr>
        <w:rPr>
          <w:rFonts w:ascii="Arial" w:hAnsi="Arial" w:cs="Arial"/>
        </w:rPr>
      </w:pPr>
    </w:p>
    <w:p w:rsidR="00596983" w:rsidRPr="006D65CC" w:rsidRDefault="00596983" w:rsidP="00596983">
      <w:pPr>
        <w:rPr>
          <w:rFonts w:ascii="Arial" w:hAnsi="Arial" w:cs="Arial"/>
        </w:rPr>
      </w:pPr>
      <w:r w:rsidRPr="006D65CC">
        <w:rPr>
          <w:rFonts w:ascii="Arial" w:hAnsi="Arial" w:cs="Arial"/>
        </w:rPr>
        <w:t xml:space="preserve">Many municipalities can only budget one major planning review or study per budget year. The County of Lambton has had their Official Plan approved by the Ministry of Municipal Affairs and Housing and the Local Planning Appeal Tribunal this year. Several of the lower-tier, and smaller, municipalities in Lambton County, including Plympton-Wyoming, were planning on an Official Plan Review in 2020. This review will have to be postponed until 2021 to accommodate the new development charges and community benefits by-laws. </w:t>
      </w:r>
    </w:p>
    <w:p w:rsidR="00596983" w:rsidRPr="006D65CC" w:rsidRDefault="00596983" w:rsidP="00596983">
      <w:pPr>
        <w:rPr>
          <w:rFonts w:ascii="Arial" w:hAnsi="Arial" w:cs="Arial"/>
        </w:rPr>
      </w:pPr>
    </w:p>
    <w:p w:rsidR="002A332B" w:rsidRPr="006D65CC" w:rsidRDefault="00596983" w:rsidP="00596983">
      <w:pPr>
        <w:rPr>
          <w:rFonts w:ascii="Arial" w:hAnsi="Arial" w:cs="Arial"/>
        </w:rPr>
      </w:pPr>
      <w:r w:rsidRPr="006D65CC">
        <w:rPr>
          <w:rFonts w:ascii="Arial" w:hAnsi="Arial" w:cs="Arial"/>
        </w:rPr>
        <w:t>A proposal is to amend the draft regulation to permit the required review and public consultation to take place as the current development charges by-laws are expiring. This would extend the transition time to June 6, 2024 at the latest.</w:t>
      </w:r>
    </w:p>
    <w:p w:rsidR="002A332B" w:rsidRPr="006D65CC" w:rsidRDefault="002A332B" w:rsidP="002A332B">
      <w:pPr>
        <w:rPr>
          <w:rFonts w:ascii="Arial" w:hAnsi="Arial" w:cs="Arial"/>
        </w:rPr>
      </w:pPr>
    </w:p>
    <w:p w:rsidR="002A332B" w:rsidRPr="006D65CC" w:rsidRDefault="002A332B" w:rsidP="002A332B">
      <w:pPr>
        <w:pStyle w:val="ListParagraph"/>
        <w:numPr>
          <w:ilvl w:val="0"/>
          <w:numId w:val="5"/>
        </w:numPr>
        <w:rPr>
          <w:rFonts w:ascii="Arial" w:hAnsi="Arial" w:cs="Arial"/>
          <w:sz w:val="24"/>
          <w:szCs w:val="24"/>
        </w:rPr>
      </w:pPr>
      <w:r w:rsidRPr="006D65CC">
        <w:rPr>
          <w:rFonts w:ascii="Arial" w:hAnsi="Arial" w:cs="Arial"/>
          <w:sz w:val="24"/>
          <w:szCs w:val="24"/>
        </w:rPr>
        <w:t>Scope of types of development subject to development charges deferral</w:t>
      </w:r>
    </w:p>
    <w:p w:rsidR="002A332B" w:rsidRPr="006D65CC" w:rsidRDefault="00FA137C" w:rsidP="002A332B">
      <w:pPr>
        <w:rPr>
          <w:rFonts w:ascii="Arial" w:hAnsi="Arial" w:cs="Arial"/>
        </w:rPr>
      </w:pPr>
      <w:r w:rsidRPr="006D65CC">
        <w:rPr>
          <w:rFonts w:ascii="Arial" w:hAnsi="Arial" w:cs="Arial"/>
        </w:rPr>
        <w:t xml:space="preserve">Deferring development charges for those buildings of land uses which are harder to attract is </w:t>
      </w:r>
      <w:r w:rsidR="006D65CC">
        <w:rPr>
          <w:rFonts w:ascii="Arial" w:hAnsi="Arial" w:cs="Arial"/>
        </w:rPr>
        <w:t>a practical tool</w:t>
      </w:r>
      <w:r w:rsidRPr="006D65CC">
        <w:rPr>
          <w:rFonts w:ascii="Arial" w:hAnsi="Arial" w:cs="Arial"/>
        </w:rPr>
        <w:t xml:space="preserve">. Especially for purpose built rental housing, this will permit the rental income to be applied to a construction cost directly. </w:t>
      </w:r>
    </w:p>
    <w:p w:rsidR="00FA137C" w:rsidRPr="006D65CC" w:rsidRDefault="00FA137C" w:rsidP="002A332B">
      <w:pPr>
        <w:rPr>
          <w:rFonts w:ascii="Arial" w:hAnsi="Arial" w:cs="Arial"/>
        </w:rPr>
      </w:pPr>
    </w:p>
    <w:p w:rsidR="00FA137C" w:rsidRPr="006D65CC" w:rsidRDefault="00FA137C" w:rsidP="002A332B">
      <w:pPr>
        <w:rPr>
          <w:rFonts w:ascii="Arial" w:hAnsi="Arial" w:cs="Arial"/>
        </w:rPr>
      </w:pPr>
      <w:r w:rsidRPr="006D65CC">
        <w:rPr>
          <w:rFonts w:ascii="Arial" w:hAnsi="Arial" w:cs="Arial"/>
        </w:rPr>
        <w:lastRenderedPageBreak/>
        <w:t xml:space="preserve">A proposed </w:t>
      </w:r>
      <w:r w:rsidR="006D65CC" w:rsidRPr="006D65CC">
        <w:rPr>
          <w:rFonts w:ascii="Arial" w:hAnsi="Arial" w:cs="Arial"/>
        </w:rPr>
        <w:t>mechanism</w:t>
      </w:r>
      <w:r w:rsidRPr="006D65CC">
        <w:rPr>
          <w:rFonts w:ascii="Arial" w:hAnsi="Arial" w:cs="Arial"/>
        </w:rPr>
        <w:t xml:space="preserve"> is that the development charges payable at building permit issuance are frozen. Therefore any outstanding development charges would not be subject to an increase if a new development charges by-law were enacted by the municipality.</w:t>
      </w:r>
    </w:p>
    <w:p w:rsidR="002A332B" w:rsidRPr="006D65CC" w:rsidRDefault="002A332B" w:rsidP="002A332B">
      <w:pPr>
        <w:rPr>
          <w:rFonts w:ascii="Arial" w:hAnsi="Arial" w:cs="Arial"/>
        </w:rPr>
      </w:pPr>
    </w:p>
    <w:p w:rsidR="002A332B" w:rsidRPr="006D65CC" w:rsidRDefault="002A332B" w:rsidP="002A332B">
      <w:pPr>
        <w:pStyle w:val="ListParagraph"/>
        <w:numPr>
          <w:ilvl w:val="0"/>
          <w:numId w:val="5"/>
        </w:numPr>
        <w:rPr>
          <w:rFonts w:ascii="Arial" w:hAnsi="Arial" w:cs="Arial"/>
          <w:sz w:val="24"/>
          <w:szCs w:val="24"/>
        </w:rPr>
      </w:pPr>
      <w:r w:rsidRPr="006D65CC">
        <w:rPr>
          <w:rFonts w:ascii="Arial" w:hAnsi="Arial" w:cs="Arial"/>
          <w:sz w:val="24"/>
          <w:szCs w:val="24"/>
        </w:rPr>
        <w:t>Period of time for which the development charge freeze would be in place</w:t>
      </w:r>
    </w:p>
    <w:p w:rsidR="002A332B" w:rsidRPr="006D65CC" w:rsidRDefault="002A332B" w:rsidP="002A332B">
      <w:pPr>
        <w:rPr>
          <w:rFonts w:ascii="Arial" w:hAnsi="Arial" w:cs="Arial"/>
        </w:rPr>
      </w:pPr>
      <w:r w:rsidRPr="006D65CC">
        <w:rPr>
          <w:rFonts w:ascii="Arial" w:hAnsi="Arial" w:cs="Arial"/>
        </w:rPr>
        <w:t xml:space="preserve">It is not practical for a municipality to freeze the amount of development charges to the time of site plan agreement, or zoning by-law amendment, as </w:t>
      </w:r>
      <w:r w:rsidR="000F3C80" w:rsidRPr="006D65CC">
        <w:rPr>
          <w:rFonts w:ascii="Arial" w:hAnsi="Arial" w:cs="Arial"/>
        </w:rPr>
        <w:t xml:space="preserve">there can be a time lag of two (2) years until the subject of the site plan agreement is at building permit issuance, or longer with an amendment to the site plan agreement. The same is true for zoning by-law amendments. Additionally, the ZBA is with the property in perpetuity, therefore development may not happen for 10+ years. This is the equivalent of two review cycles of a development charges by-law. </w:t>
      </w:r>
    </w:p>
    <w:p w:rsidR="000F3C80" w:rsidRPr="006D65CC" w:rsidRDefault="000F3C80" w:rsidP="002A332B">
      <w:pPr>
        <w:rPr>
          <w:rFonts w:ascii="Arial" w:hAnsi="Arial" w:cs="Arial"/>
        </w:rPr>
      </w:pPr>
    </w:p>
    <w:p w:rsidR="000F3C80" w:rsidRPr="006D65CC" w:rsidRDefault="000F3C80" w:rsidP="002A332B">
      <w:pPr>
        <w:rPr>
          <w:rFonts w:ascii="Arial" w:hAnsi="Arial" w:cs="Arial"/>
        </w:rPr>
      </w:pPr>
      <w:r w:rsidRPr="006D65CC">
        <w:rPr>
          <w:rFonts w:ascii="Arial" w:hAnsi="Arial" w:cs="Arial"/>
        </w:rPr>
        <w:t xml:space="preserve">The proposal is to not permit a freeze and the date of the amount of the development charge remain at building permit issuance. </w:t>
      </w:r>
    </w:p>
    <w:p w:rsidR="002A332B" w:rsidRPr="006D65CC" w:rsidRDefault="002A332B" w:rsidP="002A332B">
      <w:pPr>
        <w:rPr>
          <w:rFonts w:ascii="Arial" w:hAnsi="Arial" w:cs="Arial"/>
        </w:rPr>
      </w:pPr>
    </w:p>
    <w:p w:rsidR="002A332B" w:rsidRPr="006D65CC" w:rsidRDefault="002A332B" w:rsidP="002A332B">
      <w:pPr>
        <w:pStyle w:val="ListParagraph"/>
        <w:numPr>
          <w:ilvl w:val="0"/>
          <w:numId w:val="5"/>
        </w:numPr>
        <w:rPr>
          <w:rFonts w:ascii="Arial" w:hAnsi="Arial" w:cs="Arial"/>
          <w:sz w:val="24"/>
          <w:szCs w:val="24"/>
        </w:rPr>
      </w:pPr>
      <w:r w:rsidRPr="006D65CC">
        <w:rPr>
          <w:rFonts w:ascii="Arial" w:hAnsi="Arial" w:cs="Arial"/>
          <w:sz w:val="24"/>
          <w:szCs w:val="24"/>
        </w:rPr>
        <w:t>Interest rate during deferral and freeze of development charges</w:t>
      </w:r>
    </w:p>
    <w:p w:rsidR="002A332B" w:rsidRPr="006D65CC" w:rsidRDefault="000F3C80" w:rsidP="002A332B">
      <w:pPr>
        <w:rPr>
          <w:rFonts w:ascii="Arial" w:hAnsi="Arial" w:cs="Arial"/>
        </w:rPr>
      </w:pPr>
      <w:r w:rsidRPr="006D65CC">
        <w:rPr>
          <w:rFonts w:ascii="Arial" w:hAnsi="Arial" w:cs="Arial"/>
        </w:rPr>
        <w:t xml:space="preserve">It is appropriate to charge interest if deferring, or freezing, development charges and to let </w:t>
      </w:r>
      <w:r w:rsidR="009119C8">
        <w:rPr>
          <w:rFonts w:ascii="Arial" w:hAnsi="Arial" w:cs="Arial"/>
        </w:rPr>
        <w:t>t</w:t>
      </w:r>
      <w:r w:rsidRPr="006D65CC">
        <w:rPr>
          <w:rFonts w:ascii="Arial" w:hAnsi="Arial" w:cs="Arial"/>
        </w:rPr>
        <w:t>he municipalities use existing legislation in setting the interest rate payable.</w:t>
      </w:r>
    </w:p>
    <w:p w:rsidR="002A332B" w:rsidRPr="006D65CC" w:rsidRDefault="002A332B" w:rsidP="002A332B">
      <w:pPr>
        <w:rPr>
          <w:rFonts w:ascii="Arial" w:hAnsi="Arial" w:cs="Arial"/>
        </w:rPr>
      </w:pPr>
    </w:p>
    <w:p w:rsidR="002A332B" w:rsidRPr="006D65CC" w:rsidRDefault="002A332B" w:rsidP="002A332B">
      <w:pPr>
        <w:pStyle w:val="ListParagraph"/>
        <w:numPr>
          <w:ilvl w:val="0"/>
          <w:numId w:val="5"/>
        </w:numPr>
        <w:rPr>
          <w:rFonts w:ascii="Arial" w:hAnsi="Arial" w:cs="Arial"/>
          <w:sz w:val="24"/>
          <w:szCs w:val="24"/>
        </w:rPr>
      </w:pPr>
      <w:r w:rsidRPr="006D65CC">
        <w:rPr>
          <w:rFonts w:ascii="Arial" w:hAnsi="Arial" w:cs="Arial"/>
          <w:sz w:val="24"/>
          <w:szCs w:val="24"/>
        </w:rPr>
        <w:t>Additional dwelling units</w:t>
      </w:r>
    </w:p>
    <w:p w:rsidR="002A332B" w:rsidRPr="006D65CC" w:rsidRDefault="002A332B" w:rsidP="002A332B">
      <w:pPr>
        <w:rPr>
          <w:rFonts w:ascii="Arial" w:hAnsi="Arial" w:cs="Arial"/>
        </w:rPr>
      </w:pPr>
      <w:r w:rsidRPr="006D65CC">
        <w:rPr>
          <w:rFonts w:ascii="Arial" w:hAnsi="Arial" w:cs="Arial"/>
        </w:rPr>
        <w:t>The Town of Plympton-Wyoming DC by-law does not apply the current residential DC for a new dwelling unit within an existing structure (one of the proposed amendments). It does, however, for a second accessory dwelling. Therefore this amount would not be available though second dwelling units can add to the population base to be serviced by Town services.</w:t>
      </w:r>
      <w:r w:rsidRPr="006D65CC">
        <w:t xml:space="preserve"> </w:t>
      </w:r>
      <w:r w:rsidRPr="006D65CC">
        <w:rPr>
          <w:rFonts w:ascii="Arial" w:hAnsi="Arial" w:cs="Arial"/>
        </w:rPr>
        <w:t>If development charges are not charged on these additional units the burden on municipal services would be even greater.</w:t>
      </w:r>
    </w:p>
    <w:p w:rsidR="002A332B" w:rsidRPr="006D65CC" w:rsidRDefault="002A332B" w:rsidP="002A332B">
      <w:pPr>
        <w:rPr>
          <w:rFonts w:ascii="Arial" w:hAnsi="Arial" w:cs="Arial"/>
        </w:rPr>
      </w:pPr>
    </w:p>
    <w:p w:rsidR="00410144" w:rsidRPr="006D65CC" w:rsidRDefault="002A332B" w:rsidP="00091566">
      <w:pPr>
        <w:rPr>
          <w:rFonts w:ascii="Arial" w:hAnsi="Arial" w:cs="Arial"/>
        </w:rPr>
      </w:pPr>
      <w:r w:rsidRPr="006D65CC">
        <w:rPr>
          <w:rFonts w:ascii="Arial" w:hAnsi="Arial" w:cs="Arial"/>
        </w:rPr>
        <w:t xml:space="preserve"> </w:t>
      </w:r>
      <w:r w:rsidR="005823DB" w:rsidRPr="006D65CC">
        <w:rPr>
          <w:rFonts w:ascii="Arial" w:hAnsi="Arial" w:cs="Arial"/>
        </w:rPr>
        <w:t xml:space="preserve">Thank you for the opportunity to comment on </w:t>
      </w:r>
      <w:r w:rsidR="006D65CC" w:rsidRPr="006D65CC">
        <w:rPr>
          <w:rFonts w:ascii="Arial" w:hAnsi="Arial" w:cs="Arial"/>
        </w:rPr>
        <w:t>the amended development charges regime under the More Homes, More Choices Act, 2019</w:t>
      </w:r>
      <w:r w:rsidR="005823DB" w:rsidRPr="006D65CC">
        <w:rPr>
          <w:rFonts w:ascii="Arial" w:hAnsi="Arial" w:cs="Arial"/>
        </w:rPr>
        <w:t xml:space="preserve">. This </w:t>
      </w:r>
      <w:r w:rsidR="006D65CC" w:rsidRPr="006D65CC">
        <w:rPr>
          <w:rFonts w:ascii="Arial" w:hAnsi="Arial" w:cs="Arial"/>
        </w:rPr>
        <w:t xml:space="preserve">regulation </w:t>
      </w:r>
      <w:r w:rsidR="005823DB" w:rsidRPr="006D65CC">
        <w:rPr>
          <w:rFonts w:ascii="Arial" w:hAnsi="Arial" w:cs="Arial"/>
        </w:rPr>
        <w:t>will affect many in the Province of Ontario and it is important to create the best legislation possible.</w:t>
      </w:r>
      <w:bookmarkStart w:id="0" w:name="_GoBack"/>
      <w:bookmarkEnd w:id="0"/>
    </w:p>
    <w:p w:rsidR="007C3D07" w:rsidRPr="006D65CC" w:rsidRDefault="007C3D07" w:rsidP="00091566">
      <w:pPr>
        <w:rPr>
          <w:rFonts w:ascii="Arial" w:hAnsi="Arial" w:cs="Arial"/>
        </w:rPr>
      </w:pPr>
    </w:p>
    <w:p w:rsidR="00091566" w:rsidRPr="006D65CC" w:rsidRDefault="006D4F0C" w:rsidP="00091566">
      <w:pPr>
        <w:rPr>
          <w:rFonts w:ascii="Arial" w:hAnsi="Arial" w:cs="Arial"/>
        </w:rPr>
      </w:pPr>
      <w:r w:rsidRPr="006D65CC">
        <w:rPr>
          <w:rFonts w:ascii="Arial" w:hAnsi="Arial" w:cs="Arial"/>
        </w:rPr>
        <w:t>Regards</w:t>
      </w:r>
      <w:r w:rsidR="00091566" w:rsidRPr="006D65CC">
        <w:rPr>
          <w:rFonts w:ascii="Arial" w:hAnsi="Arial" w:cs="Arial"/>
        </w:rPr>
        <w:t>,</w:t>
      </w:r>
    </w:p>
    <w:p w:rsidR="00F94E21" w:rsidRPr="006D65CC" w:rsidRDefault="00091755" w:rsidP="00091566">
      <w:pPr>
        <w:rPr>
          <w:rFonts w:ascii="Arial" w:hAnsi="Arial" w:cs="Arial"/>
        </w:rPr>
      </w:pPr>
      <w:r w:rsidRPr="006D65CC">
        <w:rPr>
          <w:rFonts w:ascii="Arial" w:hAnsi="Arial" w:cs="Arial"/>
          <w:noProof/>
        </w:rPr>
        <w:drawing>
          <wp:inline distT="0" distB="0" distL="0" distR="0" wp14:anchorId="4E71FAFB" wp14:editId="05B649DA">
            <wp:extent cx="1724025" cy="48754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6301" cy="488190"/>
                    </a:xfrm>
                    <a:prstGeom prst="rect">
                      <a:avLst/>
                    </a:prstGeom>
                    <a:noFill/>
                  </pic:spPr>
                </pic:pic>
              </a:graphicData>
            </a:graphic>
          </wp:inline>
        </w:drawing>
      </w:r>
    </w:p>
    <w:p w:rsidR="00F94E21" w:rsidRPr="006D65CC" w:rsidRDefault="00F94E21" w:rsidP="00091566">
      <w:pPr>
        <w:rPr>
          <w:rFonts w:ascii="Arial" w:hAnsi="Arial" w:cs="Arial"/>
        </w:rPr>
      </w:pPr>
    </w:p>
    <w:p w:rsidR="00091566" w:rsidRPr="006D65CC" w:rsidRDefault="00E00F8E" w:rsidP="00091566">
      <w:pPr>
        <w:rPr>
          <w:rFonts w:ascii="Arial" w:hAnsi="Arial" w:cs="Arial"/>
        </w:rPr>
      </w:pPr>
      <w:r w:rsidRPr="006D65CC">
        <w:rPr>
          <w:rFonts w:ascii="Arial" w:hAnsi="Arial" w:cs="Arial"/>
        </w:rPr>
        <w:t>Sarah Baldwin, MCIP, RPP</w:t>
      </w:r>
      <w:r w:rsidR="00091566" w:rsidRPr="006D65CC">
        <w:rPr>
          <w:rFonts w:ascii="Arial" w:hAnsi="Arial" w:cs="Arial"/>
        </w:rPr>
        <w:br/>
      </w:r>
      <w:r w:rsidRPr="006D65CC">
        <w:rPr>
          <w:rFonts w:ascii="Arial" w:hAnsi="Arial" w:cs="Arial"/>
        </w:rPr>
        <w:t>Planner</w:t>
      </w:r>
      <w:r w:rsidR="00091566" w:rsidRPr="006D65CC">
        <w:rPr>
          <w:rFonts w:ascii="Arial" w:hAnsi="Arial" w:cs="Arial"/>
        </w:rPr>
        <w:t xml:space="preserve">, </w:t>
      </w:r>
      <w:r w:rsidRPr="006D65CC">
        <w:rPr>
          <w:rFonts w:ascii="Arial" w:hAnsi="Arial" w:cs="Arial"/>
        </w:rPr>
        <w:t xml:space="preserve">for </w:t>
      </w:r>
      <w:r w:rsidR="00091566" w:rsidRPr="006D65CC">
        <w:rPr>
          <w:rFonts w:ascii="Arial" w:hAnsi="Arial" w:cs="Arial"/>
        </w:rPr>
        <w:t>Town of Plympton-Wyoming</w:t>
      </w:r>
    </w:p>
    <w:p w:rsidR="00091566" w:rsidRPr="006D65CC" w:rsidRDefault="00091566" w:rsidP="00091566">
      <w:pPr>
        <w:rPr>
          <w:rFonts w:ascii="Arial" w:hAnsi="Arial" w:cs="Arial"/>
        </w:rPr>
      </w:pPr>
    </w:p>
    <w:p w:rsidR="00410144" w:rsidRPr="006D65CC" w:rsidRDefault="00091566" w:rsidP="00091566">
      <w:pPr>
        <w:rPr>
          <w:rFonts w:ascii="Arial" w:hAnsi="Arial" w:cs="Arial"/>
          <w:sz w:val="20"/>
        </w:rPr>
      </w:pPr>
      <w:r w:rsidRPr="006D65CC">
        <w:rPr>
          <w:rFonts w:ascii="Arial" w:hAnsi="Arial" w:cs="Arial"/>
          <w:sz w:val="20"/>
        </w:rPr>
        <w:t xml:space="preserve">cc. </w:t>
      </w:r>
      <w:r w:rsidRPr="006D65CC">
        <w:rPr>
          <w:rFonts w:ascii="Arial" w:hAnsi="Arial" w:cs="Arial"/>
          <w:sz w:val="20"/>
        </w:rPr>
        <w:tab/>
      </w:r>
      <w:r w:rsidR="006D4F0C" w:rsidRPr="006D65CC">
        <w:rPr>
          <w:rFonts w:ascii="Arial" w:hAnsi="Arial" w:cs="Arial"/>
          <w:sz w:val="20"/>
        </w:rPr>
        <w:t>Carolyn Tripp, Chief Administrative Officer, Town of Plympton-Wyoming</w:t>
      </w:r>
    </w:p>
    <w:p w:rsidR="00DA7157" w:rsidRPr="006D65CC" w:rsidRDefault="00410144" w:rsidP="00091566">
      <w:pPr>
        <w:rPr>
          <w:rFonts w:ascii="Arial" w:hAnsi="Arial" w:cs="Arial"/>
        </w:rPr>
      </w:pPr>
      <w:r w:rsidRPr="006D65CC">
        <w:rPr>
          <w:rFonts w:ascii="Arial" w:hAnsi="Arial" w:cs="Arial"/>
        </w:rPr>
        <w:tab/>
      </w:r>
      <w:r w:rsidR="00091566" w:rsidRPr="006D65CC">
        <w:rPr>
          <w:rFonts w:ascii="Arial" w:hAnsi="Arial" w:cs="Arial"/>
        </w:rPr>
        <w:tab/>
      </w:r>
      <w:r w:rsidR="00091566" w:rsidRPr="006D65CC">
        <w:tab/>
      </w:r>
    </w:p>
    <w:sectPr w:rsidR="00DA7157" w:rsidRPr="006D65CC" w:rsidSect="00932128">
      <w:footerReference w:type="default" r:id="rId11"/>
      <w:pgSz w:w="12240" w:h="15840"/>
      <w:pgMar w:top="568" w:right="720" w:bottom="993" w:left="720" w:header="10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74F" w:rsidRDefault="0064674F" w:rsidP="00330598">
      <w:r>
        <w:separator/>
      </w:r>
    </w:p>
  </w:endnote>
  <w:endnote w:type="continuationSeparator" w:id="0">
    <w:p w:rsidR="0064674F" w:rsidRDefault="0064674F" w:rsidP="0033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144" w:rsidRPr="003A616C" w:rsidRDefault="00410144" w:rsidP="003A616C">
    <w:pPr>
      <w:pStyle w:val="Footer"/>
      <w:pBdr>
        <w:top w:val="single" w:sz="4" w:space="1" w:color="auto"/>
      </w:pBdr>
      <w:jc w:val="center"/>
      <w:rPr>
        <w:rFonts w:ascii="Arial" w:hAnsi="Arial" w:cs="Arial"/>
        <w:b/>
        <w:color w:val="808080" w:themeColor="background1" w:themeShade="80"/>
      </w:rPr>
    </w:pPr>
    <w:r w:rsidRPr="003A616C">
      <w:rPr>
        <w:rFonts w:ascii="Arial" w:hAnsi="Arial" w:cs="Arial"/>
        <w:b/>
        <w:color w:val="808080" w:themeColor="background1" w:themeShade="80"/>
      </w:rPr>
      <w:t>The Corporation of the Town of Plympton-Wyoming</w:t>
    </w:r>
  </w:p>
  <w:p w:rsidR="00410144" w:rsidRPr="003A616C" w:rsidRDefault="00410144" w:rsidP="001E44B4">
    <w:pPr>
      <w:pStyle w:val="Footer"/>
      <w:jc w:val="center"/>
      <w:rPr>
        <w:rFonts w:ascii="Arial" w:hAnsi="Arial" w:cs="Arial"/>
        <w:color w:val="808080" w:themeColor="background1" w:themeShade="80"/>
        <w:sz w:val="20"/>
        <w:szCs w:val="20"/>
      </w:rPr>
    </w:pPr>
    <w:r w:rsidRPr="003A616C">
      <w:rPr>
        <w:rFonts w:ascii="Arial" w:hAnsi="Arial" w:cs="Arial"/>
        <w:color w:val="808080" w:themeColor="background1" w:themeShade="80"/>
        <w:sz w:val="20"/>
        <w:szCs w:val="20"/>
      </w:rPr>
      <w:t xml:space="preserve">P.O Box 250, 546 Niagara Street, Wyoming Ontario N0N 1T0                                   </w:t>
    </w:r>
  </w:p>
  <w:p w:rsidR="00410144" w:rsidRPr="003A616C" w:rsidRDefault="00410144" w:rsidP="001E44B4">
    <w:pPr>
      <w:pStyle w:val="Footer"/>
      <w:jc w:val="center"/>
      <w:rPr>
        <w:rFonts w:ascii="Arial" w:hAnsi="Arial" w:cs="Arial"/>
        <w:color w:val="808080" w:themeColor="background1" w:themeShade="80"/>
        <w:sz w:val="20"/>
        <w:szCs w:val="20"/>
      </w:rPr>
    </w:pPr>
    <w:r w:rsidRPr="003A616C">
      <w:rPr>
        <w:rFonts w:ascii="Arial" w:hAnsi="Arial" w:cs="Arial"/>
        <w:color w:val="808080" w:themeColor="background1" w:themeShade="80"/>
        <w:sz w:val="20"/>
        <w:szCs w:val="20"/>
      </w:rPr>
      <w:t xml:space="preserve">  Tel: 519-845-3939  Ontario Toll Free: </w:t>
    </w:r>
    <w:r>
      <w:rPr>
        <w:rFonts w:ascii="Arial" w:hAnsi="Arial" w:cs="Arial"/>
        <w:color w:val="808080" w:themeColor="background1" w:themeShade="80"/>
        <w:sz w:val="20"/>
        <w:szCs w:val="20"/>
      </w:rPr>
      <w:t>1</w:t>
    </w:r>
    <w:r w:rsidRPr="003A616C">
      <w:rPr>
        <w:rFonts w:ascii="Arial" w:hAnsi="Arial" w:cs="Arial"/>
        <w:color w:val="808080" w:themeColor="background1" w:themeShade="80"/>
        <w:sz w:val="20"/>
        <w:szCs w:val="20"/>
      </w:rPr>
      <w:t>-877-313-3939</w:t>
    </w:r>
  </w:p>
  <w:p w:rsidR="00410144" w:rsidRPr="003A616C" w:rsidRDefault="00410144" w:rsidP="001E44B4">
    <w:pPr>
      <w:pStyle w:val="Footer"/>
      <w:jc w:val="center"/>
      <w:rPr>
        <w:rFonts w:ascii="Arial" w:hAnsi="Arial" w:cs="Arial"/>
        <w:color w:val="808080" w:themeColor="background1" w:themeShade="80"/>
        <w:sz w:val="20"/>
        <w:szCs w:val="20"/>
        <w:u w:val="single"/>
      </w:rPr>
    </w:pPr>
    <w:r w:rsidRPr="003A616C">
      <w:rPr>
        <w:rFonts w:ascii="Arial" w:hAnsi="Arial" w:cs="Arial"/>
        <w:color w:val="808080" w:themeColor="background1" w:themeShade="80"/>
        <w:sz w:val="20"/>
        <w:szCs w:val="20"/>
        <w:u w:val="single"/>
      </w:rPr>
      <w:t>www.plympton-wyoming.com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74F" w:rsidRDefault="0064674F" w:rsidP="00330598">
      <w:r>
        <w:separator/>
      </w:r>
    </w:p>
  </w:footnote>
  <w:footnote w:type="continuationSeparator" w:id="0">
    <w:p w:rsidR="0064674F" w:rsidRDefault="0064674F" w:rsidP="00330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039C8"/>
    <w:multiLevelType w:val="hybridMultilevel"/>
    <w:tmpl w:val="E23A65BE"/>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
    <w:nsid w:val="3AB31387"/>
    <w:multiLevelType w:val="hybridMultilevel"/>
    <w:tmpl w:val="1DBC3DC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B3A6A49"/>
    <w:multiLevelType w:val="hybridMultilevel"/>
    <w:tmpl w:val="A714485C"/>
    <w:lvl w:ilvl="0" w:tplc="620E3F5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6F957A10"/>
    <w:multiLevelType w:val="hybridMultilevel"/>
    <w:tmpl w:val="070EF3DC"/>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4">
    <w:nsid w:val="749727E9"/>
    <w:multiLevelType w:val="hybridMultilevel"/>
    <w:tmpl w:val="8F981D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14"/>
    <w:rsid w:val="00003963"/>
    <w:rsid w:val="00004620"/>
    <w:rsid w:val="00032631"/>
    <w:rsid w:val="0003616F"/>
    <w:rsid w:val="00051D46"/>
    <w:rsid w:val="00071036"/>
    <w:rsid w:val="00077E85"/>
    <w:rsid w:val="000819B9"/>
    <w:rsid w:val="00083714"/>
    <w:rsid w:val="00091566"/>
    <w:rsid w:val="00091755"/>
    <w:rsid w:val="00093F4C"/>
    <w:rsid w:val="000A07AD"/>
    <w:rsid w:val="000A0F74"/>
    <w:rsid w:val="000A4DF3"/>
    <w:rsid w:val="000A6238"/>
    <w:rsid w:val="000B1E48"/>
    <w:rsid w:val="000B2C6E"/>
    <w:rsid w:val="000B6B52"/>
    <w:rsid w:val="000C4DEC"/>
    <w:rsid w:val="000D3285"/>
    <w:rsid w:val="000E7598"/>
    <w:rsid w:val="000F38A2"/>
    <w:rsid w:val="000F3C80"/>
    <w:rsid w:val="000F404D"/>
    <w:rsid w:val="001176B7"/>
    <w:rsid w:val="001248C4"/>
    <w:rsid w:val="00142C7C"/>
    <w:rsid w:val="001510C2"/>
    <w:rsid w:val="001518EE"/>
    <w:rsid w:val="00156AFB"/>
    <w:rsid w:val="0016438D"/>
    <w:rsid w:val="00173C7E"/>
    <w:rsid w:val="001A0F50"/>
    <w:rsid w:val="001A4DEB"/>
    <w:rsid w:val="001C3B4B"/>
    <w:rsid w:val="001D0B66"/>
    <w:rsid w:val="001E30ED"/>
    <w:rsid w:val="001E44B4"/>
    <w:rsid w:val="001E4E86"/>
    <w:rsid w:val="001E512C"/>
    <w:rsid w:val="001F1B69"/>
    <w:rsid w:val="001F30A8"/>
    <w:rsid w:val="001F6438"/>
    <w:rsid w:val="00235C1E"/>
    <w:rsid w:val="0024018A"/>
    <w:rsid w:val="00256459"/>
    <w:rsid w:val="00275E13"/>
    <w:rsid w:val="002843CF"/>
    <w:rsid w:val="002862C1"/>
    <w:rsid w:val="0029022E"/>
    <w:rsid w:val="00291BBB"/>
    <w:rsid w:val="00295042"/>
    <w:rsid w:val="002A332B"/>
    <w:rsid w:val="002C1FC6"/>
    <w:rsid w:val="002D25A0"/>
    <w:rsid w:val="002D3D79"/>
    <w:rsid w:val="002F007F"/>
    <w:rsid w:val="00330598"/>
    <w:rsid w:val="0033240B"/>
    <w:rsid w:val="0033631B"/>
    <w:rsid w:val="003515F4"/>
    <w:rsid w:val="0036600A"/>
    <w:rsid w:val="00383FF0"/>
    <w:rsid w:val="00397F24"/>
    <w:rsid w:val="003A616C"/>
    <w:rsid w:val="003C098C"/>
    <w:rsid w:val="003E0B26"/>
    <w:rsid w:val="0041002F"/>
    <w:rsid w:val="00410144"/>
    <w:rsid w:val="00414033"/>
    <w:rsid w:val="00442CE1"/>
    <w:rsid w:val="00462126"/>
    <w:rsid w:val="004737ED"/>
    <w:rsid w:val="00473CC4"/>
    <w:rsid w:val="00480FA5"/>
    <w:rsid w:val="00487E66"/>
    <w:rsid w:val="00493CD3"/>
    <w:rsid w:val="004A4D03"/>
    <w:rsid w:val="004D2D96"/>
    <w:rsid w:val="00510794"/>
    <w:rsid w:val="00510F23"/>
    <w:rsid w:val="00516A0C"/>
    <w:rsid w:val="0054589D"/>
    <w:rsid w:val="00546545"/>
    <w:rsid w:val="005656F2"/>
    <w:rsid w:val="00567A41"/>
    <w:rsid w:val="00575491"/>
    <w:rsid w:val="00575D19"/>
    <w:rsid w:val="005823DB"/>
    <w:rsid w:val="00596983"/>
    <w:rsid w:val="005A024C"/>
    <w:rsid w:val="005A2560"/>
    <w:rsid w:val="005B2C26"/>
    <w:rsid w:val="005D23F7"/>
    <w:rsid w:val="005D41A5"/>
    <w:rsid w:val="005F1B63"/>
    <w:rsid w:val="005F5F01"/>
    <w:rsid w:val="00615CB4"/>
    <w:rsid w:val="00616AE9"/>
    <w:rsid w:val="00623C26"/>
    <w:rsid w:val="006272C0"/>
    <w:rsid w:val="00630624"/>
    <w:rsid w:val="00637015"/>
    <w:rsid w:val="0064674F"/>
    <w:rsid w:val="006546A1"/>
    <w:rsid w:val="0066387D"/>
    <w:rsid w:val="00665374"/>
    <w:rsid w:val="006753B0"/>
    <w:rsid w:val="006936EA"/>
    <w:rsid w:val="00695D5E"/>
    <w:rsid w:val="006A7560"/>
    <w:rsid w:val="006B5577"/>
    <w:rsid w:val="006C5431"/>
    <w:rsid w:val="006D4F0C"/>
    <w:rsid w:val="006D5DB6"/>
    <w:rsid w:val="006D65CC"/>
    <w:rsid w:val="006F0EE7"/>
    <w:rsid w:val="006F4474"/>
    <w:rsid w:val="00706073"/>
    <w:rsid w:val="007140FF"/>
    <w:rsid w:val="00715731"/>
    <w:rsid w:val="00715C2A"/>
    <w:rsid w:val="0073561D"/>
    <w:rsid w:val="00745473"/>
    <w:rsid w:val="0075332B"/>
    <w:rsid w:val="00765DCF"/>
    <w:rsid w:val="007801D3"/>
    <w:rsid w:val="00783CA7"/>
    <w:rsid w:val="007C3D07"/>
    <w:rsid w:val="007E7953"/>
    <w:rsid w:val="007F0F1F"/>
    <w:rsid w:val="007F6863"/>
    <w:rsid w:val="0081575E"/>
    <w:rsid w:val="00822F11"/>
    <w:rsid w:val="00822FF7"/>
    <w:rsid w:val="00823E26"/>
    <w:rsid w:val="00824512"/>
    <w:rsid w:val="00824DEB"/>
    <w:rsid w:val="00827F55"/>
    <w:rsid w:val="0083661B"/>
    <w:rsid w:val="00862AFC"/>
    <w:rsid w:val="0087049C"/>
    <w:rsid w:val="00886825"/>
    <w:rsid w:val="00892BFB"/>
    <w:rsid w:val="008A7E29"/>
    <w:rsid w:val="008B47B3"/>
    <w:rsid w:val="008C14C0"/>
    <w:rsid w:val="008E3F34"/>
    <w:rsid w:val="008E5EF5"/>
    <w:rsid w:val="008E6154"/>
    <w:rsid w:val="009119C8"/>
    <w:rsid w:val="009128A1"/>
    <w:rsid w:val="00921021"/>
    <w:rsid w:val="00932128"/>
    <w:rsid w:val="009325D1"/>
    <w:rsid w:val="00952D12"/>
    <w:rsid w:val="009625CC"/>
    <w:rsid w:val="00970715"/>
    <w:rsid w:val="00977674"/>
    <w:rsid w:val="009B3BAE"/>
    <w:rsid w:val="009C0973"/>
    <w:rsid w:val="009E34DF"/>
    <w:rsid w:val="009E6A54"/>
    <w:rsid w:val="009F047F"/>
    <w:rsid w:val="00A0014F"/>
    <w:rsid w:val="00A15622"/>
    <w:rsid w:val="00A31266"/>
    <w:rsid w:val="00A31F26"/>
    <w:rsid w:val="00A32BEF"/>
    <w:rsid w:val="00A548F5"/>
    <w:rsid w:val="00A55DB8"/>
    <w:rsid w:val="00A61B14"/>
    <w:rsid w:val="00A61FAA"/>
    <w:rsid w:val="00A636A4"/>
    <w:rsid w:val="00A7483F"/>
    <w:rsid w:val="00A75D7E"/>
    <w:rsid w:val="00AB22F0"/>
    <w:rsid w:val="00AB3B76"/>
    <w:rsid w:val="00AB7A59"/>
    <w:rsid w:val="00AD076D"/>
    <w:rsid w:val="00AD0C91"/>
    <w:rsid w:val="00AD34AB"/>
    <w:rsid w:val="00AD5013"/>
    <w:rsid w:val="00AE1776"/>
    <w:rsid w:val="00B16AFC"/>
    <w:rsid w:val="00B2685F"/>
    <w:rsid w:val="00B32574"/>
    <w:rsid w:val="00B334F8"/>
    <w:rsid w:val="00B536BC"/>
    <w:rsid w:val="00B60284"/>
    <w:rsid w:val="00B62CD4"/>
    <w:rsid w:val="00B7575B"/>
    <w:rsid w:val="00B92A68"/>
    <w:rsid w:val="00BB4EDC"/>
    <w:rsid w:val="00BC15C7"/>
    <w:rsid w:val="00BC54F5"/>
    <w:rsid w:val="00BD5388"/>
    <w:rsid w:val="00BD577A"/>
    <w:rsid w:val="00BE1497"/>
    <w:rsid w:val="00BE171D"/>
    <w:rsid w:val="00BF1B08"/>
    <w:rsid w:val="00BF6795"/>
    <w:rsid w:val="00C0335D"/>
    <w:rsid w:val="00C12E71"/>
    <w:rsid w:val="00C14860"/>
    <w:rsid w:val="00C67736"/>
    <w:rsid w:val="00C73195"/>
    <w:rsid w:val="00C864F8"/>
    <w:rsid w:val="00C932B5"/>
    <w:rsid w:val="00CA43E2"/>
    <w:rsid w:val="00CA5050"/>
    <w:rsid w:val="00CD702C"/>
    <w:rsid w:val="00CF02D6"/>
    <w:rsid w:val="00CF6BD2"/>
    <w:rsid w:val="00D06EB8"/>
    <w:rsid w:val="00D10695"/>
    <w:rsid w:val="00D16FC4"/>
    <w:rsid w:val="00D47E4A"/>
    <w:rsid w:val="00D52AB7"/>
    <w:rsid w:val="00D54D53"/>
    <w:rsid w:val="00D5673B"/>
    <w:rsid w:val="00D57412"/>
    <w:rsid w:val="00D60223"/>
    <w:rsid w:val="00D635EE"/>
    <w:rsid w:val="00D73BA5"/>
    <w:rsid w:val="00D82BC2"/>
    <w:rsid w:val="00D85112"/>
    <w:rsid w:val="00D878D9"/>
    <w:rsid w:val="00D91C14"/>
    <w:rsid w:val="00DA6668"/>
    <w:rsid w:val="00DA7157"/>
    <w:rsid w:val="00DB4528"/>
    <w:rsid w:val="00DC3127"/>
    <w:rsid w:val="00DD3B9F"/>
    <w:rsid w:val="00DD5A9D"/>
    <w:rsid w:val="00DD5C5E"/>
    <w:rsid w:val="00DE6A2F"/>
    <w:rsid w:val="00DF1D11"/>
    <w:rsid w:val="00E00B58"/>
    <w:rsid w:val="00E00F8E"/>
    <w:rsid w:val="00E10257"/>
    <w:rsid w:val="00E17D27"/>
    <w:rsid w:val="00E43B7C"/>
    <w:rsid w:val="00E55A37"/>
    <w:rsid w:val="00E66B6A"/>
    <w:rsid w:val="00E701FD"/>
    <w:rsid w:val="00E8082C"/>
    <w:rsid w:val="00E85F4A"/>
    <w:rsid w:val="00E93883"/>
    <w:rsid w:val="00EA2A35"/>
    <w:rsid w:val="00EA5C6A"/>
    <w:rsid w:val="00EF7E7A"/>
    <w:rsid w:val="00F04A4D"/>
    <w:rsid w:val="00F15BF4"/>
    <w:rsid w:val="00F20A25"/>
    <w:rsid w:val="00F214D9"/>
    <w:rsid w:val="00F248A5"/>
    <w:rsid w:val="00F27A34"/>
    <w:rsid w:val="00F53C0D"/>
    <w:rsid w:val="00F61B72"/>
    <w:rsid w:val="00F65068"/>
    <w:rsid w:val="00F91A4F"/>
    <w:rsid w:val="00F93632"/>
    <w:rsid w:val="00F94E21"/>
    <w:rsid w:val="00F961F6"/>
    <w:rsid w:val="00F96A56"/>
    <w:rsid w:val="00FA137C"/>
    <w:rsid w:val="00FC23E2"/>
    <w:rsid w:val="00FC372F"/>
    <w:rsid w:val="00FC443A"/>
    <w:rsid w:val="00FC59A4"/>
    <w:rsid w:val="00FE3A6D"/>
    <w:rsid w:val="00FF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D82BC2"/>
    <w:pPr>
      <w:keepNext/>
      <w:keepLines/>
      <w:spacing w:before="200"/>
      <w:outlineLvl w:val="1"/>
    </w:pPr>
    <w:rPr>
      <w:rFonts w:asciiTheme="majorHAnsi" w:eastAsiaTheme="majorEastAsia" w:hAnsiTheme="majorHAnsi" w:cstheme="majorBidi"/>
      <w:bCs/>
      <w:color w:val="000000" w:themeColor="tex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 w:type="character" w:styleId="Hyperlink">
    <w:name w:val="Hyperlink"/>
    <w:basedOn w:val="DefaultParagraphFont"/>
    <w:rsid w:val="000F38A2"/>
    <w:rPr>
      <w:color w:val="0000FF" w:themeColor="hyperlink"/>
      <w:u w:val="single"/>
    </w:rPr>
  </w:style>
  <w:style w:type="paragraph" w:styleId="BalloonText">
    <w:name w:val="Balloon Text"/>
    <w:basedOn w:val="Normal"/>
    <w:link w:val="BalloonTextChar"/>
    <w:rsid w:val="000F38A2"/>
    <w:rPr>
      <w:rFonts w:ascii="Tahoma" w:hAnsi="Tahoma" w:cs="Tahoma"/>
      <w:sz w:val="16"/>
      <w:szCs w:val="16"/>
    </w:rPr>
  </w:style>
  <w:style w:type="character" w:customStyle="1" w:styleId="BalloonTextChar">
    <w:name w:val="Balloon Text Char"/>
    <w:basedOn w:val="DefaultParagraphFont"/>
    <w:link w:val="BalloonText"/>
    <w:rsid w:val="000F38A2"/>
    <w:rPr>
      <w:rFonts w:ascii="Tahoma" w:hAnsi="Tahoma" w:cs="Tahoma"/>
      <w:sz w:val="16"/>
      <w:szCs w:val="16"/>
    </w:rPr>
  </w:style>
  <w:style w:type="paragraph" w:styleId="ListParagraph">
    <w:name w:val="List Paragraph"/>
    <w:basedOn w:val="Normal"/>
    <w:uiPriority w:val="34"/>
    <w:qFormat/>
    <w:rsid w:val="00615CB4"/>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D82BC2"/>
    <w:rPr>
      <w:rFonts w:asciiTheme="majorHAnsi" w:eastAsiaTheme="majorEastAsia" w:hAnsiTheme="majorHAnsi" w:cstheme="majorBidi"/>
      <w:bCs/>
      <w:color w:val="000000" w:themeColor="text1"/>
      <w:sz w:val="22"/>
      <w:szCs w:val="26"/>
    </w:rPr>
  </w:style>
  <w:style w:type="paragraph" w:styleId="Header">
    <w:name w:val="header"/>
    <w:basedOn w:val="Normal"/>
    <w:link w:val="HeaderChar"/>
    <w:rsid w:val="00330598"/>
    <w:pPr>
      <w:tabs>
        <w:tab w:val="center" w:pos="4680"/>
        <w:tab w:val="right" w:pos="9360"/>
      </w:tabs>
    </w:pPr>
  </w:style>
  <w:style w:type="character" w:customStyle="1" w:styleId="HeaderChar">
    <w:name w:val="Header Char"/>
    <w:basedOn w:val="DefaultParagraphFont"/>
    <w:link w:val="Header"/>
    <w:rsid w:val="00330598"/>
    <w:rPr>
      <w:sz w:val="24"/>
      <w:szCs w:val="24"/>
    </w:rPr>
  </w:style>
  <w:style w:type="paragraph" w:styleId="Footer">
    <w:name w:val="footer"/>
    <w:basedOn w:val="Normal"/>
    <w:link w:val="FooterChar"/>
    <w:uiPriority w:val="99"/>
    <w:rsid w:val="00330598"/>
    <w:pPr>
      <w:tabs>
        <w:tab w:val="center" w:pos="4680"/>
        <w:tab w:val="right" w:pos="9360"/>
      </w:tabs>
    </w:pPr>
  </w:style>
  <w:style w:type="character" w:customStyle="1" w:styleId="FooterChar">
    <w:name w:val="Footer Char"/>
    <w:basedOn w:val="DefaultParagraphFont"/>
    <w:link w:val="Footer"/>
    <w:uiPriority w:val="99"/>
    <w:rsid w:val="003305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D82BC2"/>
    <w:pPr>
      <w:keepNext/>
      <w:keepLines/>
      <w:spacing w:before="200"/>
      <w:outlineLvl w:val="1"/>
    </w:pPr>
    <w:rPr>
      <w:rFonts w:asciiTheme="majorHAnsi" w:eastAsiaTheme="majorEastAsia" w:hAnsiTheme="majorHAnsi" w:cstheme="majorBidi"/>
      <w:bCs/>
      <w:color w:val="000000" w:themeColor="tex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 w:type="character" w:styleId="Hyperlink">
    <w:name w:val="Hyperlink"/>
    <w:basedOn w:val="DefaultParagraphFont"/>
    <w:rsid w:val="000F38A2"/>
    <w:rPr>
      <w:color w:val="0000FF" w:themeColor="hyperlink"/>
      <w:u w:val="single"/>
    </w:rPr>
  </w:style>
  <w:style w:type="paragraph" w:styleId="BalloonText">
    <w:name w:val="Balloon Text"/>
    <w:basedOn w:val="Normal"/>
    <w:link w:val="BalloonTextChar"/>
    <w:rsid w:val="000F38A2"/>
    <w:rPr>
      <w:rFonts w:ascii="Tahoma" w:hAnsi="Tahoma" w:cs="Tahoma"/>
      <w:sz w:val="16"/>
      <w:szCs w:val="16"/>
    </w:rPr>
  </w:style>
  <w:style w:type="character" w:customStyle="1" w:styleId="BalloonTextChar">
    <w:name w:val="Balloon Text Char"/>
    <w:basedOn w:val="DefaultParagraphFont"/>
    <w:link w:val="BalloonText"/>
    <w:rsid w:val="000F38A2"/>
    <w:rPr>
      <w:rFonts w:ascii="Tahoma" w:hAnsi="Tahoma" w:cs="Tahoma"/>
      <w:sz w:val="16"/>
      <w:szCs w:val="16"/>
    </w:rPr>
  </w:style>
  <w:style w:type="paragraph" w:styleId="ListParagraph">
    <w:name w:val="List Paragraph"/>
    <w:basedOn w:val="Normal"/>
    <w:uiPriority w:val="34"/>
    <w:qFormat/>
    <w:rsid w:val="00615CB4"/>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D82BC2"/>
    <w:rPr>
      <w:rFonts w:asciiTheme="majorHAnsi" w:eastAsiaTheme="majorEastAsia" w:hAnsiTheme="majorHAnsi" w:cstheme="majorBidi"/>
      <w:bCs/>
      <w:color w:val="000000" w:themeColor="text1"/>
      <w:sz w:val="22"/>
      <w:szCs w:val="26"/>
    </w:rPr>
  </w:style>
  <w:style w:type="paragraph" w:styleId="Header">
    <w:name w:val="header"/>
    <w:basedOn w:val="Normal"/>
    <w:link w:val="HeaderChar"/>
    <w:rsid w:val="00330598"/>
    <w:pPr>
      <w:tabs>
        <w:tab w:val="center" w:pos="4680"/>
        <w:tab w:val="right" w:pos="9360"/>
      </w:tabs>
    </w:pPr>
  </w:style>
  <w:style w:type="character" w:customStyle="1" w:styleId="HeaderChar">
    <w:name w:val="Header Char"/>
    <w:basedOn w:val="DefaultParagraphFont"/>
    <w:link w:val="Header"/>
    <w:rsid w:val="00330598"/>
    <w:rPr>
      <w:sz w:val="24"/>
      <w:szCs w:val="24"/>
    </w:rPr>
  </w:style>
  <w:style w:type="paragraph" w:styleId="Footer">
    <w:name w:val="footer"/>
    <w:basedOn w:val="Normal"/>
    <w:link w:val="FooterChar"/>
    <w:uiPriority w:val="99"/>
    <w:rsid w:val="00330598"/>
    <w:pPr>
      <w:tabs>
        <w:tab w:val="center" w:pos="4680"/>
        <w:tab w:val="right" w:pos="9360"/>
      </w:tabs>
    </w:pPr>
  </w:style>
  <w:style w:type="character" w:customStyle="1" w:styleId="FooterChar">
    <w:name w:val="Footer Char"/>
    <w:basedOn w:val="DefaultParagraphFont"/>
    <w:link w:val="Footer"/>
    <w:uiPriority w:val="99"/>
    <w:rsid w:val="003305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06581">
      <w:bodyDiv w:val="1"/>
      <w:marLeft w:val="0"/>
      <w:marRight w:val="0"/>
      <w:marTop w:val="0"/>
      <w:marBottom w:val="0"/>
      <w:divBdr>
        <w:top w:val="none" w:sz="0" w:space="0" w:color="auto"/>
        <w:left w:val="none" w:sz="0" w:space="0" w:color="auto"/>
        <w:bottom w:val="none" w:sz="0" w:space="0" w:color="auto"/>
        <w:right w:val="none" w:sz="0" w:space="0" w:color="auto"/>
      </w:divBdr>
    </w:div>
    <w:div w:id="631054604">
      <w:bodyDiv w:val="1"/>
      <w:marLeft w:val="0"/>
      <w:marRight w:val="0"/>
      <w:marTop w:val="0"/>
      <w:marBottom w:val="0"/>
      <w:divBdr>
        <w:top w:val="none" w:sz="0" w:space="0" w:color="auto"/>
        <w:left w:val="none" w:sz="0" w:space="0" w:color="auto"/>
        <w:bottom w:val="none" w:sz="0" w:space="0" w:color="auto"/>
        <w:right w:val="none" w:sz="0" w:space="0" w:color="auto"/>
      </w:divBdr>
    </w:div>
    <w:div w:id="658386147">
      <w:bodyDiv w:val="1"/>
      <w:marLeft w:val="0"/>
      <w:marRight w:val="0"/>
      <w:marTop w:val="0"/>
      <w:marBottom w:val="0"/>
      <w:divBdr>
        <w:top w:val="none" w:sz="0" w:space="0" w:color="auto"/>
        <w:left w:val="none" w:sz="0" w:space="0" w:color="auto"/>
        <w:bottom w:val="none" w:sz="0" w:space="0" w:color="auto"/>
        <w:right w:val="none" w:sz="0" w:space="0" w:color="auto"/>
      </w:divBdr>
    </w:div>
    <w:div w:id="1023441934">
      <w:bodyDiv w:val="1"/>
      <w:marLeft w:val="0"/>
      <w:marRight w:val="0"/>
      <w:marTop w:val="0"/>
      <w:marBottom w:val="0"/>
      <w:divBdr>
        <w:top w:val="none" w:sz="0" w:space="0" w:color="auto"/>
        <w:left w:val="none" w:sz="0" w:space="0" w:color="auto"/>
        <w:bottom w:val="none" w:sz="0" w:space="0" w:color="auto"/>
        <w:right w:val="none" w:sz="0" w:space="0" w:color="auto"/>
      </w:divBdr>
    </w:div>
    <w:div w:id="1764952626">
      <w:bodyDiv w:val="1"/>
      <w:marLeft w:val="0"/>
      <w:marRight w:val="0"/>
      <w:marTop w:val="0"/>
      <w:marBottom w:val="0"/>
      <w:divBdr>
        <w:top w:val="none" w:sz="0" w:space="0" w:color="auto"/>
        <w:left w:val="none" w:sz="0" w:space="0" w:color="auto"/>
        <w:bottom w:val="none" w:sz="0" w:space="0" w:color="auto"/>
        <w:right w:val="none" w:sz="0" w:space="0" w:color="auto"/>
      </w:divBdr>
    </w:div>
    <w:div w:id="184308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4121C-3CCC-49B7-B2F2-C4D1093E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668</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Corporation of the</vt:lpstr>
    </vt:vector>
  </TitlesOfParts>
  <Company>Township of Plympton Wyoming</Company>
  <LinksUpToDate>false</LinksUpToDate>
  <CharactersWithSpaces>4192</CharactersWithSpaces>
  <SharedDoc>false</SharedDoc>
  <HLinks>
    <vt:vector size="6" baseType="variant">
      <vt:variant>
        <vt:i4>1245258</vt:i4>
      </vt:variant>
      <vt:variant>
        <vt:i4>2</vt:i4>
      </vt:variant>
      <vt:variant>
        <vt:i4>0</vt:i4>
      </vt:variant>
      <vt:variant>
        <vt:i4>5</vt:i4>
      </vt:variant>
      <vt:variant>
        <vt:lpwstr>http://www.plympont/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Corporation of the</dc:title>
  <dc:creator>CarolH</dc:creator>
  <cp:lastModifiedBy>Meagan Elliott</cp:lastModifiedBy>
  <cp:revision>9</cp:revision>
  <cp:lastPrinted>2017-09-22T13:48:00Z</cp:lastPrinted>
  <dcterms:created xsi:type="dcterms:W3CDTF">2019-07-20T18:37:00Z</dcterms:created>
  <dcterms:modified xsi:type="dcterms:W3CDTF">2019-08-15T14:41:00Z</dcterms:modified>
</cp:coreProperties>
</file>