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714" w:rsidRPr="00970F44" w:rsidRDefault="00462126" w:rsidP="00083714">
      <w:pPr>
        <w:widowControl w:val="0"/>
        <w:ind w:left="6480" w:right="-214" w:hanging="6660"/>
        <w:rPr>
          <w:rFonts w:ascii="Arial" w:hAnsi="Arial" w:cs="Arial"/>
          <w:b/>
          <w:bCs/>
          <w:i/>
          <w:iCs/>
        </w:rPr>
      </w:pPr>
      <w:r w:rsidRPr="00970F44">
        <w:rPr>
          <w:rFonts w:ascii="Arial" w:hAnsi="Arial" w:cs="Arial"/>
          <w:i/>
          <w:noProof/>
          <w:lang w:val="en-CA" w:eastAsia="en-CA"/>
        </w:rPr>
        <w:drawing>
          <wp:anchor distT="0" distB="0" distL="114300" distR="114300" simplePos="0" relativeHeight="251658240" behindDoc="1" locked="0" layoutInCell="1" allowOverlap="0" wp14:anchorId="14E1F426" wp14:editId="3B600F0D">
            <wp:simplePos x="0" y="0"/>
            <wp:positionH relativeFrom="column">
              <wp:posOffset>2843530</wp:posOffset>
            </wp:positionH>
            <wp:positionV relativeFrom="paragraph">
              <wp:posOffset>94615</wp:posOffset>
            </wp:positionV>
            <wp:extent cx="1092835" cy="12299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835" cy="122999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CE1" w:rsidRPr="00970F44">
        <w:rPr>
          <w:rFonts w:ascii="Arial" w:hAnsi="Arial" w:cs="Arial"/>
          <w:i/>
        </w:rPr>
        <w:fldChar w:fldCharType="begin"/>
      </w:r>
      <w:r w:rsidR="00442CE1" w:rsidRPr="00970F44">
        <w:rPr>
          <w:rFonts w:ascii="Arial" w:hAnsi="Arial" w:cs="Arial"/>
          <w:i/>
        </w:rPr>
        <w:instrText xml:space="preserve"> SEQ CHAPTER \h \r 1</w:instrText>
      </w:r>
      <w:r w:rsidR="00442CE1" w:rsidRPr="00970F44">
        <w:rPr>
          <w:rFonts w:ascii="Arial" w:hAnsi="Arial" w:cs="Arial"/>
          <w:i/>
        </w:rPr>
        <w:fldChar w:fldCharType="end"/>
      </w:r>
      <w:r w:rsidR="00083714" w:rsidRPr="00970F44">
        <w:rPr>
          <w:rFonts w:ascii="Arial" w:hAnsi="Arial" w:cs="Arial"/>
          <w:b/>
          <w:bCs/>
          <w:i/>
          <w:iCs/>
        </w:rPr>
        <w:tab/>
      </w:r>
      <w:r w:rsidR="00083714" w:rsidRPr="00970F44">
        <w:rPr>
          <w:rFonts w:ascii="Arial" w:hAnsi="Arial" w:cs="Arial"/>
          <w:b/>
          <w:bCs/>
          <w:i/>
          <w:iCs/>
        </w:rPr>
        <w:tab/>
      </w:r>
      <w:r w:rsidR="00083714" w:rsidRPr="00970F44">
        <w:rPr>
          <w:rFonts w:ascii="Arial" w:hAnsi="Arial" w:cs="Arial"/>
          <w:b/>
          <w:bCs/>
          <w:i/>
          <w:iCs/>
        </w:rPr>
        <w:tab/>
      </w:r>
      <w:r w:rsidR="00083714" w:rsidRPr="00970F44">
        <w:rPr>
          <w:rFonts w:ascii="Arial" w:hAnsi="Arial" w:cs="Arial"/>
          <w:b/>
          <w:bCs/>
          <w:i/>
          <w:iCs/>
        </w:rPr>
        <w:tab/>
      </w:r>
    </w:p>
    <w:p w:rsidR="00442CE1" w:rsidRPr="00970F44" w:rsidRDefault="00442CE1">
      <w:pPr>
        <w:widowControl w:val="0"/>
        <w:rPr>
          <w:rFonts w:ascii="Arial" w:hAnsi="Arial" w:cs="Arial"/>
        </w:rPr>
      </w:pPr>
    </w:p>
    <w:p w:rsidR="005D23F7" w:rsidRPr="00970F44" w:rsidRDefault="005D23F7" w:rsidP="005D23F7">
      <w:pPr>
        <w:rPr>
          <w:rFonts w:ascii="Arial" w:hAnsi="Arial" w:cs="Arial"/>
        </w:rPr>
      </w:pPr>
    </w:p>
    <w:p w:rsidR="00DA7157" w:rsidRPr="00970F44" w:rsidRDefault="00DA7157" w:rsidP="005D23F7">
      <w:pPr>
        <w:rPr>
          <w:rFonts w:ascii="Arial" w:hAnsi="Arial" w:cs="Arial"/>
        </w:rPr>
      </w:pPr>
    </w:p>
    <w:p w:rsidR="00DA7157" w:rsidRPr="00970F44" w:rsidRDefault="00DA7157" w:rsidP="005D23F7">
      <w:pPr>
        <w:rPr>
          <w:rFonts w:ascii="Arial" w:hAnsi="Arial" w:cs="Arial"/>
        </w:rPr>
      </w:pPr>
    </w:p>
    <w:p w:rsidR="00DA7157" w:rsidRPr="00970F44" w:rsidRDefault="00DA7157" w:rsidP="005D23F7">
      <w:pPr>
        <w:rPr>
          <w:rFonts w:ascii="Arial" w:hAnsi="Arial" w:cs="Arial"/>
        </w:rPr>
      </w:pPr>
    </w:p>
    <w:p w:rsidR="00DA7157" w:rsidRPr="00970F44" w:rsidRDefault="00DA7157" w:rsidP="005D23F7">
      <w:pPr>
        <w:rPr>
          <w:rFonts w:ascii="Arial" w:hAnsi="Arial" w:cs="Arial"/>
        </w:rPr>
      </w:pPr>
    </w:p>
    <w:p w:rsidR="00DA7157" w:rsidRPr="00970F44" w:rsidRDefault="00DA7157" w:rsidP="005D23F7">
      <w:pPr>
        <w:rPr>
          <w:rFonts w:ascii="Arial" w:hAnsi="Arial" w:cs="Arial"/>
        </w:rPr>
      </w:pPr>
      <w:r w:rsidRPr="00970F44">
        <w:rPr>
          <w:rFonts w:ascii="Arial" w:hAnsi="Arial" w:cs="Arial"/>
          <w:noProof/>
          <w:lang w:val="en-CA" w:eastAsia="en-CA"/>
        </w:rPr>
        <mc:AlternateContent>
          <mc:Choice Requires="wps">
            <w:drawing>
              <wp:anchor distT="0" distB="0" distL="114300" distR="114300" simplePos="0" relativeHeight="251660288" behindDoc="0" locked="1" layoutInCell="1" allowOverlap="1" wp14:anchorId="6F2E36DE" wp14:editId="5AFBD7FC">
                <wp:simplePos x="0" y="0"/>
                <wp:positionH relativeFrom="column">
                  <wp:posOffset>-76200</wp:posOffset>
                </wp:positionH>
                <wp:positionV relativeFrom="page">
                  <wp:posOffset>1685925</wp:posOffset>
                </wp:positionV>
                <wp:extent cx="5781675" cy="15621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562100"/>
                        </a:xfrm>
                        <a:prstGeom prst="rect">
                          <a:avLst/>
                        </a:prstGeom>
                        <a:solidFill>
                          <a:srgbClr val="FFFFFF"/>
                        </a:solidFill>
                        <a:ln w="9525">
                          <a:noFill/>
                          <a:miter lim="800000"/>
                          <a:headEnd/>
                          <a:tailEnd/>
                        </a:ln>
                      </wps:spPr>
                      <wps:txbx>
                        <w:txbxContent>
                          <w:p w:rsidR="00410144" w:rsidRDefault="00410144" w:rsidP="00DA7157">
                            <w:pPr>
                              <w:widowControl w:val="0"/>
                              <w:rPr>
                                <w:rFonts w:ascii="Arial" w:hAnsi="Arial" w:cs="Arial"/>
                              </w:rPr>
                            </w:pPr>
                          </w:p>
                          <w:p w:rsidR="007C3D07" w:rsidRDefault="000A4DF3" w:rsidP="00DA7157">
                            <w:pPr>
                              <w:widowControl w:val="0"/>
                              <w:rPr>
                                <w:rFonts w:ascii="Arial" w:hAnsi="Arial" w:cs="Arial"/>
                              </w:rPr>
                            </w:pPr>
                            <w:r>
                              <w:rPr>
                                <w:rFonts w:ascii="Arial" w:hAnsi="Arial" w:cs="Arial"/>
                              </w:rPr>
                              <w:t>Planning Act Review</w:t>
                            </w:r>
                            <w:r>
                              <w:rPr>
                                <w:rFonts w:ascii="Arial" w:hAnsi="Arial" w:cs="Arial"/>
                              </w:rPr>
                              <w:tab/>
                            </w:r>
                            <w:r>
                              <w:rPr>
                                <w:rFonts w:ascii="Arial" w:hAnsi="Arial" w:cs="Arial"/>
                              </w:rPr>
                              <w:tab/>
                            </w:r>
                            <w:r>
                              <w:rPr>
                                <w:rFonts w:ascii="Arial" w:hAnsi="Arial" w:cs="Arial"/>
                              </w:rPr>
                              <w:tab/>
                            </w:r>
                          </w:p>
                          <w:p w:rsidR="000A4DF3" w:rsidRDefault="000A4DF3" w:rsidP="00DA7157">
                            <w:pPr>
                              <w:widowControl w:val="0"/>
                              <w:rPr>
                                <w:rFonts w:ascii="Arial" w:hAnsi="Arial" w:cs="Arial"/>
                              </w:rPr>
                            </w:pPr>
                            <w:r>
                              <w:rPr>
                                <w:rFonts w:ascii="Arial" w:hAnsi="Arial" w:cs="Arial"/>
                              </w:rPr>
                              <w:t>Provincial Planning Policy Branch</w:t>
                            </w:r>
                            <w:r>
                              <w:rPr>
                                <w:rFonts w:ascii="Arial" w:hAnsi="Arial" w:cs="Arial"/>
                              </w:rPr>
                              <w:tab/>
                            </w:r>
                            <w:r>
                              <w:rPr>
                                <w:rFonts w:ascii="Arial" w:hAnsi="Arial" w:cs="Arial"/>
                              </w:rPr>
                              <w:tab/>
                            </w:r>
                          </w:p>
                          <w:p w:rsidR="000A4DF3" w:rsidRDefault="000A4DF3" w:rsidP="00DA7157">
                            <w:pPr>
                              <w:widowControl w:val="0"/>
                              <w:rPr>
                                <w:rFonts w:ascii="Arial" w:hAnsi="Arial" w:cs="Arial"/>
                              </w:rPr>
                            </w:pPr>
                            <w:r>
                              <w:rPr>
                                <w:rFonts w:ascii="Arial" w:hAnsi="Arial" w:cs="Arial"/>
                              </w:rPr>
                              <w:t>Municipal Affairs and Housing</w:t>
                            </w:r>
                            <w:r>
                              <w:rPr>
                                <w:rFonts w:ascii="Arial" w:hAnsi="Arial" w:cs="Arial"/>
                              </w:rPr>
                              <w:tab/>
                            </w:r>
                            <w:r>
                              <w:rPr>
                                <w:rFonts w:ascii="Arial" w:hAnsi="Arial" w:cs="Arial"/>
                              </w:rPr>
                              <w:tab/>
                            </w:r>
                            <w:r w:rsidRPr="000A4DF3">
                              <w:rPr>
                                <w:rFonts w:ascii="Arial" w:hAnsi="Arial" w:cs="Arial"/>
                              </w:rPr>
                              <w:tab/>
                            </w:r>
                            <w:r>
                              <w:rPr>
                                <w:rFonts w:ascii="Arial" w:hAnsi="Arial" w:cs="Arial"/>
                              </w:rPr>
                              <w:tab/>
                            </w:r>
                          </w:p>
                          <w:p w:rsidR="00410144" w:rsidRDefault="000A4DF3" w:rsidP="000A4DF3">
                            <w:pPr>
                              <w:widowControl w:val="0"/>
                              <w:rPr>
                                <w:rFonts w:ascii="Arial" w:hAnsi="Arial" w:cs="Arial"/>
                              </w:rPr>
                            </w:pPr>
                            <w:r w:rsidRPr="000A4DF3">
                              <w:rPr>
                                <w:rFonts w:ascii="Arial" w:hAnsi="Arial" w:cs="Arial"/>
                              </w:rPr>
                              <w:t>777 Bay Street, 13th Floor</w:t>
                            </w:r>
                            <w:r w:rsidRPr="000A4DF3">
                              <w:rPr>
                                <w:rFonts w:ascii="Arial" w:hAnsi="Arial" w:cs="Arial"/>
                              </w:rPr>
                              <w:tab/>
                            </w:r>
                            <w:r>
                              <w:rPr>
                                <w:rFonts w:ascii="Arial" w:hAnsi="Arial" w:cs="Arial"/>
                              </w:rPr>
                              <w:tab/>
                            </w:r>
                            <w:r>
                              <w:rPr>
                                <w:rFonts w:ascii="Arial" w:hAnsi="Arial" w:cs="Arial"/>
                              </w:rPr>
                              <w:tab/>
                            </w:r>
                          </w:p>
                          <w:p w:rsidR="000A4DF3" w:rsidRDefault="000A4DF3" w:rsidP="000A4DF3">
                            <w:pPr>
                              <w:widowControl w:val="0"/>
                              <w:rPr>
                                <w:rFonts w:ascii="Arial" w:hAnsi="Arial" w:cs="Arial"/>
                              </w:rPr>
                            </w:pPr>
                            <w:r w:rsidRPr="000A4DF3">
                              <w:rPr>
                                <w:rFonts w:ascii="Arial" w:hAnsi="Arial" w:cs="Arial"/>
                              </w:rPr>
                              <w:t>Toronto, ON M5G 2E5</w:t>
                            </w:r>
                            <w:r>
                              <w:rPr>
                                <w:rFonts w:ascii="Arial" w:hAnsi="Arial" w:cs="Arial"/>
                              </w:rPr>
                              <w:tab/>
                            </w:r>
                            <w:r>
                              <w:rPr>
                                <w:rFonts w:ascii="Arial" w:hAnsi="Arial" w:cs="Arial"/>
                              </w:rPr>
                              <w:tab/>
                            </w:r>
                            <w:r>
                              <w:rPr>
                                <w:rFonts w:ascii="Arial" w:hAnsi="Arial" w:cs="Arial"/>
                              </w:rPr>
                              <w:tab/>
                            </w:r>
                          </w:p>
                          <w:p w:rsidR="000A4DF3" w:rsidRDefault="000A4DF3" w:rsidP="000A4DF3">
                            <w:pPr>
                              <w:widowControl w:val="0"/>
                              <w:rPr>
                                <w:rFonts w:ascii="Arial" w:hAnsi="Arial" w:cs="Arial"/>
                              </w:rPr>
                            </w:pPr>
                          </w:p>
                          <w:p w:rsidR="000A4DF3" w:rsidRDefault="000A4DF3" w:rsidP="000A4DF3">
                            <w:pPr>
                              <w:widowControl w:val="0"/>
                            </w:pPr>
                            <w:r>
                              <w:rPr>
                                <w:rFonts w:ascii="Arial" w:hAnsi="Arial" w:cs="Arial"/>
                              </w:rPr>
                              <w:t>Submitted through Environmental Registry Ontario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32.75pt;width:455.2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" stroked="f">
                <v:textbox>
                  <w:txbxContent>
                    <w:p w:rsidR="00410144" w:rsidRDefault="00410144" w:rsidP="00DA7157">
                      <w:pPr>
                        <w:widowControl w:val="0"/>
                        <w:rPr>
                          <w:rFonts w:ascii="Arial" w:hAnsi="Arial" w:cs="Arial"/>
                        </w:rPr>
                      </w:pPr>
                    </w:p>
                    <w:p w:rsidR="007C3D07" w:rsidRDefault="000A4DF3" w:rsidP="00DA7157">
                      <w:pPr>
                        <w:widowControl w:val="0"/>
                        <w:rPr>
                          <w:rFonts w:ascii="Arial" w:hAnsi="Arial" w:cs="Arial"/>
                        </w:rPr>
                      </w:pPr>
                      <w:r>
                        <w:rPr>
                          <w:rFonts w:ascii="Arial" w:hAnsi="Arial" w:cs="Arial"/>
                        </w:rPr>
                        <w:t>Planning Act Review</w:t>
                      </w:r>
                      <w:r>
                        <w:rPr>
                          <w:rFonts w:ascii="Arial" w:hAnsi="Arial" w:cs="Arial"/>
                        </w:rPr>
                        <w:tab/>
                      </w:r>
                      <w:r>
                        <w:rPr>
                          <w:rFonts w:ascii="Arial" w:hAnsi="Arial" w:cs="Arial"/>
                        </w:rPr>
                        <w:tab/>
                      </w:r>
                      <w:r>
                        <w:rPr>
                          <w:rFonts w:ascii="Arial" w:hAnsi="Arial" w:cs="Arial"/>
                        </w:rPr>
                        <w:tab/>
                      </w:r>
                    </w:p>
                    <w:p w:rsidR="000A4DF3" w:rsidRDefault="000A4DF3" w:rsidP="00DA7157">
                      <w:pPr>
                        <w:widowControl w:val="0"/>
                        <w:rPr>
                          <w:rFonts w:ascii="Arial" w:hAnsi="Arial" w:cs="Arial"/>
                        </w:rPr>
                      </w:pPr>
                      <w:r>
                        <w:rPr>
                          <w:rFonts w:ascii="Arial" w:hAnsi="Arial" w:cs="Arial"/>
                        </w:rPr>
                        <w:t>Provincial Planning Policy Branch</w:t>
                      </w:r>
                      <w:r>
                        <w:rPr>
                          <w:rFonts w:ascii="Arial" w:hAnsi="Arial" w:cs="Arial"/>
                        </w:rPr>
                        <w:tab/>
                      </w:r>
                      <w:r>
                        <w:rPr>
                          <w:rFonts w:ascii="Arial" w:hAnsi="Arial" w:cs="Arial"/>
                        </w:rPr>
                        <w:tab/>
                      </w:r>
                    </w:p>
                    <w:p w:rsidR="000A4DF3" w:rsidRDefault="000A4DF3" w:rsidP="00DA7157">
                      <w:pPr>
                        <w:widowControl w:val="0"/>
                        <w:rPr>
                          <w:rFonts w:ascii="Arial" w:hAnsi="Arial" w:cs="Arial"/>
                        </w:rPr>
                      </w:pPr>
                      <w:r>
                        <w:rPr>
                          <w:rFonts w:ascii="Arial" w:hAnsi="Arial" w:cs="Arial"/>
                        </w:rPr>
                        <w:t>Municipal Affairs and Housing</w:t>
                      </w:r>
                      <w:r>
                        <w:rPr>
                          <w:rFonts w:ascii="Arial" w:hAnsi="Arial" w:cs="Arial"/>
                        </w:rPr>
                        <w:tab/>
                      </w:r>
                      <w:r>
                        <w:rPr>
                          <w:rFonts w:ascii="Arial" w:hAnsi="Arial" w:cs="Arial"/>
                        </w:rPr>
                        <w:tab/>
                      </w:r>
                      <w:r w:rsidRPr="000A4DF3">
                        <w:rPr>
                          <w:rFonts w:ascii="Arial" w:hAnsi="Arial" w:cs="Arial"/>
                        </w:rPr>
                        <w:tab/>
                      </w:r>
                      <w:r>
                        <w:rPr>
                          <w:rFonts w:ascii="Arial" w:hAnsi="Arial" w:cs="Arial"/>
                        </w:rPr>
                        <w:tab/>
                      </w:r>
                    </w:p>
                    <w:p w:rsidR="00410144" w:rsidRDefault="000A4DF3" w:rsidP="000A4DF3">
                      <w:pPr>
                        <w:widowControl w:val="0"/>
                        <w:rPr>
                          <w:rFonts w:ascii="Arial" w:hAnsi="Arial" w:cs="Arial"/>
                        </w:rPr>
                      </w:pPr>
                      <w:r w:rsidRPr="000A4DF3">
                        <w:rPr>
                          <w:rFonts w:ascii="Arial" w:hAnsi="Arial" w:cs="Arial"/>
                        </w:rPr>
                        <w:t>777 Bay Street, 13th Floor</w:t>
                      </w:r>
                      <w:r w:rsidRPr="000A4DF3">
                        <w:rPr>
                          <w:rFonts w:ascii="Arial" w:hAnsi="Arial" w:cs="Arial"/>
                        </w:rPr>
                        <w:tab/>
                      </w:r>
                      <w:r>
                        <w:rPr>
                          <w:rFonts w:ascii="Arial" w:hAnsi="Arial" w:cs="Arial"/>
                        </w:rPr>
                        <w:tab/>
                      </w:r>
                      <w:r>
                        <w:rPr>
                          <w:rFonts w:ascii="Arial" w:hAnsi="Arial" w:cs="Arial"/>
                        </w:rPr>
                        <w:tab/>
                      </w:r>
                    </w:p>
                    <w:p w:rsidR="000A4DF3" w:rsidRDefault="000A4DF3" w:rsidP="000A4DF3">
                      <w:pPr>
                        <w:widowControl w:val="0"/>
                        <w:rPr>
                          <w:rFonts w:ascii="Arial" w:hAnsi="Arial" w:cs="Arial"/>
                        </w:rPr>
                      </w:pPr>
                      <w:r w:rsidRPr="000A4DF3">
                        <w:rPr>
                          <w:rFonts w:ascii="Arial" w:hAnsi="Arial" w:cs="Arial"/>
                        </w:rPr>
                        <w:t>Toronto, ON M5G 2E5</w:t>
                      </w:r>
                      <w:r>
                        <w:rPr>
                          <w:rFonts w:ascii="Arial" w:hAnsi="Arial" w:cs="Arial"/>
                        </w:rPr>
                        <w:tab/>
                      </w:r>
                      <w:r>
                        <w:rPr>
                          <w:rFonts w:ascii="Arial" w:hAnsi="Arial" w:cs="Arial"/>
                        </w:rPr>
                        <w:tab/>
                      </w:r>
                      <w:r>
                        <w:rPr>
                          <w:rFonts w:ascii="Arial" w:hAnsi="Arial" w:cs="Arial"/>
                        </w:rPr>
                        <w:tab/>
                      </w:r>
                    </w:p>
                    <w:p w:rsidR="000A4DF3" w:rsidRDefault="000A4DF3" w:rsidP="000A4DF3">
                      <w:pPr>
                        <w:widowControl w:val="0"/>
                        <w:rPr>
                          <w:rFonts w:ascii="Arial" w:hAnsi="Arial" w:cs="Arial"/>
                        </w:rPr>
                      </w:pPr>
                    </w:p>
                    <w:p w:rsidR="000A4DF3" w:rsidRDefault="000A4DF3" w:rsidP="000A4DF3">
                      <w:pPr>
                        <w:widowControl w:val="0"/>
                      </w:pPr>
                      <w:r>
                        <w:rPr>
                          <w:rFonts w:ascii="Arial" w:hAnsi="Arial" w:cs="Arial"/>
                        </w:rPr>
                        <w:t>Submitted through Environmental Registry Ontario website</w:t>
                      </w:r>
                    </w:p>
                  </w:txbxContent>
                </v:textbox>
                <w10:wrap anchory="page"/>
                <w10:anchorlock/>
              </v:shape>
            </w:pict>
          </mc:Fallback>
        </mc:AlternateContent>
      </w:r>
    </w:p>
    <w:p w:rsidR="00DA7157" w:rsidRPr="00970F44" w:rsidRDefault="00DA7157" w:rsidP="005D23F7">
      <w:pPr>
        <w:rPr>
          <w:rFonts w:ascii="Arial" w:hAnsi="Arial" w:cs="Arial"/>
        </w:rPr>
      </w:pPr>
    </w:p>
    <w:p w:rsidR="00DA7157" w:rsidRPr="00970F44" w:rsidRDefault="00DA7157" w:rsidP="005D23F7">
      <w:pPr>
        <w:rPr>
          <w:rFonts w:ascii="Arial" w:hAnsi="Arial" w:cs="Arial"/>
        </w:rPr>
      </w:pPr>
    </w:p>
    <w:p w:rsidR="00DA7157" w:rsidRPr="00970F44" w:rsidRDefault="00DA7157" w:rsidP="005D23F7">
      <w:pPr>
        <w:rPr>
          <w:rFonts w:ascii="Arial" w:hAnsi="Arial" w:cs="Arial"/>
        </w:rPr>
      </w:pPr>
    </w:p>
    <w:p w:rsidR="00DA7157" w:rsidRPr="00970F44" w:rsidRDefault="00DA7157" w:rsidP="005D23F7">
      <w:pPr>
        <w:rPr>
          <w:rFonts w:ascii="Arial" w:hAnsi="Arial" w:cs="Arial"/>
        </w:rPr>
      </w:pPr>
    </w:p>
    <w:p w:rsidR="00DA7157" w:rsidRPr="00970F44" w:rsidRDefault="00DA7157" w:rsidP="005D23F7">
      <w:pPr>
        <w:rPr>
          <w:rFonts w:ascii="Arial" w:hAnsi="Arial" w:cs="Arial"/>
        </w:rPr>
      </w:pPr>
    </w:p>
    <w:p w:rsidR="00DA7157" w:rsidRPr="00970F44" w:rsidRDefault="00DA7157" w:rsidP="005D23F7">
      <w:pPr>
        <w:rPr>
          <w:rFonts w:ascii="Arial" w:hAnsi="Arial" w:cs="Arial"/>
        </w:rPr>
      </w:pPr>
    </w:p>
    <w:p w:rsidR="00410144" w:rsidRPr="00970F44" w:rsidRDefault="00410144" w:rsidP="005D23F7">
      <w:pPr>
        <w:rPr>
          <w:rFonts w:ascii="Arial" w:hAnsi="Arial" w:cs="Arial"/>
        </w:rPr>
      </w:pPr>
    </w:p>
    <w:p w:rsidR="00DA7157" w:rsidRPr="00970F44" w:rsidRDefault="006C5431" w:rsidP="005D23F7">
      <w:pPr>
        <w:rPr>
          <w:rFonts w:ascii="Arial" w:hAnsi="Arial" w:cs="Arial"/>
        </w:rPr>
      </w:pPr>
      <w:r w:rsidRPr="00970F44">
        <w:rPr>
          <w:rFonts w:ascii="Arial" w:hAnsi="Arial" w:cs="Arial"/>
        </w:rPr>
        <w:t>May 30, 2019</w:t>
      </w:r>
    </w:p>
    <w:p w:rsidR="00DA7157" w:rsidRPr="00970F44" w:rsidRDefault="00DA7157" w:rsidP="005D23F7">
      <w:pPr>
        <w:rPr>
          <w:rFonts w:ascii="Arial" w:hAnsi="Arial" w:cs="Arial"/>
        </w:rPr>
      </w:pPr>
    </w:p>
    <w:p w:rsidR="00E55AE8" w:rsidRDefault="00E55AE8" w:rsidP="00091566">
      <w:pPr>
        <w:rPr>
          <w:rFonts w:ascii="Arial" w:hAnsi="Arial" w:cs="Arial"/>
        </w:rPr>
      </w:pPr>
      <w:r>
        <w:rPr>
          <w:rFonts w:ascii="Arial" w:hAnsi="Arial" w:cs="Arial"/>
        </w:rPr>
        <w:t>August 6, 2019</w:t>
      </w:r>
    </w:p>
    <w:p w:rsidR="00E55AE8" w:rsidRDefault="00E55AE8" w:rsidP="00091566">
      <w:pPr>
        <w:rPr>
          <w:rFonts w:ascii="Arial" w:hAnsi="Arial" w:cs="Arial"/>
        </w:rPr>
      </w:pPr>
    </w:p>
    <w:p w:rsidR="00F96A56" w:rsidRPr="00970F44" w:rsidRDefault="006C5431" w:rsidP="00091566">
      <w:pPr>
        <w:rPr>
          <w:rFonts w:ascii="Arial" w:hAnsi="Arial" w:cs="Arial"/>
        </w:rPr>
      </w:pPr>
      <w:r w:rsidRPr="00970F44">
        <w:rPr>
          <w:rFonts w:ascii="Arial" w:hAnsi="Arial" w:cs="Arial"/>
        </w:rPr>
        <w:t xml:space="preserve">Re: </w:t>
      </w:r>
      <w:r w:rsidR="00F96A56" w:rsidRPr="00970F44">
        <w:rPr>
          <w:rFonts w:ascii="Arial" w:hAnsi="Arial" w:cs="Arial"/>
        </w:rPr>
        <w:tab/>
      </w:r>
      <w:r w:rsidRPr="00970F44">
        <w:rPr>
          <w:rFonts w:ascii="Arial" w:hAnsi="Arial" w:cs="Arial"/>
        </w:rPr>
        <w:t>ERO File No. 019-0</w:t>
      </w:r>
      <w:r w:rsidR="005672C9" w:rsidRPr="00970F44">
        <w:rPr>
          <w:rFonts w:ascii="Arial" w:hAnsi="Arial" w:cs="Arial"/>
        </w:rPr>
        <w:t>181</w:t>
      </w:r>
      <w:r w:rsidR="000A4DF3" w:rsidRPr="00970F44">
        <w:rPr>
          <w:rFonts w:ascii="Arial" w:hAnsi="Arial" w:cs="Arial"/>
        </w:rPr>
        <w:t xml:space="preserve"> </w:t>
      </w:r>
    </w:p>
    <w:p w:rsidR="00B92A68" w:rsidRPr="00970F44" w:rsidRDefault="00F96A56" w:rsidP="00091566">
      <w:pPr>
        <w:rPr>
          <w:rFonts w:ascii="Arial" w:hAnsi="Arial" w:cs="Arial"/>
        </w:rPr>
      </w:pPr>
      <w:r w:rsidRPr="00970F44">
        <w:rPr>
          <w:rFonts w:ascii="Arial" w:hAnsi="Arial" w:cs="Arial"/>
        </w:rPr>
        <w:tab/>
      </w:r>
      <w:r w:rsidR="005672C9" w:rsidRPr="00970F44">
        <w:rPr>
          <w:rFonts w:ascii="Arial" w:hAnsi="Arial" w:cs="Arial"/>
        </w:rPr>
        <w:t xml:space="preserve">Proposed new regulation and regulation changes under the </w:t>
      </w:r>
      <w:r w:rsidR="005672C9" w:rsidRPr="00970F44">
        <w:rPr>
          <w:rFonts w:ascii="Arial" w:hAnsi="Arial" w:cs="Arial"/>
          <w:i/>
        </w:rPr>
        <w:t>Planning Act, 1991</w:t>
      </w:r>
      <w:r w:rsidR="005672C9" w:rsidRPr="00970F44">
        <w:rPr>
          <w:rFonts w:ascii="Arial" w:hAnsi="Arial" w:cs="Arial"/>
        </w:rPr>
        <w:t xml:space="preserve">, including </w:t>
      </w:r>
      <w:r w:rsidR="005672C9" w:rsidRPr="00970F44">
        <w:rPr>
          <w:rFonts w:ascii="Arial" w:hAnsi="Arial" w:cs="Arial"/>
        </w:rPr>
        <w:tab/>
        <w:t xml:space="preserve">transition matters, related to Schedule 12 of the </w:t>
      </w:r>
      <w:r w:rsidR="005672C9" w:rsidRPr="00970F44">
        <w:rPr>
          <w:rFonts w:ascii="Arial" w:hAnsi="Arial" w:cs="Arial"/>
          <w:i/>
        </w:rPr>
        <w:t>More Homes, More Choice Act, 2019</w:t>
      </w:r>
      <w:r w:rsidR="005672C9" w:rsidRPr="00970F44">
        <w:rPr>
          <w:rFonts w:ascii="Arial" w:hAnsi="Arial" w:cs="Arial"/>
        </w:rPr>
        <w:t>.</w:t>
      </w:r>
    </w:p>
    <w:p w:rsidR="00A969D7" w:rsidRPr="00970F44" w:rsidRDefault="00A969D7" w:rsidP="00091566">
      <w:pPr>
        <w:rPr>
          <w:rFonts w:ascii="Arial" w:hAnsi="Arial" w:cs="Arial"/>
        </w:rPr>
      </w:pPr>
    </w:p>
    <w:p w:rsidR="00A969D7" w:rsidRPr="00970F44" w:rsidRDefault="00806E38" w:rsidP="00806E38">
      <w:pPr>
        <w:pStyle w:val="ListParagraph"/>
        <w:numPr>
          <w:ilvl w:val="0"/>
          <w:numId w:val="5"/>
        </w:numPr>
        <w:rPr>
          <w:rFonts w:ascii="Arial" w:hAnsi="Arial" w:cs="Arial"/>
          <w:sz w:val="24"/>
          <w:szCs w:val="24"/>
        </w:rPr>
      </w:pPr>
      <w:r w:rsidRPr="00970F44">
        <w:rPr>
          <w:rFonts w:ascii="Arial" w:hAnsi="Arial" w:cs="Arial"/>
          <w:sz w:val="24"/>
          <w:szCs w:val="24"/>
        </w:rPr>
        <w:t>Transition</w:t>
      </w:r>
    </w:p>
    <w:p w:rsidR="000E7D41" w:rsidRPr="00970F44" w:rsidRDefault="00A51754" w:rsidP="00806E38">
      <w:pPr>
        <w:rPr>
          <w:rFonts w:ascii="Arial" w:hAnsi="Arial" w:cs="Arial"/>
        </w:rPr>
      </w:pPr>
      <w:r w:rsidRPr="00970F44">
        <w:rPr>
          <w:rFonts w:ascii="Arial" w:hAnsi="Arial" w:cs="Arial"/>
        </w:rPr>
        <w:t xml:space="preserve">Though the approach used by LPAT will change, it is beneficial to permit those cases in process to continue without a change in approach.  It is dismaying that the decision of municipal Council will not be given the weight </w:t>
      </w:r>
      <w:r w:rsidR="000E7D41" w:rsidRPr="00970F44">
        <w:rPr>
          <w:rFonts w:ascii="Arial" w:hAnsi="Arial" w:cs="Arial"/>
        </w:rPr>
        <w:t xml:space="preserve">it deserves. The grounds are to be 'good planning' only. Restricting the possible appellants to key participants can restrict an entire class of appellants, professionals. This is especially the case when a municipality approves an Official Plan, or an Official Plan Review. </w:t>
      </w:r>
    </w:p>
    <w:p w:rsidR="000E7D41" w:rsidRPr="00970F44" w:rsidRDefault="000E7D41" w:rsidP="00806E38">
      <w:pPr>
        <w:rPr>
          <w:rFonts w:ascii="Arial" w:hAnsi="Arial" w:cs="Arial"/>
        </w:rPr>
      </w:pPr>
    </w:p>
    <w:p w:rsidR="0006200C" w:rsidRPr="00970F44" w:rsidRDefault="000E7D41" w:rsidP="00806E38">
      <w:pPr>
        <w:rPr>
          <w:rFonts w:ascii="Arial" w:hAnsi="Arial" w:cs="Arial"/>
        </w:rPr>
      </w:pPr>
      <w:r w:rsidRPr="00970F44">
        <w:rPr>
          <w:rFonts w:ascii="Arial" w:hAnsi="Arial" w:cs="Arial"/>
        </w:rPr>
        <w:t>Within the proposed timelines on applications for OPA, ZBA and Plans of Subdivision, I propose that appeals be subject to showing no movement on the applications before proceeding along the LPAT process. Some applications are just more complicated than others</w:t>
      </w:r>
      <w:r w:rsidR="0026030C" w:rsidRPr="00970F44">
        <w:rPr>
          <w:rFonts w:ascii="Arial" w:hAnsi="Arial" w:cs="Arial"/>
        </w:rPr>
        <w:t xml:space="preserve">. They can require several revisions on the part of the proponent. In large municipalities, departments are larger, site visits take longer, and there is more work. Tighter timelines must be accompanied by </w:t>
      </w:r>
      <w:r w:rsidR="0006200C" w:rsidRPr="00970F44">
        <w:rPr>
          <w:rFonts w:ascii="Arial" w:hAnsi="Arial" w:cs="Arial"/>
        </w:rPr>
        <w:t xml:space="preserve">evidence of </w:t>
      </w:r>
      <w:r w:rsidR="0026030C" w:rsidRPr="00970F44">
        <w:rPr>
          <w:rFonts w:ascii="Arial" w:hAnsi="Arial" w:cs="Arial"/>
        </w:rPr>
        <w:t xml:space="preserve">a lack of progress on the file. </w:t>
      </w:r>
    </w:p>
    <w:p w:rsidR="0006200C" w:rsidRPr="00970F44" w:rsidRDefault="0006200C" w:rsidP="00806E38">
      <w:pPr>
        <w:rPr>
          <w:rFonts w:ascii="Arial" w:hAnsi="Arial" w:cs="Arial"/>
        </w:rPr>
      </w:pPr>
    </w:p>
    <w:p w:rsidR="0006200C" w:rsidRPr="00970F44" w:rsidRDefault="0006200C" w:rsidP="0006200C">
      <w:pPr>
        <w:pStyle w:val="ListParagraph"/>
        <w:numPr>
          <w:ilvl w:val="0"/>
          <w:numId w:val="5"/>
        </w:numPr>
        <w:rPr>
          <w:rFonts w:ascii="Arial" w:hAnsi="Arial" w:cs="Arial"/>
          <w:sz w:val="24"/>
          <w:szCs w:val="24"/>
        </w:rPr>
      </w:pPr>
      <w:r w:rsidRPr="00970F44">
        <w:rPr>
          <w:rFonts w:ascii="Arial" w:hAnsi="Arial" w:cs="Arial"/>
          <w:sz w:val="24"/>
          <w:szCs w:val="24"/>
        </w:rPr>
        <w:t>Community planning permit system</w:t>
      </w:r>
    </w:p>
    <w:p w:rsidR="0006200C" w:rsidRPr="00970F44" w:rsidRDefault="0006200C" w:rsidP="0006200C">
      <w:pPr>
        <w:rPr>
          <w:rFonts w:ascii="Arial" w:hAnsi="Arial" w:cs="Arial"/>
        </w:rPr>
      </w:pPr>
      <w:r w:rsidRPr="00970F44">
        <w:rPr>
          <w:rFonts w:ascii="Arial" w:hAnsi="Arial" w:cs="Arial"/>
        </w:rPr>
        <w:t>Not applicable to the Town of Plympton-Wyoming.</w:t>
      </w:r>
    </w:p>
    <w:p w:rsidR="0006200C" w:rsidRPr="00970F44" w:rsidRDefault="0006200C" w:rsidP="0006200C">
      <w:pPr>
        <w:rPr>
          <w:rFonts w:ascii="Arial" w:hAnsi="Arial" w:cs="Arial"/>
        </w:rPr>
      </w:pPr>
    </w:p>
    <w:p w:rsidR="0006200C" w:rsidRDefault="0006200C" w:rsidP="0006200C">
      <w:pPr>
        <w:pStyle w:val="ListParagraph"/>
        <w:numPr>
          <w:ilvl w:val="0"/>
          <w:numId w:val="5"/>
        </w:numPr>
        <w:rPr>
          <w:rFonts w:ascii="Arial" w:hAnsi="Arial" w:cs="Arial"/>
          <w:sz w:val="24"/>
          <w:szCs w:val="24"/>
        </w:rPr>
      </w:pPr>
      <w:r w:rsidRPr="00970F44">
        <w:rPr>
          <w:rFonts w:ascii="Arial" w:hAnsi="Arial" w:cs="Arial"/>
          <w:sz w:val="24"/>
          <w:szCs w:val="24"/>
        </w:rPr>
        <w:t>Additional Residential Unit Requirements</w:t>
      </w:r>
    </w:p>
    <w:p w:rsidR="00970F44" w:rsidRDefault="00970F44" w:rsidP="00970F44">
      <w:pPr>
        <w:rPr>
          <w:rFonts w:ascii="Arial" w:hAnsi="Arial" w:cs="Arial"/>
        </w:rPr>
      </w:pPr>
      <w:r>
        <w:rPr>
          <w:rFonts w:ascii="Arial" w:hAnsi="Arial" w:cs="Arial"/>
        </w:rPr>
        <w:t>These regulations will permit greater flexibility in the provision of secondary accessory dwellings.</w:t>
      </w:r>
    </w:p>
    <w:p w:rsidR="00970F44" w:rsidRDefault="00970F44" w:rsidP="00970F44">
      <w:pPr>
        <w:rPr>
          <w:rFonts w:ascii="Arial" w:hAnsi="Arial" w:cs="Arial"/>
        </w:rPr>
      </w:pPr>
    </w:p>
    <w:p w:rsidR="00970F44" w:rsidRDefault="00970F44" w:rsidP="00970F44">
      <w:pPr>
        <w:pStyle w:val="ListParagraph"/>
        <w:numPr>
          <w:ilvl w:val="0"/>
          <w:numId w:val="5"/>
        </w:numPr>
        <w:rPr>
          <w:rFonts w:ascii="Arial" w:hAnsi="Arial" w:cs="Arial"/>
          <w:sz w:val="24"/>
          <w:szCs w:val="24"/>
        </w:rPr>
      </w:pPr>
      <w:r>
        <w:rPr>
          <w:rFonts w:ascii="Arial" w:hAnsi="Arial" w:cs="Arial"/>
        </w:rPr>
        <w:t>Housekeeping regulatory changes</w:t>
      </w:r>
    </w:p>
    <w:p w:rsidR="00970F44" w:rsidRDefault="00970F44" w:rsidP="00014A2C">
      <w:pPr>
        <w:pStyle w:val="ListParagraph"/>
        <w:numPr>
          <w:ilvl w:val="0"/>
          <w:numId w:val="6"/>
        </w:numPr>
        <w:rPr>
          <w:rFonts w:ascii="Arial" w:hAnsi="Arial" w:cs="Arial"/>
        </w:rPr>
      </w:pPr>
      <w:r w:rsidRPr="00014A2C">
        <w:rPr>
          <w:rFonts w:ascii="Arial" w:hAnsi="Arial" w:cs="Arial"/>
        </w:rPr>
        <w:t>Removal of redundant practices is welcome.</w:t>
      </w:r>
    </w:p>
    <w:p w:rsidR="00014A2C" w:rsidRPr="00014A2C" w:rsidRDefault="00014A2C" w:rsidP="00014A2C">
      <w:pPr>
        <w:pStyle w:val="ListParagraph"/>
        <w:rPr>
          <w:rFonts w:ascii="Arial" w:hAnsi="Arial" w:cs="Arial"/>
        </w:rPr>
      </w:pPr>
    </w:p>
    <w:p w:rsidR="00970F44" w:rsidRPr="00014A2C" w:rsidRDefault="00970F44" w:rsidP="00014A2C">
      <w:pPr>
        <w:pStyle w:val="ListParagraph"/>
        <w:numPr>
          <w:ilvl w:val="0"/>
          <w:numId w:val="6"/>
        </w:numPr>
        <w:rPr>
          <w:rFonts w:ascii="Arial" w:hAnsi="Arial" w:cs="Arial"/>
          <w:sz w:val="24"/>
          <w:szCs w:val="24"/>
        </w:rPr>
      </w:pPr>
      <w:r w:rsidRPr="00014A2C">
        <w:rPr>
          <w:rFonts w:ascii="Arial" w:hAnsi="Arial" w:cs="Arial"/>
        </w:rPr>
        <w:t>The removal of section 37 'Increas</w:t>
      </w:r>
      <w:r w:rsidR="00014A2C" w:rsidRPr="00014A2C">
        <w:rPr>
          <w:rFonts w:ascii="Arial" w:hAnsi="Arial" w:cs="Arial"/>
        </w:rPr>
        <w:t xml:space="preserve">ed Density' and its replacement, </w:t>
      </w:r>
      <w:r w:rsidRPr="00014A2C">
        <w:rPr>
          <w:rFonts w:ascii="Arial" w:hAnsi="Arial" w:cs="Arial"/>
        </w:rPr>
        <w:t xml:space="preserve">the community benefits charge, </w:t>
      </w:r>
      <w:r w:rsidR="00014A2C" w:rsidRPr="00014A2C">
        <w:rPr>
          <w:rFonts w:ascii="Arial" w:hAnsi="Arial" w:cs="Arial"/>
        </w:rPr>
        <w:t xml:space="preserve">which </w:t>
      </w:r>
      <w:r w:rsidRPr="00014A2C">
        <w:rPr>
          <w:rFonts w:ascii="Arial" w:hAnsi="Arial" w:cs="Arial"/>
        </w:rPr>
        <w:t>includ</w:t>
      </w:r>
      <w:r w:rsidR="00014A2C" w:rsidRPr="00014A2C">
        <w:rPr>
          <w:rFonts w:ascii="Arial" w:hAnsi="Arial" w:cs="Arial"/>
        </w:rPr>
        <w:t>es provisions for</w:t>
      </w:r>
      <w:r w:rsidRPr="00014A2C">
        <w:rPr>
          <w:rFonts w:ascii="Arial" w:hAnsi="Arial" w:cs="Arial"/>
        </w:rPr>
        <w:t xml:space="preserve"> inclusionary zoning, is not possible for smaller municipalities without transit systems</w:t>
      </w:r>
      <w:r w:rsidR="00014A2C">
        <w:rPr>
          <w:rFonts w:ascii="Arial" w:hAnsi="Arial" w:cs="Arial"/>
        </w:rPr>
        <w:t>. As transit hubs are required for the use of inclusionary zoning</w:t>
      </w:r>
      <w:r w:rsidRPr="00014A2C">
        <w:rPr>
          <w:rFonts w:ascii="Arial" w:hAnsi="Arial" w:cs="Arial"/>
        </w:rPr>
        <w:t xml:space="preserve">.  </w:t>
      </w:r>
    </w:p>
    <w:p w:rsidR="00806E38" w:rsidRPr="0006200C" w:rsidRDefault="0026030C" w:rsidP="0006200C">
      <w:pPr>
        <w:rPr>
          <w:rFonts w:ascii="Arial" w:hAnsi="Arial" w:cs="Arial"/>
        </w:rPr>
      </w:pPr>
      <w:r w:rsidRPr="0006200C">
        <w:rPr>
          <w:rFonts w:ascii="Arial" w:hAnsi="Arial" w:cs="Arial"/>
        </w:rPr>
        <w:lastRenderedPageBreak/>
        <w:t xml:space="preserve"> </w:t>
      </w:r>
      <w:r w:rsidR="000E7D41" w:rsidRPr="0006200C">
        <w:rPr>
          <w:rFonts w:ascii="Arial" w:hAnsi="Arial" w:cs="Arial"/>
        </w:rPr>
        <w:t xml:space="preserve"> </w:t>
      </w:r>
    </w:p>
    <w:p w:rsidR="00A51754" w:rsidRDefault="00A51754" w:rsidP="00806E38">
      <w:pPr>
        <w:rPr>
          <w:rFonts w:ascii="Arial" w:hAnsi="Arial" w:cs="Arial"/>
        </w:rPr>
      </w:pPr>
    </w:p>
    <w:p w:rsidR="00A51754" w:rsidRDefault="00A51754" w:rsidP="00806E38">
      <w:pPr>
        <w:rPr>
          <w:rFonts w:ascii="Arial" w:hAnsi="Arial" w:cs="Arial"/>
        </w:rPr>
      </w:pPr>
    </w:p>
    <w:p w:rsidR="008A7E29" w:rsidRPr="00A969D7" w:rsidRDefault="008A7E29" w:rsidP="00091566">
      <w:pPr>
        <w:rPr>
          <w:rFonts w:ascii="Arial" w:hAnsi="Arial" w:cs="Arial"/>
          <w:i/>
        </w:rPr>
      </w:pPr>
    </w:p>
    <w:p w:rsidR="00410144" w:rsidRPr="00014A2C" w:rsidRDefault="005823DB" w:rsidP="00091566">
      <w:pPr>
        <w:rPr>
          <w:rFonts w:ascii="Arial" w:hAnsi="Arial" w:cs="Arial"/>
        </w:rPr>
      </w:pPr>
      <w:r w:rsidRPr="00014A2C">
        <w:rPr>
          <w:rFonts w:ascii="Arial" w:hAnsi="Arial" w:cs="Arial"/>
        </w:rPr>
        <w:t xml:space="preserve">Thank you for the opportunity to comment on </w:t>
      </w:r>
      <w:r w:rsidR="00014A2C" w:rsidRPr="00014A2C">
        <w:rPr>
          <w:rFonts w:ascii="Arial" w:hAnsi="Arial" w:cs="Arial"/>
        </w:rPr>
        <w:t xml:space="preserve">the transition provisions under </w:t>
      </w:r>
      <w:r w:rsidRPr="00014A2C">
        <w:rPr>
          <w:rFonts w:ascii="Arial" w:hAnsi="Arial" w:cs="Arial"/>
        </w:rPr>
        <w:t>Bill 108. This legislation will affect many in the Province of Ontario and it is important to create the best legislation possible.</w:t>
      </w:r>
    </w:p>
    <w:p w:rsidR="007C3D07" w:rsidRDefault="007C3D07" w:rsidP="00091566">
      <w:pPr>
        <w:rPr>
          <w:rFonts w:ascii="Arial" w:hAnsi="Arial" w:cs="Arial"/>
        </w:rPr>
      </w:pPr>
    </w:p>
    <w:p w:rsidR="00091566" w:rsidRPr="00410144" w:rsidRDefault="006D4F0C" w:rsidP="00091566">
      <w:pPr>
        <w:rPr>
          <w:rFonts w:ascii="Arial" w:hAnsi="Arial" w:cs="Arial"/>
        </w:rPr>
      </w:pPr>
      <w:r>
        <w:rPr>
          <w:rFonts w:ascii="Arial" w:hAnsi="Arial" w:cs="Arial"/>
        </w:rPr>
        <w:t>Regards</w:t>
      </w:r>
      <w:r w:rsidR="00091566" w:rsidRPr="00410144">
        <w:rPr>
          <w:rFonts w:ascii="Arial" w:hAnsi="Arial" w:cs="Arial"/>
        </w:rPr>
        <w:t>,</w:t>
      </w:r>
    </w:p>
    <w:p w:rsidR="00091566" w:rsidRPr="00410144" w:rsidRDefault="00091566" w:rsidP="00091566">
      <w:pPr>
        <w:rPr>
          <w:rFonts w:ascii="Arial" w:hAnsi="Arial" w:cs="Arial"/>
        </w:rPr>
      </w:pPr>
    </w:p>
    <w:p w:rsidR="00F94E21" w:rsidRPr="00410144" w:rsidRDefault="00E55AE8" w:rsidP="00091566">
      <w:pPr>
        <w:rPr>
          <w:rFonts w:ascii="Arial" w:hAnsi="Arial" w:cs="Arial"/>
        </w:rPr>
      </w:pPr>
      <w:r>
        <w:rPr>
          <w:rFonts w:ascii="Arial" w:hAnsi="Arial" w:cs="Arial"/>
          <w:noProof/>
          <w:lang w:val="en-CA" w:eastAsia="en-CA"/>
        </w:rPr>
        <w:drawing>
          <wp:inline distT="0" distB="0" distL="0" distR="0" wp14:anchorId="4EF4E465">
            <wp:extent cx="1533525" cy="43367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5549" cy="434246"/>
                    </a:xfrm>
                    <a:prstGeom prst="rect">
                      <a:avLst/>
                    </a:prstGeom>
                    <a:noFill/>
                  </pic:spPr>
                </pic:pic>
              </a:graphicData>
            </a:graphic>
          </wp:inline>
        </w:drawing>
      </w:r>
      <w:bookmarkStart w:id="0" w:name="_GoBack"/>
      <w:bookmarkEnd w:id="0"/>
    </w:p>
    <w:p w:rsidR="00F94E21" w:rsidRPr="00410144" w:rsidRDefault="00F94E21" w:rsidP="00091566">
      <w:pPr>
        <w:rPr>
          <w:rFonts w:ascii="Arial" w:hAnsi="Arial" w:cs="Arial"/>
        </w:rPr>
      </w:pPr>
    </w:p>
    <w:p w:rsidR="00091566" w:rsidRPr="00410144" w:rsidRDefault="00E00F8E" w:rsidP="00091566">
      <w:pPr>
        <w:rPr>
          <w:rFonts w:ascii="Arial" w:hAnsi="Arial" w:cs="Arial"/>
        </w:rPr>
      </w:pPr>
      <w:r>
        <w:rPr>
          <w:rFonts w:ascii="Arial" w:hAnsi="Arial" w:cs="Arial"/>
        </w:rPr>
        <w:t>Sarah Baldwin, MCIP, RPP</w:t>
      </w:r>
      <w:r w:rsidR="00091566" w:rsidRPr="00410144">
        <w:rPr>
          <w:rFonts w:ascii="Arial" w:hAnsi="Arial" w:cs="Arial"/>
        </w:rPr>
        <w:br/>
      </w:r>
      <w:r>
        <w:rPr>
          <w:rFonts w:ascii="Arial" w:hAnsi="Arial" w:cs="Arial"/>
        </w:rPr>
        <w:t>Planner</w:t>
      </w:r>
      <w:r w:rsidR="00091566" w:rsidRPr="00410144">
        <w:rPr>
          <w:rFonts w:ascii="Arial" w:hAnsi="Arial" w:cs="Arial"/>
        </w:rPr>
        <w:t xml:space="preserve">, </w:t>
      </w:r>
      <w:r>
        <w:rPr>
          <w:rFonts w:ascii="Arial" w:hAnsi="Arial" w:cs="Arial"/>
        </w:rPr>
        <w:t xml:space="preserve">for </w:t>
      </w:r>
      <w:r w:rsidR="00091566" w:rsidRPr="00410144">
        <w:rPr>
          <w:rFonts w:ascii="Arial" w:hAnsi="Arial" w:cs="Arial"/>
        </w:rPr>
        <w:t>Town of Plympton-Wyoming</w:t>
      </w:r>
    </w:p>
    <w:p w:rsidR="00091566" w:rsidRPr="00410144" w:rsidRDefault="00091566" w:rsidP="00091566">
      <w:pPr>
        <w:rPr>
          <w:rFonts w:ascii="Arial" w:hAnsi="Arial" w:cs="Arial"/>
        </w:rPr>
      </w:pPr>
    </w:p>
    <w:p w:rsidR="00410144" w:rsidRPr="00410144" w:rsidRDefault="00091566" w:rsidP="00091566">
      <w:pPr>
        <w:rPr>
          <w:rFonts w:ascii="Arial" w:hAnsi="Arial" w:cs="Arial"/>
        </w:rPr>
      </w:pPr>
      <w:r w:rsidRPr="00410144">
        <w:rPr>
          <w:rFonts w:ascii="Arial" w:hAnsi="Arial" w:cs="Arial"/>
        </w:rPr>
        <w:t xml:space="preserve">cc. </w:t>
      </w:r>
      <w:r w:rsidRPr="00410144">
        <w:rPr>
          <w:rFonts w:ascii="Arial" w:hAnsi="Arial" w:cs="Arial"/>
        </w:rPr>
        <w:tab/>
      </w:r>
      <w:r w:rsidR="006D4F0C">
        <w:rPr>
          <w:rFonts w:ascii="Arial" w:hAnsi="Arial" w:cs="Arial"/>
        </w:rPr>
        <w:t>Carolyn Tripp, Chief Administrative Officer, Town of Plympton-Wyoming</w:t>
      </w:r>
    </w:p>
    <w:p w:rsidR="00DA7157" w:rsidRPr="00DA7157" w:rsidRDefault="00410144" w:rsidP="00091566">
      <w:pPr>
        <w:rPr>
          <w:rFonts w:ascii="Arial" w:hAnsi="Arial" w:cs="Arial"/>
        </w:rPr>
      </w:pPr>
      <w:r w:rsidRPr="00410144">
        <w:rPr>
          <w:rFonts w:ascii="Arial" w:hAnsi="Arial" w:cs="Arial"/>
        </w:rPr>
        <w:tab/>
      </w:r>
      <w:r w:rsidR="00091566" w:rsidRPr="00410144">
        <w:rPr>
          <w:rFonts w:ascii="Arial" w:hAnsi="Arial" w:cs="Arial"/>
        </w:rPr>
        <w:tab/>
      </w:r>
      <w:r w:rsidR="00091566" w:rsidRPr="00F961F6">
        <w:tab/>
      </w:r>
    </w:p>
    <w:sectPr w:rsidR="00DA7157" w:rsidRPr="00DA7157" w:rsidSect="00932128">
      <w:footerReference w:type="default" r:id="rId11"/>
      <w:pgSz w:w="12240" w:h="15840"/>
      <w:pgMar w:top="568" w:right="720" w:bottom="993" w:left="720" w:header="10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EBF" w:rsidRDefault="00A96EBF" w:rsidP="00330598">
      <w:r>
        <w:separator/>
      </w:r>
    </w:p>
  </w:endnote>
  <w:endnote w:type="continuationSeparator" w:id="0">
    <w:p w:rsidR="00A96EBF" w:rsidRDefault="00A96EBF" w:rsidP="0033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144" w:rsidRPr="003A616C" w:rsidRDefault="00410144" w:rsidP="003A616C">
    <w:pPr>
      <w:pStyle w:val="Footer"/>
      <w:pBdr>
        <w:top w:val="single" w:sz="4" w:space="1" w:color="auto"/>
      </w:pBdr>
      <w:jc w:val="center"/>
      <w:rPr>
        <w:rFonts w:ascii="Arial" w:hAnsi="Arial" w:cs="Arial"/>
        <w:b/>
        <w:color w:val="808080" w:themeColor="background1" w:themeShade="80"/>
      </w:rPr>
    </w:pPr>
    <w:r w:rsidRPr="003A616C">
      <w:rPr>
        <w:rFonts w:ascii="Arial" w:hAnsi="Arial" w:cs="Arial"/>
        <w:b/>
        <w:color w:val="808080" w:themeColor="background1" w:themeShade="80"/>
      </w:rPr>
      <w:t>The Corporation of the Town of Plympton-Wyoming</w:t>
    </w:r>
  </w:p>
  <w:p w:rsidR="00410144" w:rsidRPr="003A616C" w:rsidRDefault="00410144" w:rsidP="001E44B4">
    <w:pPr>
      <w:pStyle w:val="Footer"/>
      <w:jc w:val="center"/>
      <w:rPr>
        <w:rFonts w:ascii="Arial" w:hAnsi="Arial" w:cs="Arial"/>
        <w:color w:val="808080" w:themeColor="background1" w:themeShade="80"/>
        <w:sz w:val="20"/>
        <w:szCs w:val="20"/>
      </w:rPr>
    </w:pPr>
    <w:r w:rsidRPr="003A616C">
      <w:rPr>
        <w:rFonts w:ascii="Arial" w:hAnsi="Arial" w:cs="Arial"/>
        <w:color w:val="808080" w:themeColor="background1" w:themeShade="80"/>
        <w:sz w:val="20"/>
        <w:szCs w:val="20"/>
      </w:rPr>
      <w:t xml:space="preserve">P.O Box 250, 546 Niagara Street, Wyoming Ontario N0N 1T0                                   </w:t>
    </w:r>
  </w:p>
  <w:p w:rsidR="00410144" w:rsidRPr="003A616C" w:rsidRDefault="00410144" w:rsidP="001E44B4">
    <w:pPr>
      <w:pStyle w:val="Footer"/>
      <w:jc w:val="center"/>
      <w:rPr>
        <w:rFonts w:ascii="Arial" w:hAnsi="Arial" w:cs="Arial"/>
        <w:color w:val="808080" w:themeColor="background1" w:themeShade="80"/>
        <w:sz w:val="20"/>
        <w:szCs w:val="20"/>
      </w:rPr>
    </w:pPr>
    <w:r w:rsidRPr="003A616C">
      <w:rPr>
        <w:rFonts w:ascii="Arial" w:hAnsi="Arial" w:cs="Arial"/>
        <w:color w:val="808080" w:themeColor="background1" w:themeShade="80"/>
        <w:sz w:val="20"/>
        <w:szCs w:val="20"/>
      </w:rPr>
      <w:t xml:space="preserve">  Tel: 519-845-3939  Ontario Toll Free: </w:t>
    </w:r>
    <w:r>
      <w:rPr>
        <w:rFonts w:ascii="Arial" w:hAnsi="Arial" w:cs="Arial"/>
        <w:color w:val="808080" w:themeColor="background1" w:themeShade="80"/>
        <w:sz w:val="20"/>
        <w:szCs w:val="20"/>
      </w:rPr>
      <w:t>1</w:t>
    </w:r>
    <w:r w:rsidRPr="003A616C">
      <w:rPr>
        <w:rFonts w:ascii="Arial" w:hAnsi="Arial" w:cs="Arial"/>
        <w:color w:val="808080" w:themeColor="background1" w:themeShade="80"/>
        <w:sz w:val="20"/>
        <w:szCs w:val="20"/>
      </w:rPr>
      <w:t>-877-313-3939</w:t>
    </w:r>
  </w:p>
  <w:p w:rsidR="00410144" w:rsidRPr="003A616C" w:rsidRDefault="00410144" w:rsidP="001E44B4">
    <w:pPr>
      <w:pStyle w:val="Footer"/>
      <w:jc w:val="center"/>
      <w:rPr>
        <w:rFonts w:ascii="Arial" w:hAnsi="Arial" w:cs="Arial"/>
        <w:color w:val="808080" w:themeColor="background1" w:themeShade="80"/>
        <w:sz w:val="20"/>
        <w:szCs w:val="20"/>
        <w:u w:val="single"/>
      </w:rPr>
    </w:pPr>
    <w:r w:rsidRPr="003A616C">
      <w:rPr>
        <w:rFonts w:ascii="Arial" w:hAnsi="Arial" w:cs="Arial"/>
        <w:color w:val="808080" w:themeColor="background1" w:themeShade="80"/>
        <w:sz w:val="20"/>
        <w:szCs w:val="20"/>
        <w:u w:val="single"/>
      </w:rPr>
      <w:t>www.plympton-wyoming.com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EBF" w:rsidRDefault="00A96EBF" w:rsidP="00330598">
      <w:r>
        <w:separator/>
      </w:r>
    </w:p>
  </w:footnote>
  <w:footnote w:type="continuationSeparator" w:id="0">
    <w:p w:rsidR="00A96EBF" w:rsidRDefault="00A96EBF" w:rsidP="00330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039C8"/>
    <w:multiLevelType w:val="hybridMultilevel"/>
    <w:tmpl w:val="E23A65B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
    <w:nsid w:val="5187759E"/>
    <w:multiLevelType w:val="hybridMultilevel"/>
    <w:tmpl w:val="2306F4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B3A6A49"/>
    <w:multiLevelType w:val="hybridMultilevel"/>
    <w:tmpl w:val="A714485C"/>
    <w:lvl w:ilvl="0" w:tplc="620E3F5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6F957A10"/>
    <w:multiLevelType w:val="hybridMultilevel"/>
    <w:tmpl w:val="070EF3DC"/>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4">
    <w:nsid w:val="749727E9"/>
    <w:multiLevelType w:val="hybridMultilevel"/>
    <w:tmpl w:val="8F981D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D736B1E"/>
    <w:multiLevelType w:val="hybridMultilevel"/>
    <w:tmpl w:val="BF3C1B3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14"/>
    <w:rsid w:val="00003963"/>
    <w:rsid w:val="00004620"/>
    <w:rsid w:val="00014A2C"/>
    <w:rsid w:val="00032631"/>
    <w:rsid w:val="0003616F"/>
    <w:rsid w:val="00051D46"/>
    <w:rsid w:val="00056593"/>
    <w:rsid w:val="0006200C"/>
    <w:rsid w:val="00071036"/>
    <w:rsid w:val="00077E85"/>
    <w:rsid w:val="000819B9"/>
    <w:rsid w:val="00083714"/>
    <w:rsid w:val="00091566"/>
    <w:rsid w:val="00093F4C"/>
    <w:rsid w:val="000A07AD"/>
    <w:rsid w:val="000A0F74"/>
    <w:rsid w:val="000A4DF3"/>
    <w:rsid w:val="000A6238"/>
    <w:rsid w:val="000B1E48"/>
    <w:rsid w:val="000B2C6E"/>
    <w:rsid w:val="000B6B52"/>
    <w:rsid w:val="000C4DEC"/>
    <w:rsid w:val="000D3285"/>
    <w:rsid w:val="000E7598"/>
    <w:rsid w:val="000E7D41"/>
    <w:rsid w:val="000F38A2"/>
    <w:rsid w:val="000F404D"/>
    <w:rsid w:val="001176B7"/>
    <w:rsid w:val="001248C4"/>
    <w:rsid w:val="00142C7C"/>
    <w:rsid w:val="001510C2"/>
    <w:rsid w:val="001518EE"/>
    <w:rsid w:val="00156AFB"/>
    <w:rsid w:val="0016438D"/>
    <w:rsid w:val="00173C7E"/>
    <w:rsid w:val="001A0F50"/>
    <w:rsid w:val="001A4DEB"/>
    <w:rsid w:val="001C3B4B"/>
    <w:rsid w:val="001D0B66"/>
    <w:rsid w:val="001E30ED"/>
    <w:rsid w:val="001E44B4"/>
    <w:rsid w:val="001E4E86"/>
    <w:rsid w:val="001E512C"/>
    <w:rsid w:val="001F1B69"/>
    <w:rsid w:val="001F30A8"/>
    <w:rsid w:val="001F6438"/>
    <w:rsid w:val="00235C1E"/>
    <w:rsid w:val="0024018A"/>
    <w:rsid w:val="00256459"/>
    <w:rsid w:val="0026030C"/>
    <w:rsid w:val="00275E13"/>
    <w:rsid w:val="002843CF"/>
    <w:rsid w:val="002862C1"/>
    <w:rsid w:val="00291BBB"/>
    <w:rsid w:val="00295042"/>
    <w:rsid w:val="002C1FC6"/>
    <w:rsid w:val="002D25A0"/>
    <w:rsid w:val="002D3D79"/>
    <w:rsid w:val="002F007F"/>
    <w:rsid w:val="00330598"/>
    <w:rsid w:val="0033240B"/>
    <w:rsid w:val="0033631B"/>
    <w:rsid w:val="003515F4"/>
    <w:rsid w:val="0036600A"/>
    <w:rsid w:val="00383FF0"/>
    <w:rsid w:val="003A616C"/>
    <w:rsid w:val="003C098C"/>
    <w:rsid w:val="003E0B26"/>
    <w:rsid w:val="0041002F"/>
    <w:rsid w:val="00410144"/>
    <w:rsid w:val="00414033"/>
    <w:rsid w:val="00423940"/>
    <w:rsid w:val="00442CE1"/>
    <w:rsid w:val="00462126"/>
    <w:rsid w:val="004737ED"/>
    <w:rsid w:val="00473CC4"/>
    <w:rsid w:val="00480FA5"/>
    <w:rsid w:val="00487E66"/>
    <w:rsid w:val="00493CD3"/>
    <w:rsid w:val="004A4D03"/>
    <w:rsid w:val="004D2D96"/>
    <w:rsid w:val="00510794"/>
    <w:rsid w:val="00510F23"/>
    <w:rsid w:val="00516A0C"/>
    <w:rsid w:val="0054589D"/>
    <w:rsid w:val="00546545"/>
    <w:rsid w:val="005656F2"/>
    <w:rsid w:val="005672C9"/>
    <w:rsid w:val="00567A41"/>
    <w:rsid w:val="00575491"/>
    <w:rsid w:val="00575D19"/>
    <w:rsid w:val="005823DB"/>
    <w:rsid w:val="005A024C"/>
    <w:rsid w:val="005A2560"/>
    <w:rsid w:val="005B2C26"/>
    <w:rsid w:val="005D23F7"/>
    <w:rsid w:val="005D41A5"/>
    <w:rsid w:val="005F1B63"/>
    <w:rsid w:val="005F5F01"/>
    <w:rsid w:val="00615CB4"/>
    <w:rsid w:val="00616AE9"/>
    <w:rsid w:val="00623C26"/>
    <w:rsid w:val="006272C0"/>
    <w:rsid w:val="00630624"/>
    <w:rsid w:val="00637015"/>
    <w:rsid w:val="006546A1"/>
    <w:rsid w:val="0066387D"/>
    <w:rsid w:val="00665374"/>
    <w:rsid w:val="006753B0"/>
    <w:rsid w:val="006936EA"/>
    <w:rsid w:val="00695D5E"/>
    <w:rsid w:val="006A7560"/>
    <w:rsid w:val="006B5577"/>
    <w:rsid w:val="006C5431"/>
    <w:rsid w:val="006D4F0C"/>
    <w:rsid w:val="006D5DB6"/>
    <w:rsid w:val="006F0EE7"/>
    <w:rsid w:val="006F4474"/>
    <w:rsid w:val="00706073"/>
    <w:rsid w:val="007140FF"/>
    <w:rsid w:val="00715731"/>
    <w:rsid w:val="00715C2A"/>
    <w:rsid w:val="0073561D"/>
    <w:rsid w:val="00745473"/>
    <w:rsid w:val="0075332B"/>
    <w:rsid w:val="00765DCF"/>
    <w:rsid w:val="007801D3"/>
    <w:rsid w:val="00783CA7"/>
    <w:rsid w:val="007C3D07"/>
    <w:rsid w:val="007E7953"/>
    <w:rsid w:val="007F0F1F"/>
    <w:rsid w:val="007F6863"/>
    <w:rsid w:val="00806E38"/>
    <w:rsid w:val="0081575E"/>
    <w:rsid w:val="00822F11"/>
    <w:rsid w:val="00822FF7"/>
    <w:rsid w:val="00823E26"/>
    <w:rsid w:val="00824512"/>
    <w:rsid w:val="00824DEB"/>
    <w:rsid w:val="00827F55"/>
    <w:rsid w:val="0083661B"/>
    <w:rsid w:val="00862AFC"/>
    <w:rsid w:val="0087049C"/>
    <w:rsid w:val="00886825"/>
    <w:rsid w:val="00892BFB"/>
    <w:rsid w:val="008A7E29"/>
    <w:rsid w:val="008B47B3"/>
    <w:rsid w:val="008C14C0"/>
    <w:rsid w:val="008E3F34"/>
    <w:rsid w:val="008E5EF5"/>
    <w:rsid w:val="008E6154"/>
    <w:rsid w:val="009128A1"/>
    <w:rsid w:val="00921021"/>
    <w:rsid w:val="00932128"/>
    <w:rsid w:val="009325D1"/>
    <w:rsid w:val="00952D12"/>
    <w:rsid w:val="009625CC"/>
    <w:rsid w:val="00970715"/>
    <w:rsid w:val="00970F44"/>
    <w:rsid w:val="00977674"/>
    <w:rsid w:val="009B3BAE"/>
    <w:rsid w:val="009C0973"/>
    <w:rsid w:val="009E34DF"/>
    <w:rsid w:val="009E6A54"/>
    <w:rsid w:val="009F047F"/>
    <w:rsid w:val="00A0014F"/>
    <w:rsid w:val="00A15622"/>
    <w:rsid w:val="00A31266"/>
    <w:rsid w:val="00A31F26"/>
    <w:rsid w:val="00A32BEF"/>
    <w:rsid w:val="00A51754"/>
    <w:rsid w:val="00A548F5"/>
    <w:rsid w:val="00A55DB8"/>
    <w:rsid w:val="00A61B14"/>
    <w:rsid w:val="00A61FAA"/>
    <w:rsid w:val="00A636A4"/>
    <w:rsid w:val="00A7483F"/>
    <w:rsid w:val="00A75D7E"/>
    <w:rsid w:val="00A969D7"/>
    <w:rsid w:val="00A96EBF"/>
    <w:rsid w:val="00AB22F0"/>
    <w:rsid w:val="00AB3B76"/>
    <w:rsid w:val="00AB7A59"/>
    <w:rsid w:val="00AD076D"/>
    <w:rsid w:val="00AD0C91"/>
    <w:rsid w:val="00AD34AB"/>
    <w:rsid w:val="00AD5013"/>
    <w:rsid w:val="00AE1776"/>
    <w:rsid w:val="00B16AFC"/>
    <w:rsid w:val="00B2685F"/>
    <w:rsid w:val="00B32574"/>
    <w:rsid w:val="00B334F8"/>
    <w:rsid w:val="00B536BC"/>
    <w:rsid w:val="00B60284"/>
    <w:rsid w:val="00B62CD4"/>
    <w:rsid w:val="00B7575B"/>
    <w:rsid w:val="00B85677"/>
    <w:rsid w:val="00B92A68"/>
    <w:rsid w:val="00BB4EDC"/>
    <w:rsid w:val="00BC15C7"/>
    <w:rsid w:val="00BC54F5"/>
    <w:rsid w:val="00BD5388"/>
    <w:rsid w:val="00BD577A"/>
    <w:rsid w:val="00BE1497"/>
    <w:rsid w:val="00BE171D"/>
    <w:rsid w:val="00BF1B08"/>
    <w:rsid w:val="00BF6795"/>
    <w:rsid w:val="00C0335D"/>
    <w:rsid w:val="00C12E71"/>
    <w:rsid w:val="00C14860"/>
    <w:rsid w:val="00C67736"/>
    <w:rsid w:val="00C73195"/>
    <w:rsid w:val="00C864F8"/>
    <w:rsid w:val="00C932B5"/>
    <w:rsid w:val="00CA43E2"/>
    <w:rsid w:val="00CA5050"/>
    <w:rsid w:val="00CD702C"/>
    <w:rsid w:val="00CF02D6"/>
    <w:rsid w:val="00CF6BD2"/>
    <w:rsid w:val="00D06EB8"/>
    <w:rsid w:val="00D10695"/>
    <w:rsid w:val="00D16FC4"/>
    <w:rsid w:val="00D47E4A"/>
    <w:rsid w:val="00D52AB7"/>
    <w:rsid w:val="00D54D53"/>
    <w:rsid w:val="00D5673B"/>
    <w:rsid w:val="00D57412"/>
    <w:rsid w:val="00D60223"/>
    <w:rsid w:val="00D635EE"/>
    <w:rsid w:val="00D73BA5"/>
    <w:rsid w:val="00D82BC2"/>
    <w:rsid w:val="00D85112"/>
    <w:rsid w:val="00D878D9"/>
    <w:rsid w:val="00D91C14"/>
    <w:rsid w:val="00DA6668"/>
    <w:rsid w:val="00DA7157"/>
    <w:rsid w:val="00DB4528"/>
    <w:rsid w:val="00DC3127"/>
    <w:rsid w:val="00DD3B9F"/>
    <w:rsid w:val="00DD5A9D"/>
    <w:rsid w:val="00DD5C5E"/>
    <w:rsid w:val="00DE6A2F"/>
    <w:rsid w:val="00DF1D11"/>
    <w:rsid w:val="00E00B58"/>
    <w:rsid w:val="00E00F8E"/>
    <w:rsid w:val="00E10257"/>
    <w:rsid w:val="00E17D27"/>
    <w:rsid w:val="00E43B7C"/>
    <w:rsid w:val="00E55A37"/>
    <w:rsid w:val="00E55AE8"/>
    <w:rsid w:val="00E66B6A"/>
    <w:rsid w:val="00E701FD"/>
    <w:rsid w:val="00E8082C"/>
    <w:rsid w:val="00E85F4A"/>
    <w:rsid w:val="00E93883"/>
    <w:rsid w:val="00EA2A35"/>
    <w:rsid w:val="00EF7E7A"/>
    <w:rsid w:val="00F04A4D"/>
    <w:rsid w:val="00F15BF4"/>
    <w:rsid w:val="00F20A25"/>
    <w:rsid w:val="00F214D9"/>
    <w:rsid w:val="00F248A5"/>
    <w:rsid w:val="00F27A34"/>
    <w:rsid w:val="00F53C0D"/>
    <w:rsid w:val="00F61B72"/>
    <w:rsid w:val="00F65068"/>
    <w:rsid w:val="00F91A4F"/>
    <w:rsid w:val="00F93632"/>
    <w:rsid w:val="00F94E21"/>
    <w:rsid w:val="00F961F6"/>
    <w:rsid w:val="00F96A56"/>
    <w:rsid w:val="00FC23E2"/>
    <w:rsid w:val="00FC372F"/>
    <w:rsid w:val="00FC443A"/>
    <w:rsid w:val="00FC59A4"/>
    <w:rsid w:val="00FE3A6D"/>
    <w:rsid w:val="00FF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D82BC2"/>
    <w:pPr>
      <w:keepNext/>
      <w:keepLines/>
      <w:spacing w:before="200"/>
      <w:outlineLvl w:val="1"/>
    </w:pPr>
    <w:rPr>
      <w:rFonts w:asciiTheme="majorHAnsi" w:eastAsiaTheme="majorEastAsia" w:hAnsiTheme="majorHAnsi" w:cstheme="majorBidi"/>
      <w:bCs/>
      <w:color w:val="000000"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character" w:styleId="Hyperlink">
    <w:name w:val="Hyperlink"/>
    <w:basedOn w:val="DefaultParagraphFont"/>
    <w:rsid w:val="000F38A2"/>
    <w:rPr>
      <w:color w:val="0000FF" w:themeColor="hyperlink"/>
      <w:u w:val="single"/>
    </w:rPr>
  </w:style>
  <w:style w:type="paragraph" w:styleId="BalloonText">
    <w:name w:val="Balloon Text"/>
    <w:basedOn w:val="Normal"/>
    <w:link w:val="BalloonTextChar"/>
    <w:rsid w:val="000F38A2"/>
    <w:rPr>
      <w:rFonts w:ascii="Tahoma" w:hAnsi="Tahoma" w:cs="Tahoma"/>
      <w:sz w:val="16"/>
      <w:szCs w:val="16"/>
    </w:rPr>
  </w:style>
  <w:style w:type="character" w:customStyle="1" w:styleId="BalloonTextChar">
    <w:name w:val="Balloon Text Char"/>
    <w:basedOn w:val="DefaultParagraphFont"/>
    <w:link w:val="BalloonText"/>
    <w:rsid w:val="000F38A2"/>
    <w:rPr>
      <w:rFonts w:ascii="Tahoma" w:hAnsi="Tahoma" w:cs="Tahoma"/>
      <w:sz w:val="16"/>
      <w:szCs w:val="16"/>
    </w:rPr>
  </w:style>
  <w:style w:type="paragraph" w:styleId="ListParagraph">
    <w:name w:val="List Paragraph"/>
    <w:basedOn w:val="Normal"/>
    <w:uiPriority w:val="34"/>
    <w:qFormat/>
    <w:rsid w:val="00615CB4"/>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D82BC2"/>
    <w:rPr>
      <w:rFonts w:asciiTheme="majorHAnsi" w:eastAsiaTheme="majorEastAsia" w:hAnsiTheme="majorHAnsi" w:cstheme="majorBidi"/>
      <w:bCs/>
      <w:color w:val="000000" w:themeColor="text1"/>
      <w:sz w:val="22"/>
      <w:szCs w:val="26"/>
    </w:rPr>
  </w:style>
  <w:style w:type="paragraph" w:styleId="Header">
    <w:name w:val="header"/>
    <w:basedOn w:val="Normal"/>
    <w:link w:val="HeaderChar"/>
    <w:rsid w:val="00330598"/>
    <w:pPr>
      <w:tabs>
        <w:tab w:val="center" w:pos="4680"/>
        <w:tab w:val="right" w:pos="9360"/>
      </w:tabs>
    </w:pPr>
  </w:style>
  <w:style w:type="character" w:customStyle="1" w:styleId="HeaderChar">
    <w:name w:val="Header Char"/>
    <w:basedOn w:val="DefaultParagraphFont"/>
    <w:link w:val="Header"/>
    <w:rsid w:val="00330598"/>
    <w:rPr>
      <w:sz w:val="24"/>
      <w:szCs w:val="24"/>
    </w:rPr>
  </w:style>
  <w:style w:type="paragraph" w:styleId="Footer">
    <w:name w:val="footer"/>
    <w:basedOn w:val="Normal"/>
    <w:link w:val="FooterChar"/>
    <w:uiPriority w:val="99"/>
    <w:rsid w:val="00330598"/>
    <w:pPr>
      <w:tabs>
        <w:tab w:val="center" w:pos="4680"/>
        <w:tab w:val="right" w:pos="9360"/>
      </w:tabs>
    </w:pPr>
  </w:style>
  <w:style w:type="character" w:customStyle="1" w:styleId="FooterChar">
    <w:name w:val="Footer Char"/>
    <w:basedOn w:val="DefaultParagraphFont"/>
    <w:link w:val="Footer"/>
    <w:uiPriority w:val="99"/>
    <w:rsid w:val="003305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D82BC2"/>
    <w:pPr>
      <w:keepNext/>
      <w:keepLines/>
      <w:spacing w:before="200"/>
      <w:outlineLvl w:val="1"/>
    </w:pPr>
    <w:rPr>
      <w:rFonts w:asciiTheme="majorHAnsi" w:eastAsiaTheme="majorEastAsia" w:hAnsiTheme="majorHAnsi" w:cstheme="majorBidi"/>
      <w:bCs/>
      <w:color w:val="000000"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character" w:styleId="Hyperlink">
    <w:name w:val="Hyperlink"/>
    <w:basedOn w:val="DefaultParagraphFont"/>
    <w:rsid w:val="000F38A2"/>
    <w:rPr>
      <w:color w:val="0000FF" w:themeColor="hyperlink"/>
      <w:u w:val="single"/>
    </w:rPr>
  </w:style>
  <w:style w:type="paragraph" w:styleId="BalloonText">
    <w:name w:val="Balloon Text"/>
    <w:basedOn w:val="Normal"/>
    <w:link w:val="BalloonTextChar"/>
    <w:rsid w:val="000F38A2"/>
    <w:rPr>
      <w:rFonts w:ascii="Tahoma" w:hAnsi="Tahoma" w:cs="Tahoma"/>
      <w:sz w:val="16"/>
      <w:szCs w:val="16"/>
    </w:rPr>
  </w:style>
  <w:style w:type="character" w:customStyle="1" w:styleId="BalloonTextChar">
    <w:name w:val="Balloon Text Char"/>
    <w:basedOn w:val="DefaultParagraphFont"/>
    <w:link w:val="BalloonText"/>
    <w:rsid w:val="000F38A2"/>
    <w:rPr>
      <w:rFonts w:ascii="Tahoma" w:hAnsi="Tahoma" w:cs="Tahoma"/>
      <w:sz w:val="16"/>
      <w:szCs w:val="16"/>
    </w:rPr>
  </w:style>
  <w:style w:type="paragraph" w:styleId="ListParagraph">
    <w:name w:val="List Paragraph"/>
    <w:basedOn w:val="Normal"/>
    <w:uiPriority w:val="34"/>
    <w:qFormat/>
    <w:rsid w:val="00615CB4"/>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D82BC2"/>
    <w:rPr>
      <w:rFonts w:asciiTheme="majorHAnsi" w:eastAsiaTheme="majorEastAsia" w:hAnsiTheme="majorHAnsi" w:cstheme="majorBidi"/>
      <w:bCs/>
      <w:color w:val="000000" w:themeColor="text1"/>
      <w:sz w:val="22"/>
      <w:szCs w:val="26"/>
    </w:rPr>
  </w:style>
  <w:style w:type="paragraph" w:styleId="Header">
    <w:name w:val="header"/>
    <w:basedOn w:val="Normal"/>
    <w:link w:val="HeaderChar"/>
    <w:rsid w:val="00330598"/>
    <w:pPr>
      <w:tabs>
        <w:tab w:val="center" w:pos="4680"/>
        <w:tab w:val="right" w:pos="9360"/>
      </w:tabs>
    </w:pPr>
  </w:style>
  <w:style w:type="character" w:customStyle="1" w:styleId="HeaderChar">
    <w:name w:val="Header Char"/>
    <w:basedOn w:val="DefaultParagraphFont"/>
    <w:link w:val="Header"/>
    <w:rsid w:val="00330598"/>
    <w:rPr>
      <w:sz w:val="24"/>
      <w:szCs w:val="24"/>
    </w:rPr>
  </w:style>
  <w:style w:type="paragraph" w:styleId="Footer">
    <w:name w:val="footer"/>
    <w:basedOn w:val="Normal"/>
    <w:link w:val="FooterChar"/>
    <w:uiPriority w:val="99"/>
    <w:rsid w:val="00330598"/>
    <w:pPr>
      <w:tabs>
        <w:tab w:val="center" w:pos="4680"/>
        <w:tab w:val="right" w:pos="9360"/>
      </w:tabs>
    </w:pPr>
  </w:style>
  <w:style w:type="character" w:customStyle="1" w:styleId="FooterChar">
    <w:name w:val="Footer Char"/>
    <w:basedOn w:val="DefaultParagraphFont"/>
    <w:link w:val="Footer"/>
    <w:uiPriority w:val="99"/>
    <w:rsid w:val="003305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06581">
      <w:bodyDiv w:val="1"/>
      <w:marLeft w:val="0"/>
      <w:marRight w:val="0"/>
      <w:marTop w:val="0"/>
      <w:marBottom w:val="0"/>
      <w:divBdr>
        <w:top w:val="none" w:sz="0" w:space="0" w:color="auto"/>
        <w:left w:val="none" w:sz="0" w:space="0" w:color="auto"/>
        <w:bottom w:val="none" w:sz="0" w:space="0" w:color="auto"/>
        <w:right w:val="none" w:sz="0" w:space="0" w:color="auto"/>
      </w:divBdr>
    </w:div>
    <w:div w:id="631054604">
      <w:bodyDiv w:val="1"/>
      <w:marLeft w:val="0"/>
      <w:marRight w:val="0"/>
      <w:marTop w:val="0"/>
      <w:marBottom w:val="0"/>
      <w:divBdr>
        <w:top w:val="none" w:sz="0" w:space="0" w:color="auto"/>
        <w:left w:val="none" w:sz="0" w:space="0" w:color="auto"/>
        <w:bottom w:val="none" w:sz="0" w:space="0" w:color="auto"/>
        <w:right w:val="none" w:sz="0" w:space="0" w:color="auto"/>
      </w:divBdr>
    </w:div>
    <w:div w:id="658386147">
      <w:bodyDiv w:val="1"/>
      <w:marLeft w:val="0"/>
      <w:marRight w:val="0"/>
      <w:marTop w:val="0"/>
      <w:marBottom w:val="0"/>
      <w:divBdr>
        <w:top w:val="none" w:sz="0" w:space="0" w:color="auto"/>
        <w:left w:val="none" w:sz="0" w:space="0" w:color="auto"/>
        <w:bottom w:val="none" w:sz="0" w:space="0" w:color="auto"/>
        <w:right w:val="none" w:sz="0" w:space="0" w:color="auto"/>
      </w:divBdr>
    </w:div>
    <w:div w:id="1023441934">
      <w:bodyDiv w:val="1"/>
      <w:marLeft w:val="0"/>
      <w:marRight w:val="0"/>
      <w:marTop w:val="0"/>
      <w:marBottom w:val="0"/>
      <w:divBdr>
        <w:top w:val="none" w:sz="0" w:space="0" w:color="auto"/>
        <w:left w:val="none" w:sz="0" w:space="0" w:color="auto"/>
        <w:bottom w:val="none" w:sz="0" w:space="0" w:color="auto"/>
        <w:right w:val="none" w:sz="0" w:space="0" w:color="auto"/>
      </w:divBdr>
    </w:div>
    <w:div w:id="1764952626">
      <w:bodyDiv w:val="1"/>
      <w:marLeft w:val="0"/>
      <w:marRight w:val="0"/>
      <w:marTop w:val="0"/>
      <w:marBottom w:val="0"/>
      <w:divBdr>
        <w:top w:val="none" w:sz="0" w:space="0" w:color="auto"/>
        <w:left w:val="none" w:sz="0" w:space="0" w:color="auto"/>
        <w:bottom w:val="none" w:sz="0" w:space="0" w:color="auto"/>
        <w:right w:val="none" w:sz="0" w:space="0" w:color="auto"/>
      </w:divBdr>
    </w:div>
    <w:div w:id="184308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2C603-6D4C-43B9-B088-80D9E6A6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Corporation of the</vt:lpstr>
    </vt:vector>
  </TitlesOfParts>
  <Company>Township of Plympton Wyoming</Company>
  <LinksUpToDate>false</LinksUpToDate>
  <CharactersWithSpaces>2250</CharactersWithSpaces>
  <SharedDoc>false</SharedDoc>
  <HLinks>
    <vt:vector size="6" baseType="variant">
      <vt:variant>
        <vt:i4>1245258</vt:i4>
      </vt:variant>
      <vt:variant>
        <vt:i4>2</vt:i4>
      </vt:variant>
      <vt:variant>
        <vt:i4>0</vt:i4>
      </vt:variant>
      <vt:variant>
        <vt:i4>5</vt:i4>
      </vt:variant>
      <vt:variant>
        <vt:lpwstr>http://www.plympont/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dc:title>
  <dc:creator>CarolH</dc:creator>
  <cp:lastModifiedBy>Sarah Baldwin</cp:lastModifiedBy>
  <cp:revision>8</cp:revision>
  <cp:lastPrinted>2017-09-22T13:48:00Z</cp:lastPrinted>
  <dcterms:created xsi:type="dcterms:W3CDTF">2019-07-20T19:09:00Z</dcterms:created>
  <dcterms:modified xsi:type="dcterms:W3CDTF">2019-08-06T14:43:00Z</dcterms:modified>
</cp:coreProperties>
</file>