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DD4" w:rsidRDefault="00E41DD4" w:rsidP="00C87261">
      <w:pPr>
        <w:jc w:val="both"/>
        <w:rPr>
          <w:sz w:val="21"/>
          <w:szCs w:val="21"/>
        </w:rPr>
      </w:pPr>
    </w:p>
    <w:p w:rsidR="00063128" w:rsidRDefault="00063128" w:rsidP="00C87261">
      <w:pPr>
        <w:jc w:val="both"/>
        <w:rPr>
          <w:rFonts w:ascii="Verdana" w:hAnsi="Verdana"/>
        </w:rPr>
      </w:pPr>
    </w:p>
    <w:p w:rsidR="00063128" w:rsidRPr="00063128" w:rsidRDefault="00B961C1" w:rsidP="00C87261">
      <w:pPr>
        <w:jc w:val="both"/>
        <w:rPr>
          <w:rFonts w:ascii="Verdana" w:hAnsi="Verdana"/>
        </w:rPr>
      </w:pPr>
      <w:r>
        <w:rPr>
          <w:rFonts w:ascii="Verdana" w:hAnsi="Verdana"/>
        </w:rPr>
        <w:t xml:space="preserve">April </w:t>
      </w:r>
      <w:r w:rsidR="007E5E9B">
        <w:rPr>
          <w:rFonts w:ascii="Verdana" w:hAnsi="Verdana"/>
        </w:rPr>
        <w:t>3</w:t>
      </w:r>
      <w:r w:rsidR="0099053E">
        <w:rPr>
          <w:rFonts w:ascii="Verdana" w:hAnsi="Verdana"/>
        </w:rPr>
        <w:t>, 2020</w:t>
      </w:r>
    </w:p>
    <w:p w:rsidR="00E41DD4" w:rsidRPr="00063128" w:rsidRDefault="00E41DD4" w:rsidP="00C87261">
      <w:pPr>
        <w:jc w:val="both"/>
        <w:rPr>
          <w:rFonts w:ascii="Verdana" w:hAnsi="Verdana"/>
        </w:rPr>
        <w:sectPr w:rsidR="00E41DD4" w:rsidRPr="00063128" w:rsidSect="00910C51">
          <w:headerReference w:type="default" r:id="rId6"/>
          <w:footerReference w:type="default" r:id="rId7"/>
          <w:pgSz w:w="12240" w:h="15840"/>
          <w:pgMar w:top="1440" w:right="1440" w:bottom="1260" w:left="1440" w:header="720" w:footer="477" w:gutter="0"/>
          <w:cols w:space="720"/>
          <w:docGrid w:linePitch="360"/>
        </w:sectPr>
      </w:pPr>
    </w:p>
    <w:p w:rsidR="00C57697" w:rsidRDefault="00C57697" w:rsidP="0015198E">
      <w:pPr>
        <w:rPr>
          <w:rFonts w:ascii="Verdana" w:hAnsi="Verdana"/>
        </w:rPr>
      </w:pPr>
    </w:p>
    <w:p w:rsidR="0099053E" w:rsidRDefault="0099053E" w:rsidP="0015198E">
      <w:pPr>
        <w:rPr>
          <w:rFonts w:ascii="Verdana" w:hAnsi="Verdana"/>
        </w:rPr>
      </w:pPr>
      <w:r>
        <w:rPr>
          <w:rFonts w:ascii="Verdana" w:hAnsi="Verdana"/>
        </w:rPr>
        <w:t>Ministry of Municipal Affairs and Housing</w:t>
      </w:r>
    </w:p>
    <w:p w:rsidR="0099053E" w:rsidRDefault="0099053E" w:rsidP="0015198E">
      <w:pPr>
        <w:rPr>
          <w:rFonts w:ascii="Verdana" w:hAnsi="Verdana"/>
        </w:rPr>
      </w:pPr>
      <w:r>
        <w:rPr>
          <w:rFonts w:ascii="Verdana" w:hAnsi="Verdana"/>
        </w:rPr>
        <w:t>Municipal Finance Policy Branch</w:t>
      </w:r>
    </w:p>
    <w:p w:rsidR="0099053E" w:rsidRDefault="0099053E" w:rsidP="0015198E">
      <w:pPr>
        <w:rPr>
          <w:rFonts w:ascii="Verdana" w:hAnsi="Verdana"/>
        </w:rPr>
      </w:pPr>
      <w:r>
        <w:rPr>
          <w:rFonts w:ascii="Verdana" w:hAnsi="Verdana"/>
        </w:rPr>
        <w:t>College Park 13</w:t>
      </w:r>
      <w:r w:rsidRPr="0099053E">
        <w:rPr>
          <w:rFonts w:ascii="Verdana" w:hAnsi="Verdana"/>
          <w:vertAlign w:val="superscript"/>
        </w:rPr>
        <w:t>th</w:t>
      </w:r>
      <w:r>
        <w:rPr>
          <w:rFonts w:ascii="Verdana" w:hAnsi="Verdana"/>
        </w:rPr>
        <w:t xml:space="preserve"> floor, 777 Bay Street</w:t>
      </w:r>
    </w:p>
    <w:p w:rsidR="00063128" w:rsidRDefault="0099053E" w:rsidP="0015198E">
      <w:pPr>
        <w:rPr>
          <w:rFonts w:ascii="Verdana" w:hAnsi="Verdana"/>
        </w:rPr>
      </w:pPr>
      <w:r>
        <w:rPr>
          <w:rFonts w:ascii="Verdana" w:hAnsi="Verdana"/>
        </w:rPr>
        <w:t>Toronto ON M7A 2J3</w:t>
      </w:r>
    </w:p>
    <w:p w:rsidR="006B1C00" w:rsidRDefault="006B1C00" w:rsidP="0015198E">
      <w:pPr>
        <w:rPr>
          <w:rFonts w:ascii="Verdana" w:hAnsi="Verdana"/>
        </w:rPr>
      </w:pPr>
    </w:p>
    <w:p w:rsidR="0099053E" w:rsidRDefault="0099053E" w:rsidP="0015198E">
      <w:pPr>
        <w:rPr>
          <w:rFonts w:ascii="Verdana" w:hAnsi="Verdana"/>
        </w:rPr>
      </w:pPr>
      <w:r>
        <w:rPr>
          <w:rFonts w:ascii="Verdana" w:hAnsi="Verdana"/>
        </w:rPr>
        <w:t>Dear John Ballantine:</w:t>
      </w:r>
    </w:p>
    <w:p w:rsidR="0099053E" w:rsidRDefault="0099053E" w:rsidP="0015198E">
      <w:pPr>
        <w:rPr>
          <w:rFonts w:ascii="Verdana" w:hAnsi="Verdana"/>
        </w:rPr>
      </w:pPr>
    </w:p>
    <w:p w:rsidR="00063128" w:rsidRPr="0099053E" w:rsidRDefault="00063128" w:rsidP="0099053E">
      <w:pPr>
        <w:ind w:left="720"/>
        <w:rPr>
          <w:rFonts w:ascii="Verdana" w:hAnsi="Verdana"/>
          <w:b/>
          <w:u w:val="single"/>
        </w:rPr>
      </w:pPr>
      <w:r w:rsidRPr="0099053E">
        <w:rPr>
          <w:rFonts w:ascii="Verdana" w:hAnsi="Verdana"/>
          <w:b/>
        </w:rPr>
        <w:t xml:space="preserve">Re:    </w:t>
      </w:r>
      <w:r w:rsidR="0099053E" w:rsidRPr="0099053E">
        <w:rPr>
          <w:rFonts w:ascii="Verdana" w:hAnsi="Verdana"/>
          <w:b/>
          <w:u w:val="single"/>
        </w:rPr>
        <w:t xml:space="preserve">ERO #019-1406 – Proposed Regulatory Matters Pertaining to Community Benefits Authority Under the </w:t>
      </w:r>
      <w:r w:rsidR="0099053E" w:rsidRPr="0099053E">
        <w:rPr>
          <w:rFonts w:ascii="Verdana" w:hAnsi="Verdana"/>
          <w:b/>
          <w:i/>
          <w:u w:val="single"/>
        </w:rPr>
        <w:t>Planning Act</w:t>
      </w:r>
      <w:r w:rsidR="0099053E" w:rsidRPr="0099053E">
        <w:rPr>
          <w:rFonts w:ascii="Verdana" w:hAnsi="Verdana"/>
          <w:b/>
          <w:u w:val="single"/>
        </w:rPr>
        <w:t xml:space="preserve">, the </w:t>
      </w:r>
      <w:r w:rsidR="0099053E" w:rsidRPr="0099053E">
        <w:rPr>
          <w:rFonts w:ascii="Verdana" w:hAnsi="Verdana"/>
          <w:b/>
          <w:i/>
          <w:u w:val="single"/>
        </w:rPr>
        <w:t>Development Charges Act</w:t>
      </w:r>
      <w:r w:rsidR="0099053E" w:rsidRPr="0099053E">
        <w:rPr>
          <w:rFonts w:ascii="Verdana" w:hAnsi="Verdana"/>
          <w:b/>
          <w:u w:val="single"/>
        </w:rPr>
        <w:t xml:space="preserve">, and the </w:t>
      </w:r>
      <w:r w:rsidR="0099053E" w:rsidRPr="0099053E">
        <w:rPr>
          <w:rFonts w:ascii="Verdana" w:hAnsi="Verdana"/>
          <w:b/>
          <w:i/>
          <w:u w:val="single"/>
        </w:rPr>
        <w:t>Building Code Act</w:t>
      </w:r>
    </w:p>
    <w:p w:rsidR="00063128" w:rsidRDefault="00063128" w:rsidP="0015198E">
      <w:pPr>
        <w:rPr>
          <w:rFonts w:ascii="Verdana" w:hAnsi="Verdana"/>
        </w:rPr>
      </w:pPr>
    </w:p>
    <w:p w:rsidR="0099053E" w:rsidRDefault="0099053E" w:rsidP="0015198E">
      <w:pPr>
        <w:rPr>
          <w:rFonts w:ascii="Verdana" w:hAnsi="Verdana"/>
        </w:rPr>
      </w:pPr>
      <w:r>
        <w:rPr>
          <w:rFonts w:ascii="Verdana" w:hAnsi="Verdana"/>
        </w:rPr>
        <w:t>The Township of Springwater has had an opportunity to review the proposed regulatory matters pertaining to Community Benefits Authority released on February 28, 2020</w:t>
      </w:r>
      <w:r w:rsidR="00C95630">
        <w:rPr>
          <w:rFonts w:ascii="Verdana" w:hAnsi="Verdana"/>
        </w:rPr>
        <w:t>.</w:t>
      </w:r>
    </w:p>
    <w:p w:rsidR="00C95630" w:rsidRDefault="00C95630" w:rsidP="0015198E">
      <w:pPr>
        <w:rPr>
          <w:rFonts w:ascii="Verdana" w:hAnsi="Verdana"/>
        </w:rPr>
      </w:pPr>
    </w:p>
    <w:p w:rsidR="00C95630" w:rsidRDefault="00C95630" w:rsidP="0015198E">
      <w:pPr>
        <w:rPr>
          <w:rFonts w:ascii="Verdana" w:hAnsi="Verdana"/>
        </w:rPr>
      </w:pPr>
      <w:r>
        <w:rPr>
          <w:rFonts w:ascii="Verdana" w:hAnsi="Verdana"/>
        </w:rPr>
        <w:t>Township Council reviewed the matter at its meeting held on March 18, 2020 and</w:t>
      </w:r>
      <w:r w:rsidR="000754F3">
        <w:rPr>
          <w:rFonts w:ascii="Verdana" w:hAnsi="Verdana"/>
        </w:rPr>
        <w:t xml:space="preserve"> provide the following comments.</w:t>
      </w:r>
    </w:p>
    <w:p w:rsidR="000754F3" w:rsidRDefault="000754F3" w:rsidP="0015198E">
      <w:pPr>
        <w:rPr>
          <w:rFonts w:ascii="Verdana" w:hAnsi="Verdana"/>
        </w:rPr>
      </w:pPr>
    </w:p>
    <w:p w:rsidR="000754F3" w:rsidRPr="000754F3" w:rsidRDefault="000754F3" w:rsidP="000754F3">
      <w:pPr>
        <w:jc w:val="both"/>
        <w:rPr>
          <w:rFonts w:ascii="Verdana" w:hAnsi="Verdana" w:cs="Arial"/>
          <w:u w:val="single"/>
        </w:rPr>
      </w:pPr>
      <w:r w:rsidRPr="000754F3">
        <w:rPr>
          <w:rFonts w:ascii="Verdana" w:hAnsi="Verdana" w:cs="Arial"/>
          <w:u w:val="single"/>
        </w:rPr>
        <w:t>Requirements of the C</w:t>
      </w:r>
      <w:r w:rsidR="00904E78">
        <w:rPr>
          <w:rFonts w:ascii="Verdana" w:hAnsi="Verdana" w:cs="Arial"/>
          <w:u w:val="single"/>
        </w:rPr>
        <w:t xml:space="preserve">ommunity </w:t>
      </w:r>
      <w:r w:rsidRPr="000754F3">
        <w:rPr>
          <w:rFonts w:ascii="Verdana" w:hAnsi="Verdana" w:cs="Arial"/>
          <w:u w:val="single"/>
        </w:rPr>
        <w:t>B</w:t>
      </w:r>
      <w:r w:rsidR="00904E78">
        <w:rPr>
          <w:rFonts w:ascii="Verdana" w:hAnsi="Verdana" w:cs="Arial"/>
          <w:u w:val="single"/>
        </w:rPr>
        <w:t xml:space="preserve">enefit </w:t>
      </w:r>
      <w:r w:rsidRPr="000754F3">
        <w:rPr>
          <w:rFonts w:ascii="Verdana" w:hAnsi="Verdana" w:cs="Arial"/>
          <w:u w:val="single"/>
        </w:rPr>
        <w:t>C</w:t>
      </w:r>
      <w:r w:rsidR="00904E78">
        <w:rPr>
          <w:rFonts w:ascii="Verdana" w:hAnsi="Verdana" w:cs="Arial"/>
          <w:u w:val="single"/>
        </w:rPr>
        <w:t>harge (CBC)</w:t>
      </w:r>
      <w:r w:rsidRPr="000754F3">
        <w:rPr>
          <w:rFonts w:ascii="Verdana" w:hAnsi="Verdana" w:cs="Arial"/>
          <w:u w:val="single"/>
        </w:rPr>
        <w:t xml:space="preserve"> strategy and of consultation</w:t>
      </w:r>
    </w:p>
    <w:p w:rsidR="00904E78" w:rsidRDefault="000754F3" w:rsidP="000754F3">
      <w:pPr>
        <w:jc w:val="both"/>
        <w:rPr>
          <w:rFonts w:ascii="Verdana" w:hAnsi="Verdana" w:cs="Arial"/>
        </w:rPr>
      </w:pPr>
      <w:r w:rsidRPr="000754F3">
        <w:rPr>
          <w:rFonts w:ascii="Verdana" w:hAnsi="Verdana" w:cs="Arial"/>
        </w:rPr>
        <w:t xml:space="preserve">The regulation proposes that the requirements for the CBC Strategy are similar to those for a background study under the </w:t>
      </w:r>
      <w:r w:rsidRPr="000754F3">
        <w:rPr>
          <w:rFonts w:ascii="Verdana" w:hAnsi="Verdana" w:cs="Arial"/>
          <w:i/>
        </w:rPr>
        <w:t>D</w:t>
      </w:r>
      <w:r w:rsidR="00904E78">
        <w:rPr>
          <w:rFonts w:ascii="Verdana" w:hAnsi="Verdana" w:cs="Arial"/>
          <w:i/>
        </w:rPr>
        <w:t>evelopment Charges (DC)</w:t>
      </w:r>
      <w:r w:rsidRPr="000754F3">
        <w:rPr>
          <w:rFonts w:ascii="Verdana" w:hAnsi="Verdana" w:cs="Arial"/>
          <w:i/>
        </w:rPr>
        <w:t xml:space="preserve"> Act</w:t>
      </w:r>
      <w:r w:rsidRPr="000754F3">
        <w:rPr>
          <w:rFonts w:ascii="Verdana" w:hAnsi="Verdana" w:cs="Arial"/>
        </w:rPr>
        <w:t xml:space="preserve">, and that the consultation is to be determined by the municipality. </w:t>
      </w:r>
    </w:p>
    <w:p w:rsidR="00904E78" w:rsidRDefault="00904E78" w:rsidP="000754F3">
      <w:pPr>
        <w:jc w:val="both"/>
        <w:rPr>
          <w:rFonts w:ascii="Verdana" w:hAnsi="Verdana" w:cs="Arial"/>
        </w:rPr>
      </w:pPr>
    </w:p>
    <w:p w:rsidR="000754F3" w:rsidRPr="000754F3" w:rsidRDefault="00904E78" w:rsidP="000754F3">
      <w:pPr>
        <w:jc w:val="both"/>
        <w:rPr>
          <w:rFonts w:ascii="Verdana" w:hAnsi="Verdana" w:cs="Arial"/>
        </w:rPr>
      </w:pPr>
      <w:r w:rsidRPr="00904E78">
        <w:rPr>
          <w:rFonts w:ascii="Verdana" w:hAnsi="Verdana" w:cs="Arial"/>
          <w:u w:val="single"/>
        </w:rPr>
        <w:t>Township comments</w:t>
      </w:r>
      <w:r>
        <w:rPr>
          <w:rFonts w:ascii="Verdana" w:hAnsi="Verdana" w:cs="Arial"/>
        </w:rPr>
        <w:t>:</w:t>
      </w:r>
      <w:r w:rsidR="000754F3" w:rsidRPr="000754F3">
        <w:rPr>
          <w:rFonts w:ascii="Verdana" w:hAnsi="Verdana" w:cs="Arial"/>
        </w:rPr>
        <w:t xml:space="preserve"> </w:t>
      </w:r>
      <w:r>
        <w:rPr>
          <w:rFonts w:ascii="Verdana" w:hAnsi="Verdana" w:cs="Arial"/>
        </w:rPr>
        <w:t>The Township of Springwater supports th</w:t>
      </w:r>
      <w:r w:rsidR="005171B4">
        <w:rPr>
          <w:rFonts w:ascii="Verdana" w:hAnsi="Verdana" w:cs="Arial"/>
        </w:rPr>
        <w:t>ese aspects of the proposal.</w:t>
      </w:r>
    </w:p>
    <w:p w:rsidR="00904E78" w:rsidRDefault="00904E78" w:rsidP="000754F3">
      <w:pPr>
        <w:jc w:val="both"/>
        <w:rPr>
          <w:rFonts w:ascii="Verdana" w:hAnsi="Verdana" w:cs="Arial"/>
          <w:u w:val="single"/>
        </w:rPr>
      </w:pPr>
    </w:p>
    <w:p w:rsidR="00904E78" w:rsidRDefault="00904E78" w:rsidP="000754F3">
      <w:pPr>
        <w:jc w:val="both"/>
        <w:rPr>
          <w:rFonts w:ascii="Verdana" w:hAnsi="Verdana" w:cs="Arial"/>
          <w:u w:val="single"/>
        </w:rPr>
      </w:pPr>
    </w:p>
    <w:p w:rsidR="000754F3" w:rsidRPr="000754F3" w:rsidRDefault="000754F3" w:rsidP="000754F3">
      <w:pPr>
        <w:jc w:val="both"/>
        <w:rPr>
          <w:rFonts w:ascii="Verdana" w:hAnsi="Verdana" w:cs="Arial"/>
          <w:u w:val="single"/>
        </w:rPr>
      </w:pPr>
      <w:r w:rsidRPr="000754F3">
        <w:rPr>
          <w:rFonts w:ascii="Verdana" w:hAnsi="Verdana" w:cs="Arial"/>
          <w:u w:val="single"/>
        </w:rPr>
        <w:t xml:space="preserve">Eligible services under the </w:t>
      </w:r>
      <w:r w:rsidRPr="000754F3">
        <w:rPr>
          <w:rFonts w:ascii="Verdana" w:hAnsi="Verdana" w:cs="Arial"/>
          <w:i/>
          <w:u w:val="single"/>
        </w:rPr>
        <w:t>DC Act</w:t>
      </w:r>
    </w:p>
    <w:p w:rsidR="000754F3" w:rsidRDefault="000754F3" w:rsidP="00904E78">
      <w:pPr>
        <w:jc w:val="both"/>
        <w:rPr>
          <w:rFonts w:ascii="Verdana" w:hAnsi="Verdana" w:cs="Arial"/>
        </w:rPr>
      </w:pPr>
      <w:r w:rsidRPr="000754F3">
        <w:rPr>
          <w:rFonts w:ascii="Verdana" w:hAnsi="Verdana" w:cs="Arial"/>
        </w:rPr>
        <w:t xml:space="preserve">The regulation proposes to reverse the initial proposal regarding public libraries, parks development and recreational facilities.  They would remain as eligible services under the </w:t>
      </w:r>
      <w:r w:rsidRPr="000754F3">
        <w:rPr>
          <w:rFonts w:ascii="Verdana" w:hAnsi="Verdana" w:cs="Arial"/>
          <w:i/>
        </w:rPr>
        <w:t>DC Act</w:t>
      </w:r>
      <w:r w:rsidRPr="000754F3">
        <w:rPr>
          <w:rFonts w:ascii="Verdana" w:hAnsi="Verdana" w:cs="Arial"/>
        </w:rPr>
        <w:t xml:space="preserve">, and would now be funded at 100% instead of the current 90%.  </w:t>
      </w:r>
      <w:r w:rsidR="00904E78">
        <w:rPr>
          <w:rFonts w:ascii="Verdana" w:hAnsi="Verdana" w:cs="Arial"/>
        </w:rPr>
        <w:t>In addition, g</w:t>
      </w:r>
      <w:r w:rsidR="00904E78" w:rsidRPr="000754F3">
        <w:rPr>
          <w:rFonts w:ascii="Verdana" w:hAnsi="Verdana" w:cs="Arial"/>
        </w:rPr>
        <w:t xml:space="preserve">eneral </w:t>
      </w:r>
      <w:r w:rsidR="00904E78">
        <w:rPr>
          <w:rFonts w:ascii="Verdana" w:hAnsi="Verdana" w:cs="Arial"/>
        </w:rPr>
        <w:t>s</w:t>
      </w:r>
      <w:r w:rsidR="00904E78" w:rsidRPr="000754F3">
        <w:rPr>
          <w:rFonts w:ascii="Verdana" w:hAnsi="Verdana" w:cs="Arial"/>
        </w:rPr>
        <w:t xml:space="preserve">ervices </w:t>
      </w:r>
      <w:r w:rsidR="00904E78">
        <w:rPr>
          <w:rFonts w:ascii="Verdana" w:hAnsi="Verdana" w:cs="Arial"/>
        </w:rPr>
        <w:t xml:space="preserve">are proposed to </w:t>
      </w:r>
      <w:r w:rsidR="00904E78" w:rsidRPr="000754F3">
        <w:rPr>
          <w:rFonts w:ascii="Verdana" w:hAnsi="Verdana" w:cs="Arial"/>
        </w:rPr>
        <w:t xml:space="preserve">no longer be an eligible service under the </w:t>
      </w:r>
      <w:r w:rsidR="00904E78" w:rsidRPr="000754F3">
        <w:rPr>
          <w:rFonts w:ascii="Verdana" w:hAnsi="Verdana" w:cs="Arial"/>
          <w:i/>
        </w:rPr>
        <w:t>DC Act</w:t>
      </w:r>
      <w:r w:rsidR="00904E78" w:rsidRPr="000754F3">
        <w:rPr>
          <w:rFonts w:ascii="Verdana" w:hAnsi="Verdana" w:cs="Arial"/>
        </w:rPr>
        <w:t>.</w:t>
      </w:r>
    </w:p>
    <w:p w:rsidR="00904E78" w:rsidRDefault="00904E78" w:rsidP="000754F3">
      <w:pPr>
        <w:jc w:val="both"/>
        <w:rPr>
          <w:rFonts w:ascii="Verdana" w:hAnsi="Verdana" w:cs="Arial"/>
        </w:rPr>
      </w:pPr>
    </w:p>
    <w:p w:rsidR="000754F3" w:rsidRDefault="00904E78" w:rsidP="000754F3">
      <w:pPr>
        <w:jc w:val="both"/>
        <w:rPr>
          <w:rFonts w:ascii="Verdana" w:hAnsi="Verdana" w:cs="Arial"/>
        </w:rPr>
      </w:pPr>
      <w:r w:rsidRPr="00904E78">
        <w:rPr>
          <w:rFonts w:ascii="Verdana" w:hAnsi="Verdana" w:cs="Arial"/>
          <w:u w:val="single"/>
        </w:rPr>
        <w:lastRenderedPageBreak/>
        <w:t>Township comments</w:t>
      </w:r>
      <w:r>
        <w:rPr>
          <w:rFonts w:ascii="Verdana" w:hAnsi="Verdana" w:cs="Arial"/>
        </w:rPr>
        <w:t xml:space="preserve">:  The Township supports public libraries, parks development and recreational facilities remaining as eligible services under the </w:t>
      </w:r>
      <w:r w:rsidRPr="00904E78">
        <w:rPr>
          <w:rFonts w:ascii="Verdana" w:hAnsi="Verdana" w:cs="Arial"/>
          <w:i/>
        </w:rPr>
        <w:t>DC Act</w:t>
      </w:r>
      <w:r>
        <w:rPr>
          <w:rFonts w:ascii="Verdana" w:hAnsi="Verdana" w:cs="Arial"/>
        </w:rPr>
        <w:t>, and funded at 100%.  T</w:t>
      </w:r>
      <w:r w:rsidR="000754F3" w:rsidRPr="000754F3">
        <w:rPr>
          <w:rFonts w:ascii="Verdana" w:hAnsi="Verdana" w:cs="Arial"/>
        </w:rPr>
        <w:t xml:space="preserve">he growth-related costs for these services </w:t>
      </w:r>
      <w:r w:rsidR="00F1409D">
        <w:rPr>
          <w:rFonts w:ascii="Verdana" w:hAnsi="Verdana" w:cs="Arial"/>
        </w:rPr>
        <w:t>sh</w:t>
      </w:r>
      <w:bookmarkStart w:id="0" w:name="_GoBack"/>
      <w:bookmarkEnd w:id="0"/>
      <w:r>
        <w:rPr>
          <w:rFonts w:ascii="Verdana" w:hAnsi="Verdana" w:cs="Arial"/>
        </w:rPr>
        <w:t xml:space="preserve">ould continue to </w:t>
      </w:r>
      <w:r w:rsidR="000754F3" w:rsidRPr="000754F3">
        <w:rPr>
          <w:rFonts w:ascii="Verdana" w:hAnsi="Verdana" w:cs="Arial"/>
        </w:rPr>
        <w:t>be funded from DCs, which are based on the cost to provide those services, rather than a land value which is not tied to the cost to provide the service.</w:t>
      </w:r>
    </w:p>
    <w:p w:rsidR="00904E78" w:rsidRPr="000754F3" w:rsidRDefault="00904E78" w:rsidP="000754F3">
      <w:pPr>
        <w:jc w:val="both"/>
        <w:rPr>
          <w:rFonts w:ascii="Verdana" w:hAnsi="Verdana" w:cs="Arial"/>
        </w:rPr>
      </w:pPr>
    </w:p>
    <w:p w:rsidR="00904E78" w:rsidRDefault="00904E78" w:rsidP="000754F3">
      <w:pPr>
        <w:jc w:val="both"/>
        <w:rPr>
          <w:rFonts w:ascii="Verdana" w:hAnsi="Verdana" w:cs="Arial"/>
          <w:u w:val="single"/>
        </w:rPr>
      </w:pPr>
      <w:r>
        <w:rPr>
          <w:rFonts w:ascii="Verdana" w:hAnsi="Verdana" w:cs="Arial"/>
        </w:rPr>
        <w:t xml:space="preserve">Regarding general services, the costs </w:t>
      </w:r>
      <w:r w:rsidR="000754F3" w:rsidRPr="000754F3">
        <w:rPr>
          <w:rFonts w:ascii="Verdana" w:hAnsi="Verdana" w:cs="Arial"/>
        </w:rPr>
        <w:t>of DC Charges background studies and growth-related planning studies such as Official Plan Updates and Zoning By-law Updates</w:t>
      </w:r>
      <w:r>
        <w:rPr>
          <w:rFonts w:ascii="Verdana" w:hAnsi="Verdana" w:cs="Arial"/>
        </w:rPr>
        <w:t xml:space="preserve"> would no longer be able to be funded from DCs</w:t>
      </w:r>
      <w:r w:rsidR="000754F3" w:rsidRPr="000754F3">
        <w:rPr>
          <w:rFonts w:ascii="Verdana" w:hAnsi="Verdana" w:cs="Arial"/>
        </w:rPr>
        <w:t>.  The Township would be required to fund the entire cost from taxation rather than the current 10%.</w:t>
      </w:r>
      <w:r>
        <w:rPr>
          <w:rFonts w:ascii="Verdana" w:hAnsi="Verdana" w:cs="Arial"/>
        </w:rPr>
        <w:t xml:space="preserve">  The Township recommends reconsideration of this so that these growth-related costs can continue to be funded from </w:t>
      </w:r>
      <w:r w:rsidR="00096AEA">
        <w:rPr>
          <w:rFonts w:ascii="Verdana" w:hAnsi="Verdana" w:cs="Arial"/>
        </w:rPr>
        <w:t>DCs.</w:t>
      </w:r>
    </w:p>
    <w:p w:rsidR="00904E78" w:rsidRDefault="00904E78" w:rsidP="000754F3">
      <w:pPr>
        <w:jc w:val="both"/>
        <w:rPr>
          <w:rFonts w:ascii="Verdana" w:hAnsi="Verdana" w:cs="Arial"/>
          <w:u w:val="single"/>
        </w:rPr>
      </w:pPr>
    </w:p>
    <w:p w:rsidR="005171B4" w:rsidRDefault="005171B4" w:rsidP="000754F3">
      <w:pPr>
        <w:jc w:val="both"/>
        <w:rPr>
          <w:rFonts w:ascii="Verdana" w:hAnsi="Verdana" w:cs="Arial"/>
          <w:u w:val="single"/>
        </w:rPr>
      </w:pPr>
    </w:p>
    <w:p w:rsidR="000754F3" w:rsidRPr="000754F3" w:rsidRDefault="000754F3" w:rsidP="000754F3">
      <w:pPr>
        <w:jc w:val="both"/>
        <w:rPr>
          <w:rFonts w:ascii="Verdana" w:hAnsi="Verdana" w:cs="Arial"/>
          <w:u w:val="single"/>
        </w:rPr>
      </w:pPr>
      <w:r w:rsidRPr="000754F3">
        <w:rPr>
          <w:rFonts w:ascii="Verdana" w:hAnsi="Verdana" w:cs="Arial"/>
          <w:u w:val="single"/>
        </w:rPr>
        <w:t>Excluded services for which CBCs may not be charged</w:t>
      </w:r>
    </w:p>
    <w:p w:rsidR="00935463" w:rsidRDefault="000754F3" w:rsidP="000754F3">
      <w:pPr>
        <w:jc w:val="both"/>
        <w:rPr>
          <w:rFonts w:ascii="Verdana" w:hAnsi="Verdana" w:cs="Arial"/>
        </w:rPr>
      </w:pPr>
      <w:r w:rsidRPr="000754F3">
        <w:rPr>
          <w:rFonts w:ascii="Verdana" w:hAnsi="Verdana" w:cs="Arial"/>
        </w:rPr>
        <w:t xml:space="preserve">The proposed regulation does not change the list of services excluded from the June 2019 regulation.  They include cultural or entertainment facilities, tourism facilities, hospitals, landfill sites and services, facilities for the thermal treatment of waste and headquarters for the general administration of municipalities and local boards. </w:t>
      </w:r>
    </w:p>
    <w:p w:rsidR="00935463" w:rsidRDefault="00935463" w:rsidP="000754F3">
      <w:pPr>
        <w:jc w:val="both"/>
        <w:rPr>
          <w:rFonts w:ascii="Verdana" w:hAnsi="Verdana" w:cs="Arial"/>
        </w:rPr>
      </w:pPr>
    </w:p>
    <w:p w:rsidR="000754F3" w:rsidRPr="000754F3" w:rsidRDefault="00935463" w:rsidP="000754F3">
      <w:pPr>
        <w:jc w:val="both"/>
        <w:rPr>
          <w:rFonts w:ascii="Verdana" w:hAnsi="Verdana" w:cs="Arial"/>
          <w:u w:val="single"/>
        </w:rPr>
      </w:pPr>
      <w:r w:rsidRPr="00904E78">
        <w:rPr>
          <w:rFonts w:ascii="Verdana" w:hAnsi="Verdana" w:cs="Arial"/>
          <w:u w:val="single"/>
        </w:rPr>
        <w:t>Township comments</w:t>
      </w:r>
      <w:r>
        <w:rPr>
          <w:rFonts w:ascii="Verdana" w:hAnsi="Verdana" w:cs="Arial"/>
        </w:rPr>
        <w:t xml:space="preserve">:  </w:t>
      </w:r>
      <w:r w:rsidR="000754F3" w:rsidRPr="000754F3">
        <w:rPr>
          <w:rFonts w:ascii="Verdana" w:hAnsi="Verdana" w:cs="Arial"/>
        </w:rPr>
        <w:t>Given that these services were not previously eligible for DC funding, there would be no change for the municipality</w:t>
      </w:r>
      <w:r w:rsidR="000754F3" w:rsidRPr="000754F3">
        <w:rPr>
          <w:rFonts w:ascii="Verdana" w:hAnsi="Verdana" w:cs="Arial"/>
          <w:u w:val="single"/>
        </w:rPr>
        <w:t>.</w:t>
      </w:r>
    </w:p>
    <w:p w:rsidR="00935463" w:rsidRDefault="00935463" w:rsidP="000754F3">
      <w:pPr>
        <w:jc w:val="both"/>
        <w:rPr>
          <w:rFonts w:ascii="Verdana" w:hAnsi="Verdana" w:cs="Arial"/>
          <w:u w:val="single"/>
        </w:rPr>
      </w:pPr>
    </w:p>
    <w:p w:rsidR="005171B4" w:rsidRDefault="005171B4" w:rsidP="000754F3">
      <w:pPr>
        <w:jc w:val="both"/>
        <w:rPr>
          <w:rFonts w:ascii="Verdana" w:hAnsi="Verdana" w:cs="Arial"/>
          <w:u w:val="single"/>
        </w:rPr>
      </w:pPr>
    </w:p>
    <w:p w:rsidR="000754F3" w:rsidRPr="000754F3" w:rsidRDefault="000754F3" w:rsidP="000754F3">
      <w:pPr>
        <w:jc w:val="both"/>
        <w:rPr>
          <w:rFonts w:ascii="Verdana" w:hAnsi="Verdana" w:cs="Arial"/>
          <w:u w:val="single"/>
        </w:rPr>
      </w:pPr>
      <w:r w:rsidRPr="000754F3">
        <w:rPr>
          <w:rFonts w:ascii="Verdana" w:hAnsi="Verdana" w:cs="Arial"/>
          <w:u w:val="single"/>
        </w:rPr>
        <w:t>Timeline to transition to the new CBC regime</w:t>
      </w:r>
    </w:p>
    <w:p w:rsidR="000754F3" w:rsidRPr="000754F3" w:rsidRDefault="000754F3" w:rsidP="000754F3">
      <w:pPr>
        <w:jc w:val="both"/>
        <w:rPr>
          <w:rFonts w:ascii="Verdana" w:hAnsi="Verdana" w:cs="Arial"/>
        </w:rPr>
      </w:pPr>
      <w:r w:rsidRPr="000754F3">
        <w:rPr>
          <w:rFonts w:ascii="Verdana" w:hAnsi="Verdana" w:cs="Arial"/>
        </w:rPr>
        <w:t>The regulation proposes to amend the timeline from January 1, 2021 to 12 months after the regulation comes into effect.  This will provide municipalities more time to determine if, and how, they wish to implement a CBC Strategy.</w:t>
      </w:r>
    </w:p>
    <w:p w:rsidR="00935463" w:rsidRDefault="00935463" w:rsidP="000754F3">
      <w:pPr>
        <w:jc w:val="both"/>
        <w:rPr>
          <w:rFonts w:ascii="Verdana" w:hAnsi="Verdana" w:cs="Arial"/>
          <w:u w:val="single"/>
        </w:rPr>
      </w:pPr>
    </w:p>
    <w:p w:rsidR="00935463" w:rsidRPr="000754F3" w:rsidRDefault="00935463" w:rsidP="00935463">
      <w:pPr>
        <w:jc w:val="both"/>
        <w:rPr>
          <w:rFonts w:ascii="Verdana" w:hAnsi="Verdana" w:cs="Arial"/>
        </w:rPr>
      </w:pPr>
      <w:r w:rsidRPr="00904E78">
        <w:rPr>
          <w:rFonts w:ascii="Verdana" w:hAnsi="Verdana" w:cs="Arial"/>
          <w:u w:val="single"/>
        </w:rPr>
        <w:t>Township comments</w:t>
      </w:r>
      <w:r>
        <w:rPr>
          <w:rFonts w:ascii="Verdana" w:hAnsi="Verdana" w:cs="Arial"/>
        </w:rPr>
        <w:t>:</w:t>
      </w:r>
      <w:r w:rsidRPr="000754F3">
        <w:rPr>
          <w:rFonts w:ascii="Verdana" w:hAnsi="Verdana" w:cs="Arial"/>
        </w:rPr>
        <w:t xml:space="preserve"> </w:t>
      </w:r>
      <w:r>
        <w:rPr>
          <w:rFonts w:ascii="Verdana" w:hAnsi="Verdana" w:cs="Arial"/>
        </w:rPr>
        <w:t>The Township of Springwater supports the amended timeline of at least 12 months after the regulation comes into effect in order to have sufficient time to determine if, and how, a CBC Strategy will be implemented.</w:t>
      </w:r>
    </w:p>
    <w:p w:rsidR="00935463" w:rsidRDefault="00935463" w:rsidP="00935463">
      <w:pPr>
        <w:jc w:val="both"/>
        <w:rPr>
          <w:rFonts w:ascii="Verdana" w:hAnsi="Verdana" w:cs="Arial"/>
          <w:u w:val="single"/>
        </w:rPr>
      </w:pPr>
    </w:p>
    <w:p w:rsidR="005171B4" w:rsidRDefault="005171B4" w:rsidP="000754F3">
      <w:pPr>
        <w:jc w:val="both"/>
        <w:rPr>
          <w:rFonts w:ascii="Verdana" w:hAnsi="Verdana" w:cs="Arial"/>
          <w:u w:val="single"/>
        </w:rPr>
      </w:pPr>
    </w:p>
    <w:p w:rsidR="000754F3" w:rsidRPr="000754F3" w:rsidRDefault="000754F3" w:rsidP="000754F3">
      <w:pPr>
        <w:jc w:val="both"/>
        <w:rPr>
          <w:rFonts w:ascii="Verdana" w:hAnsi="Verdana" w:cs="Arial"/>
          <w:u w:val="single"/>
        </w:rPr>
      </w:pPr>
      <w:r w:rsidRPr="000754F3">
        <w:rPr>
          <w:rFonts w:ascii="Verdana" w:hAnsi="Verdana" w:cs="Arial"/>
          <w:u w:val="single"/>
        </w:rPr>
        <w:t>CBC by-law notice and minimum interest rate for refunds</w:t>
      </w:r>
    </w:p>
    <w:p w:rsidR="000754F3" w:rsidRPr="000754F3" w:rsidRDefault="000754F3" w:rsidP="000754F3">
      <w:pPr>
        <w:jc w:val="both"/>
        <w:rPr>
          <w:rFonts w:ascii="Verdana" w:hAnsi="Verdana" w:cs="Arial"/>
        </w:rPr>
      </w:pPr>
      <w:r w:rsidRPr="000754F3">
        <w:rPr>
          <w:rFonts w:ascii="Verdana" w:hAnsi="Verdana" w:cs="Arial"/>
        </w:rPr>
        <w:t>The proposed regulations for by-law notice and minimum interest rate on successfully appealed by-laws are similar to those already in place for DC by-laws.</w:t>
      </w:r>
    </w:p>
    <w:p w:rsidR="005171B4" w:rsidRDefault="005171B4" w:rsidP="005171B4">
      <w:pPr>
        <w:jc w:val="both"/>
        <w:rPr>
          <w:rFonts w:ascii="Verdana" w:hAnsi="Verdana" w:cs="Arial"/>
          <w:u w:val="single"/>
        </w:rPr>
      </w:pPr>
    </w:p>
    <w:p w:rsidR="005171B4" w:rsidRPr="000754F3" w:rsidRDefault="005171B4" w:rsidP="005171B4">
      <w:pPr>
        <w:jc w:val="both"/>
        <w:rPr>
          <w:rFonts w:ascii="Verdana" w:hAnsi="Verdana" w:cs="Arial"/>
        </w:rPr>
      </w:pPr>
      <w:r w:rsidRPr="00904E78">
        <w:rPr>
          <w:rFonts w:ascii="Verdana" w:hAnsi="Verdana" w:cs="Arial"/>
          <w:u w:val="single"/>
        </w:rPr>
        <w:lastRenderedPageBreak/>
        <w:t>Township comments</w:t>
      </w:r>
      <w:r>
        <w:rPr>
          <w:rFonts w:ascii="Verdana" w:hAnsi="Verdana" w:cs="Arial"/>
        </w:rPr>
        <w:t>:</w:t>
      </w:r>
      <w:r w:rsidRPr="000754F3">
        <w:rPr>
          <w:rFonts w:ascii="Verdana" w:hAnsi="Verdana" w:cs="Arial"/>
        </w:rPr>
        <w:t xml:space="preserve"> </w:t>
      </w:r>
      <w:r>
        <w:rPr>
          <w:rFonts w:ascii="Verdana" w:hAnsi="Verdana" w:cs="Arial"/>
        </w:rPr>
        <w:t>The Township of Springwater supports these aspects of the proposal.</w:t>
      </w:r>
    </w:p>
    <w:p w:rsidR="005171B4" w:rsidRDefault="005171B4" w:rsidP="005171B4">
      <w:pPr>
        <w:jc w:val="both"/>
        <w:rPr>
          <w:rFonts w:ascii="Verdana" w:hAnsi="Verdana" w:cs="Arial"/>
          <w:u w:val="single"/>
        </w:rPr>
      </w:pPr>
    </w:p>
    <w:p w:rsidR="000754F3" w:rsidRPr="000754F3" w:rsidRDefault="000754F3" w:rsidP="000754F3">
      <w:pPr>
        <w:jc w:val="both"/>
        <w:rPr>
          <w:rFonts w:ascii="Verdana" w:hAnsi="Verdana" w:cs="Arial"/>
          <w:u w:val="single"/>
        </w:rPr>
      </w:pPr>
    </w:p>
    <w:p w:rsidR="000754F3" w:rsidRPr="000754F3" w:rsidRDefault="000754F3" w:rsidP="000754F3">
      <w:pPr>
        <w:jc w:val="both"/>
        <w:rPr>
          <w:rFonts w:ascii="Verdana" w:hAnsi="Verdana" w:cs="Arial"/>
          <w:u w:val="single"/>
        </w:rPr>
      </w:pPr>
      <w:r w:rsidRPr="000754F3">
        <w:rPr>
          <w:rFonts w:ascii="Verdana" w:hAnsi="Verdana" w:cs="Arial"/>
          <w:u w:val="single"/>
        </w:rPr>
        <w:t>Types of development excluded from the CBC</w:t>
      </w:r>
    </w:p>
    <w:p w:rsidR="000754F3" w:rsidRPr="000754F3" w:rsidRDefault="000754F3" w:rsidP="000754F3">
      <w:pPr>
        <w:jc w:val="both"/>
        <w:rPr>
          <w:rFonts w:ascii="Verdana" w:hAnsi="Verdana" w:cs="Arial"/>
        </w:rPr>
      </w:pPr>
      <w:r w:rsidRPr="000754F3">
        <w:rPr>
          <w:rFonts w:ascii="Verdana" w:hAnsi="Verdana" w:cs="Arial"/>
        </w:rPr>
        <w:t>The proposed regulation does not make any change to the types of development excluded from the payment of the CBC.  This list includes long-term care homes, retirement homes, universities and colleges, certain developments of the Royal Canadian Legion, hospices and non-profit housing.</w:t>
      </w:r>
    </w:p>
    <w:p w:rsidR="005171B4" w:rsidRDefault="005171B4" w:rsidP="000754F3">
      <w:pPr>
        <w:jc w:val="both"/>
        <w:rPr>
          <w:rFonts w:ascii="Verdana" w:hAnsi="Verdana" w:cs="Arial"/>
          <w:i/>
          <w:u w:val="single"/>
        </w:rPr>
      </w:pPr>
    </w:p>
    <w:p w:rsidR="005171B4" w:rsidRPr="000754F3" w:rsidRDefault="005171B4" w:rsidP="005171B4">
      <w:pPr>
        <w:jc w:val="both"/>
        <w:rPr>
          <w:rFonts w:ascii="Verdana" w:hAnsi="Verdana" w:cs="Arial"/>
        </w:rPr>
      </w:pPr>
      <w:r w:rsidRPr="00904E78">
        <w:rPr>
          <w:rFonts w:ascii="Verdana" w:hAnsi="Verdana" w:cs="Arial"/>
          <w:u w:val="single"/>
        </w:rPr>
        <w:t>Township comments</w:t>
      </w:r>
      <w:r>
        <w:rPr>
          <w:rFonts w:ascii="Verdana" w:hAnsi="Verdana" w:cs="Arial"/>
        </w:rPr>
        <w:t>:</w:t>
      </w:r>
      <w:r w:rsidRPr="000754F3">
        <w:rPr>
          <w:rFonts w:ascii="Verdana" w:hAnsi="Verdana" w:cs="Arial"/>
        </w:rPr>
        <w:t xml:space="preserve"> </w:t>
      </w:r>
      <w:r>
        <w:rPr>
          <w:rFonts w:ascii="Verdana" w:hAnsi="Verdana" w:cs="Arial"/>
        </w:rPr>
        <w:t>The Township of Springwater supports this aspect of the proposal.</w:t>
      </w:r>
    </w:p>
    <w:p w:rsidR="005171B4" w:rsidRDefault="005171B4" w:rsidP="000754F3">
      <w:pPr>
        <w:jc w:val="both"/>
        <w:rPr>
          <w:rFonts w:ascii="Verdana" w:hAnsi="Verdana" w:cs="Arial"/>
          <w:i/>
          <w:u w:val="single"/>
        </w:rPr>
      </w:pPr>
    </w:p>
    <w:p w:rsidR="005171B4" w:rsidRDefault="005171B4" w:rsidP="000754F3">
      <w:pPr>
        <w:jc w:val="both"/>
        <w:rPr>
          <w:rFonts w:ascii="Verdana" w:hAnsi="Verdana" w:cs="Arial"/>
          <w:i/>
          <w:u w:val="single"/>
        </w:rPr>
      </w:pPr>
    </w:p>
    <w:p w:rsidR="000754F3" w:rsidRPr="000754F3" w:rsidRDefault="000754F3" w:rsidP="000754F3">
      <w:pPr>
        <w:jc w:val="both"/>
        <w:rPr>
          <w:rFonts w:ascii="Verdana" w:hAnsi="Verdana" w:cs="Arial"/>
          <w:u w:val="single"/>
        </w:rPr>
      </w:pPr>
      <w:r w:rsidRPr="000754F3">
        <w:rPr>
          <w:rFonts w:ascii="Verdana" w:hAnsi="Verdana" w:cs="Arial"/>
          <w:i/>
          <w:u w:val="single"/>
        </w:rPr>
        <w:t>Building Code</w:t>
      </w:r>
      <w:r w:rsidRPr="000754F3">
        <w:rPr>
          <w:rFonts w:ascii="Verdana" w:hAnsi="Verdana" w:cs="Arial"/>
          <w:u w:val="single"/>
        </w:rPr>
        <w:t xml:space="preserve"> applicable law</w:t>
      </w:r>
    </w:p>
    <w:p w:rsidR="000754F3" w:rsidRPr="000754F3" w:rsidRDefault="000754F3" w:rsidP="000754F3">
      <w:pPr>
        <w:jc w:val="both"/>
        <w:rPr>
          <w:rFonts w:ascii="Verdana" w:hAnsi="Verdana" w:cs="Arial"/>
        </w:rPr>
      </w:pPr>
      <w:r w:rsidRPr="000754F3">
        <w:rPr>
          <w:rFonts w:ascii="Verdana" w:hAnsi="Verdana" w:cs="Arial"/>
        </w:rPr>
        <w:t xml:space="preserve">The regulation proposes to change the </w:t>
      </w:r>
      <w:r w:rsidRPr="000754F3">
        <w:rPr>
          <w:rFonts w:ascii="Verdana" w:hAnsi="Verdana" w:cs="Arial"/>
          <w:i/>
        </w:rPr>
        <w:t>Building Code</w:t>
      </w:r>
      <w:r w:rsidRPr="000754F3">
        <w:rPr>
          <w:rFonts w:ascii="Verdana" w:hAnsi="Verdana" w:cs="Arial"/>
        </w:rPr>
        <w:t xml:space="preserve"> </w:t>
      </w:r>
      <w:r w:rsidRPr="000754F3">
        <w:rPr>
          <w:rFonts w:ascii="Verdana" w:hAnsi="Verdana" w:cs="Arial"/>
          <w:i/>
        </w:rPr>
        <w:t>Act</w:t>
      </w:r>
      <w:r w:rsidRPr="000754F3">
        <w:rPr>
          <w:rFonts w:ascii="Verdana" w:hAnsi="Verdana" w:cs="Arial"/>
        </w:rPr>
        <w:t xml:space="preserve"> to require payment of the CBC prior to building permit issuance.</w:t>
      </w:r>
    </w:p>
    <w:p w:rsidR="005171B4" w:rsidRDefault="005171B4" w:rsidP="005171B4">
      <w:pPr>
        <w:jc w:val="both"/>
        <w:rPr>
          <w:rFonts w:ascii="Verdana" w:hAnsi="Verdana" w:cs="Arial"/>
          <w:u w:val="single"/>
        </w:rPr>
      </w:pPr>
    </w:p>
    <w:p w:rsidR="005171B4" w:rsidRPr="000754F3" w:rsidRDefault="005171B4" w:rsidP="005171B4">
      <w:pPr>
        <w:jc w:val="both"/>
        <w:rPr>
          <w:rFonts w:ascii="Verdana" w:hAnsi="Verdana" w:cs="Arial"/>
        </w:rPr>
      </w:pPr>
      <w:r w:rsidRPr="00904E78">
        <w:rPr>
          <w:rFonts w:ascii="Verdana" w:hAnsi="Verdana" w:cs="Arial"/>
          <w:u w:val="single"/>
        </w:rPr>
        <w:t>Township comments</w:t>
      </w:r>
      <w:r>
        <w:rPr>
          <w:rFonts w:ascii="Verdana" w:hAnsi="Verdana" w:cs="Arial"/>
        </w:rPr>
        <w:t>:</w:t>
      </w:r>
      <w:r w:rsidRPr="000754F3">
        <w:rPr>
          <w:rFonts w:ascii="Verdana" w:hAnsi="Verdana" w:cs="Arial"/>
        </w:rPr>
        <w:t xml:space="preserve"> </w:t>
      </w:r>
      <w:r>
        <w:rPr>
          <w:rFonts w:ascii="Verdana" w:hAnsi="Verdana" w:cs="Arial"/>
        </w:rPr>
        <w:t>The Township of Springwater supports this aspect of the proposal.</w:t>
      </w:r>
    </w:p>
    <w:p w:rsidR="005171B4" w:rsidRDefault="005171B4" w:rsidP="000754F3">
      <w:pPr>
        <w:pStyle w:val="Heading2"/>
      </w:pPr>
    </w:p>
    <w:p w:rsidR="0099053E" w:rsidRDefault="0099053E" w:rsidP="0015198E">
      <w:pPr>
        <w:rPr>
          <w:rFonts w:ascii="Verdana" w:hAnsi="Verdana"/>
        </w:rPr>
      </w:pPr>
    </w:p>
    <w:p w:rsidR="0074463B" w:rsidRDefault="0074463B" w:rsidP="0015198E">
      <w:pPr>
        <w:rPr>
          <w:rFonts w:ascii="Verdana" w:hAnsi="Verdana"/>
        </w:rPr>
      </w:pPr>
      <w:r>
        <w:rPr>
          <w:rFonts w:ascii="Verdana" w:hAnsi="Verdana"/>
        </w:rPr>
        <w:t>Sincerely,</w:t>
      </w:r>
    </w:p>
    <w:p w:rsidR="0074463B" w:rsidRDefault="0074463B" w:rsidP="0015198E">
      <w:pPr>
        <w:rPr>
          <w:rFonts w:ascii="Verdana" w:hAnsi="Verdana"/>
        </w:rPr>
      </w:pPr>
    </w:p>
    <w:p w:rsidR="0074463B" w:rsidRDefault="0074463B" w:rsidP="0015198E">
      <w:pPr>
        <w:rPr>
          <w:rFonts w:ascii="Verdana" w:hAnsi="Verdana"/>
        </w:rPr>
      </w:pPr>
      <w:r>
        <w:rPr>
          <w:rFonts w:ascii="Verdana" w:hAnsi="Verdana"/>
        </w:rPr>
        <w:t>Jane Corbeil, CPA, CMA</w:t>
      </w:r>
    </w:p>
    <w:p w:rsidR="0074463B" w:rsidRDefault="0074463B" w:rsidP="0015198E">
      <w:pPr>
        <w:rPr>
          <w:rFonts w:ascii="Verdana" w:hAnsi="Verdana"/>
        </w:rPr>
      </w:pPr>
      <w:r>
        <w:rPr>
          <w:rFonts w:ascii="Verdana" w:hAnsi="Verdana"/>
        </w:rPr>
        <w:t>Director of Finance/Treasurer</w:t>
      </w:r>
    </w:p>
    <w:p w:rsidR="0074463B" w:rsidRDefault="00F1409D" w:rsidP="0015198E">
      <w:pPr>
        <w:rPr>
          <w:rFonts w:ascii="Verdana" w:hAnsi="Verdana"/>
        </w:rPr>
      </w:pPr>
      <w:hyperlink r:id="rId8" w:history="1">
        <w:r w:rsidR="0074463B" w:rsidRPr="00A826C6">
          <w:rPr>
            <w:rStyle w:val="Hyperlink"/>
            <w:rFonts w:ascii="Verdana" w:hAnsi="Verdana"/>
          </w:rPr>
          <w:t>Jane.corbeil@springwater.ca</w:t>
        </w:r>
      </w:hyperlink>
    </w:p>
    <w:p w:rsidR="0074463B" w:rsidRDefault="0074463B" w:rsidP="0015198E">
      <w:pPr>
        <w:rPr>
          <w:rFonts w:ascii="Verdana" w:hAnsi="Verdana"/>
        </w:rPr>
      </w:pPr>
      <w:r>
        <w:rPr>
          <w:rFonts w:ascii="Verdana" w:hAnsi="Verdana"/>
        </w:rPr>
        <w:br/>
      </w:r>
      <w:r>
        <w:rPr>
          <w:rFonts w:ascii="Verdana" w:hAnsi="Verdana"/>
        </w:rPr>
        <w:br/>
      </w:r>
    </w:p>
    <w:sectPr w:rsidR="0074463B" w:rsidSect="009D02BE">
      <w:headerReference w:type="default" r:id="rId9"/>
      <w:footerReference w:type="default" r:id="rId10"/>
      <w:footerReference w:type="first" r:id="rId11"/>
      <w:type w:val="continuous"/>
      <w:pgSz w:w="12240" w:h="15840"/>
      <w:pgMar w:top="1613" w:right="1440" w:bottom="1440" w:left="1440" w:header="720" w:footer="28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A6F" w:rsidRDefault="00683A6F" w:rsidP="00DB735D">
      <w:r>
        <w:separator/>
      </w:r>
    </w:p>
  </w:endnote>
  <w:endnote w:type="continuationSeparator" w:id="0">
    <w:p w:rsidR="00683A6F" w:rsidRDefault="00683A6F" w:rsidP="00DB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C51" w:rsidRDefault="00916685">
    <w:r>
      <w:rPr>
        <w:noProof/>
        <w:lang w:eastAsia="en-CA"/>
      </w:rPr>
      <mc:AlternateContent>
        <mc:Choice Requires="wps">
          <w:drawing>
            <wp:anchor distT="0" distB="0" distL="114300" distR="114300" simplePos="0" relativeHeight="251658752" behindDoc="0" locked="0" layoutInCell="1" allowOverlap="1">
              <wp:simplePos x="0" y="0"/>
              <wp:positionH relativeFrom="margin">
                <wp:posOffset>-76200</wp:posOffset>
              </wp:positionH>
              <wp:positionV relativeFrom="paragraph">
                <wp:posOffset>137795</wp:posOffset>
              </wp:positionV>
              <wp:extent cx="6096000" cy="0"/>
              <wp:effectExtent l="19050" t="13970" r="19050" b="14605"/>
              <wp:wrapNone/>
              <wp:docPr id="1" name="AutoShape 13" descr="Title:  Green Line&#10;Description:  Gree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0" cy="0"/>
                      </a:xfrm>
                      <a:prstGeom prst="straightConnector1">
                        <a:avLst/>
                      </a:prstGeom>
                      <a:noFill/>
                      <a:ln w="25400">
                        <a:solidFill>
                          <a:srgbClr val="4E9B4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96CA9F" id="_x0000_t32" coordsize="21600,21600" o:spt="32" o:oned="t" path="m,l21600,21600e" filled="f">
              <v:path arrowok="t" fillok="f" o:connecttype="none"/>
              <o:lock v:ext="edit" shapetype="t"/>
            </v:shapetype>
            <v:shape id="AutoShape 13" o:spid="_x0000_s1026" type="#_x0000_t32" alt="Title:  Green Line&#10;Description:  Green Line" style="position:absolute;margin-left:-6pt;margin-top:10.85pt;width:480pt;height:0;flip:x;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" strokecolor="#4e9b47" strokeweight="2pt">
              <w10:wrap anchorx="margin"/>
            </v:shape>
          </w:pict>
        </mc:Fallback>
      </mc:AlternateContent>
    </w:r>
  </w:p>
  <w:tbl>
    <w:tblPr>
      <w:tblW w:w="9605" w:type="dxa"/>
      <w:tblLook w:val="04A0" w:firstRow="1" w:lastRow="0" w:firstColumn="1" w:lastColumn="0" w:noHBand="0" w:noVBand="1"/>
    </w:tblPr>
    <w:tblGrid>
      <w:gridCol w:w="3485"/>
      <w:gridCol w:w="2640"/>
      <w:gridCol w:w="3480"/>
    </w:tblGrid>
    <w:tr w:rsidR="00BF3001" w:rsidRPr="00284084" w:rsidTr="00BF3001">
      <w:tc>
        <w:tcPr>
          <w:tcW w:w="3485" w:type="dxa"/>
        </w:tcPr>
        <w:p w:rsidR="00BF3001" w:rsidRDefault="00BF3001" w:rsidP="0015198E">
          <w:r>
            <w:t>Phone: 705-728-4784</w:t>
          </w:r>
        </w:p>
        <w:p w:rsidR="00FC69FC" w:rsidRPr="00284084" w:rsidRDefault="0015198E" w:rsidP="0015198E">
          <w:r>
            <w:t>Ext.</w:t>
          </w:r>
          <w:r w:rsidR="00916685">
            <w:t xml:space="preserve"> 2021</w:t>
          </w:r>
        </w:p>
      </w:tc>
      <w:tc>
        <w:tcPr>
          <w:tcW w:w="2640" w:type="dxa"/>
        </w:tcPr>
        <w:p w:rsidR="00466655" w:rsidRPr="00284084" w:rsidRDefault="00916685" w:rsidP="0015198E">
          <w:pPr>
            <w:pStyle w:val="Heading3"/>
          </w:pPr>
          <w:r>
            <w:t>Finance Department</w:t>
          </w:r>
        </w:p>
      </w:tc>
      <w:tc>
        <w:tcPr>
          <w:tcW w:w="3480" w:type="dxa"/>
        </w:tcPr>
        <w:p w:rsidR="00466655" w:rsidRDefault="00C765DA" w:rsidP="0015198E">
          <w:pPr>
            <w:jc w:val="right"/>
          </w:pPr>
          <w:r>
            <w:t>Fax: 705-728-2759</w:t>
          </w:r>
        </w:p>
        <w:p w:rsidR="00466655" w:rsidRPr="00284084" w:rsidRDefault="00466655" w:rsidP="00466655">
          <w:pPr>
            <w:pStyle w:val="Footer"/>
            <w:jc w:val="right"/>
          </w:pPr>
        </w:p>
      </w:tc>
    </w:tr>
  </w:tbl>
  <w:p w:rsidR="00466655" w:rsidRDefault="00466655" w:rsidP="0046665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655" w:rsidRDefault="0046665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2BE" w:rsidRDefault="009D02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A6F" w:rsidRDefault="00683A6F" w:rsidP="00DB735D">
      <w:r>
        <w:separator/>
      </w:r>
    </w:p>
  </w:footnote>
  <w:footnote w:type="continuationSeparator" w:id="0">
    <w:p w:rsidR="00683A6F" w:rsidRDefault="00683A6F" w:rsidP="00DB73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655" w:rsidRPr="00CF0A80" w:rsidRDefault="00357EEC" w:rsidP="0015198E">
    <w:pPr>
      <w:pStyle w:val="Heading3"/>
      <w:jc w:val="right"/>
    </w:pPr>
    <w:r>
      <w:rPr>
        <w:noProof/>
        <w:lang w:val="en-CA" w:eastAsia="en-CA"/>
      </w:rPr>
      <w:drawing>
        <wp:anchor distT="0" distB="0" distL="114300" distR="114300" simplePos="0" relativeHeight="251658240" behindDoc="0" locked="0" layoutInCell="1" allowOverlap="1">
          <wp:simplePos x="0" y="0"/>
          <wp:positionH relativeFrom="margin">
            <wp:posOffset>1905</wp:posOffset>
          </wp:positionH>
          <wp:positionV relativeFrom="margin">
            <wp:posOffset>-1153795</wp:posOffset>
          </wp:positionV>
          <wp:extent cx="2656205" cy="719455"/>
          <wp:effectExtent l="0" t="0" r="0" b="0"/>
          <wp:wrapSquare wrapText="bothSides"/>
          <wp:docPr id="8" name="Picture 1" descr="Springwater Logo" title="Spring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water_Logo CMYK Full Colour (High Res).jpg"/>
                  <pic:cNvPicPr>
                    <a:picLocks noChangeAspect="1" noChangeArrowheads="1"/>
                  </pic:cNvPicPr>
                </pic:nvPicPr>
                <pic:blipFill>
                  <a:blip r:embed="rId1"/>
                  <a:srcRect/>
                  <a:stretch>
                    <a:fillRect/>
                  </a:stretch>
                </pic:blipFill>
                <pic:spPr bwMode="auto">
                  <a:xfrm>
                    <a:off x="0" y="0"/>
                    <a:ext cx="2656205" cy="719455"/>
                  </a:xfrm>
                  <a:prstGeom prst="rect">
                    <a:avLst/>
                  </a:prstGeom>
                  <a:noFill/>
                  <a:ln w="9525">
                    <a:noFill/>
                    <a:miter lim="800000"/>
                    <a:headEnd/>
                    <a:tailEnd/>
                  </a:ln>
                </pic:spPr>
              </pic:pic>
            </a:graphicData>
          </a:graphic>
        </wp:anchor>
      </w:drawing>
    </w:r>
    <w:hyperlink r:id="rId2" w:history="1">
      <w:r w:rsidR="00466655" w:rsidRPr="00CF0A80">
        <w:rPr>
          <w:rStyle w:val="Hyperlink"/>
        </w:rPr>
        <w:t>www.springwater.ca</w:t>
      </w:r>
    </w:hyperlink>
  </w:p>
  <w:p w:rsidR="00466655" w:rsidRPr="00CF0A80" w:rsidRDefault="00466655" w:rsidP="0015198E">
    <w:pPr>
      <w:pStyle w:val="Heading3"/>
      <w:jc w:val="right"/>
      <w:rPr>
        <w:sz w:val="14"/>
      </w:rPr>
    </w:pPr>
  </w:p>
  <w:p w:rsidR="00466655" w:rsidRPr="005D68F4" w:rsidRDefault="00466655" w:rsidP="0015198E">
    <w:pPr>
      <w:pStyle w:val="Heading3"/>
      <w:jc w:val="right"/>
    </w:pPr>
    <w:r w:rsidRPr="005D68F4">
      <w:t>2231 Nursery Road</w:t>
    </w:r>
  </w:p>
  <w:p w:rsidR="00466655" w:rsidRPr="005D68F4" w:rsidRDefault="00466655" w:rsidP="0015198E">
    <w:pPr>
      <w:pStyle w:val="Heading3"/>
      <w:jc w:val="right"/>
    </w:pPr>
    <w:r w:rsidRPr="005D68F4">
      <w:t>Minesing, Ontario</w:t>
    </w:r>
  </w:p>
  <w:p w:rsidR="00466655" w:rsidRDefault="00600CF7" w:rsidP="0015198E">
    <w:pPr>
      <w:pStyle w:val="Heading3"/>
      <w:jc w:val="right"/>
    </w:pPr>
    <w:r>
      <w:t>L9X 1A</w:t>
    </w:r>
    <w:proofErr w:type="gramStart"/>
    <w:r>
      <w:t>8</w:t>
    </w:r>
    <w:r w:rsidR="00466655" w:rsidRPr="005D68F4">
      <w:t xml:space="preserve">  Canada</w:t>
    </w:r>
    <w:proofErr w:type="gramEnd"/>
  </w:p>
  <w:p w:rsidR="00466655" w:rsidRDefault="00466655" w:rsidP="00466655">
    <w:pPr>
      <w:pStyle w:val="Header"/>
      <w:jc w:val="right"/>
      <w:rPr>
        <w:b/>
      </w:rPr>
    </w:pPr>
  </w:p>
  <w:p w:rsidR="00466655" w:rsidRPr="005D68F4" w:rsidRDefault="00916685" w:rsidP="00466655">
    <w:pPr>
      <w:pStyle w:val="Header"/>
      <w:jc w:val="right"/>
      <w:rPr>
        <w:b/>
      </w:rPr>
    </w:pPr>
    <w:r>
      <w:rPr>
        <w:b/>
        <w:noProof/>
        <w:lang w:eastAsia="en-CA"/>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50165</wp:posOffset>
              </wp:positionV>
              <wp:extent cx="6096000" cy="0"/>
              <wp:effectExtent l="19050" t="21590" r="19050" b="16510"/>
              <wp:wrapNone/>
              <wp:docPr id="2" name="AutoShape 10" descr="Title:  Green Line&#10;Description:  Gree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0" cy="0"/>
                      </a:xfrm>
                      <a:prstGeom prst="straightConnector1">
                        <a:avLst/>
                      </a:prstGeom>
                      <a:noFill/>
                      <a:ln w="25400">
                        <a:solidFill>
                          <a:srgbClr val="4E9B4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60549F" id="_x0000_t32" coordsize="21600,21600" o:spt="32" o:oned="t" path="m,l21600,21600e" filled="f">
              <v:path arrowok="t" fillok="f" o:connecttype="none"/>
              <o:lock v:ext="edit" shapetype="t"/>
            </v:shapetype>
            <v:shape id="AutoShape 10" o:spid="_x0000_s1026" type="#_x0000_t32" alt="Title:  Green Line&#10;Description:  Green Line" style="position:absolute;margin-left:-6pt;margin-top:3.95pt;width:480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" strokecolor="#4e9b47" strokeweight="2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655" w:rsidRDefault="003866EF">
    <w:pPr>
      <w:pStyle w:val="Header"/>
      <w:jc w:val="center"/>
    </w:pPr>
    <w:r>
      <w:fldChar w:fldCharType="begin"/>
    </w:r>
    <w:r w:rsidR="00AF65A5">
      <w:instrText xml:space="preserve"> PAGE   \* MERGEFORMAT </w:instrText>
    </w:r>
    <w:r>
      <w:fldChar w:fldCharType="separate"/>
    </w:r>
    <w:r w:rsidR="00F1409D">
      <w:rPr>
        <w:noProof/>
      </w:rPr>
      <w:t>3</w:t>
    </w:r>
    <w:r>
      <w:rPr>
        <w:noProof/>
      </w:rPr>
      <w:fldChar w:fldCharType="end"/>
    </w:r>
  </w:p>
  <w:p w:rsidR="00466655" w:rsidRPr="004138CF" w:rsidRDefault="00466655" w:rsidP="004138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35"/>
    <w:rsid w:val="00011771"/>
    <w:rsid w:val="00063128"/>
    <w:rsid w:val="000754F3"/>
    <w:rsid w:val="00081E83"/>
    <w:rsid w:val="00096AEA"/>
    <w:rsid w:val="00096FCE"/>
    <w:rsid w:val="000D7385"/>
    <w:rsid w:val="00103D72"/>
    <w:rsid w:val="0015198E"/>
    <w:rsid w:val="001744A7"/>
    <w:rsid w:val="0019771A"/>
    <w:rsid w:val="001C668C"/>
    <w:rsid w:val="001F6DBA"/>
    <w:rsid w:val="002103E0"/>
    <w:rsid w:val="00354300"/>
    <w:rsid w:val="00357EEC"/>
    <w:rsid w:val="00361285"/>
    <w:rsid w:val="00383025"/>
    <w:rsid w:val="003866EF"/>
    <w:rsid w:val="00390E63"/>
    <w:rsid w:val="004138CF"/>
    <w:rsid w:val="00460140"/>
    <w:rsid w:val="00466655"/>
    <w:rsid w:val="004A6067"/>
    <w:rsid w:val="004D52CB"/>
    <w:rsid w:val="004F0FA8"/>
    <w:rsid w:val="00502E35"/>
    <w:rsid w:val="00504B90"/>
    <w:rsid w:val="005171B4"/>
    <w:rsid w:val="0053193E"/>
    <w:rsid w:val="00534005"/>
    <w:rsid w:val="00553D4D"/>
    <w:rsid w:val="00592C9E"/>
    <w:rsid w:val="005B01A6"/>
    <w:rsid w:val="005B3F33"/>
    <w:rsid w:val="005E5348"/>
    <w:rsid w:val="00600CF7"/>
    <w:rsid w:val="006528A8"/>
    <w:rsid w:val="00675D29"/>
    <w:rsid w:val="00683A6F"/>
    <w:rsid w:val="006B1C00"/>
    <w:rsid w:val="006E282C"/>
    <w:rsid w:val="00722BE0"/>
    <w:rsid w:val="00736361"/>
    <w:rsid w:val="0074463B"/>
    <w:rsid w:val="00790B15"/>
    <w:rsid w:val="007966B7"/>
    <w:rsid w:val="007E5E9B"/>
    <w:rsid w:val="007E67DE"/>
    <w:rsid w:val="008775BA"/>
    <w:rsid w:val="008E45CF"/>
    <w:rsid w:val="00904E78"/>
    <w:rsid w:val="00910C51"/>
    <w:rsid w:val="00915D8E"/>
    <w:rsid w:val="00916685"/>
    <w:rsid w:val="00935463"/>
    <w:rsid w:val="0099053E"/>
    <w:rsid w:val="009B39E0"/>
    <w:rsid w:val="009D02BE"/>
    <w:rsid w:val="00A04161"/>
    <w:rsid w:val="00A41622"/>
    <w:rsid w:val="00AF65A5"/>
    <w:rsid w:val="00B32EBD"/>
    <w:rsid w:val="00B36429"/>
    <w:rsid w:val="00B961C1"/>
    <w:rsid w:val="00BB4066"/>
    <w:rsid w:val="00BC51A9"/>
    <w:rsid w:val="00BF28C7"/>
    <w:rsid w:val="00BF3001"/>
    <w:rsid w:val="00C57697"/>
    <w:rsid w:val="00C6180B"/>
    <w:rsid w:val="00C765DA"/>
    <w:rsid w:val="00C87261"/>
    <w:rsid w:val="00C95630"/>
    <w:rsid w:val="00CC435D"/>
    <w:rsid w:val="00CF462D"/>
    <w:rsid w:val="00D82D33"/>
    <w:rsid w:val="00DA643B"/>
    <w:rsid w:val="00DA7ED4"/>
    <w:rsid w:val="00DB735D"/>
    <w:rsid w:val="00E0533A"/>
    <w:rsid w:val="00E17CC2"/>
    <w:rsid w:val="00E41DD4"/>
    <w:rsid w:val="00E732F2"/>
    <w:rsid w:val="00E750D2"/>
    <w:rsid w:val="00E907ED"/>
    <w:rsid w:val="00EC2FEF"/>
    <w:rsid w:val="00EC4A20"/>
    <w:rsid w:val="00EC6F11"/>
    <w:rsid w:val="00ED0CB5"/>
    <w:rsid w:val="00EF0B8A"/>
    <w:rsid w:val="00F1409D"/>
    <w:rsid w:val="00F47B56"/>
    <w:rsid w:val="00F90CAB"/>
    <w:rsid w:val="00F958D0"/>
    <w:rsid w:val="00FB7E19"/>
    <w:rsid w:val="00FC69FC"/>
    <w:rsid w:val="00FE61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ADB9FE3"/>
  <w15:docId w15:val="{475F8AFE-1636-47F0-AF7D-C177E8A5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98E"/>
    <w:pPr>
      <w:spacing w:after="0" w:line="240" w:lineRule="auto"/>
    </w:pPr>
    <w:rPr>
      <w:lang w:val="en-CA"/>
    </w:rPr>
  </w:style>
  <w:style w:type="paragraph" w:styleId="Heading1">
    <w:name w:val="heading 1"/>
    <w:basedOn w:val="Normal"/>
    <w:next w:val="Normal"/>
    <w:link w:val="Heading1Char"/>
    <w:uiPriority w:val="9"/>
    <w:qFormat/>
    <w:rsid w:val="0015198E"/>
    <w:pPr>
      <w:keepNext/>
      <w:keepLines/>
      <w:outlineLvl w:val="0"/>
    </w:pPr>
    <w:rPr>
      <w:rFonts w:eastAsiaTheme="majorEastAsia" w:cstheme="majorBidi"/>
      <w:b/>
      <w:sz w:val="32"/>
      <w:szCs w:val="32"/>
      <w:lang w:val="en-US"/>
    </w:rPr>
  </w:style>
  <w:style w:type="paragraph" w:styleId="Heading2">
    <w:name w:val="heading 2"/>
    <w:basedOn w:val="Normal"/>
    <w:next w:val="Normal"/>
    <w:link w:val="Heading2Char"/>
    <w:autoRedefine/>
    <w:uiPriority w:val="9"/>
    <w:unhideWhenUsed/>
    <w:qFormat/>
    <w:rsid w:val="0015198E"/>
    <w:pPr>
      <w:keepNext/>
      <w:keepLines/>
      <w:outlineLvl w:val="1"/>
    </w:pPr>
    <w:rPr>
      <w:rFonts w:eastAsiaTheme="majorEastAsia" w:cstheme="majorBidi"/>
      <w:b/>
      <w:sz w:val="28"/>
      <w:szCs w:val="26"/>
      <w:lang w:val="en-US"/>
    </w:rPr>
  </w:style>
  <w:style w:type="paragraph" w:styleId="Heading3">
    <w:name w:val="heading 3"/>
    <w:basedOn w:val="Normal"/>
    <w:next w:val="Normal"/>
    <w:link w:val="Heading3Char"/>
    <w:uiPriority w:val="9"/>
    <w:unhideWhenUsed/>
    <w:qFormat/>
    <w:rsid w:val="0015198E"/>
    <w:pPr>
      <w:keepNext/>
      <w:keepLines/>
      <w:outlineLvl w:val="2"/>
    </w:pPr>
    <w:rPr>
      <w:rFonts w:eastAsiaTheme="majorEastAsia" w:cstheme="majorBidi"/>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35D"/>
    <w:pPr>
      <w:tabs>
        <w:tab w:val="center" w:pos="4680"/>
        <w:tab w:val="right" w:pos="9360"/>
      </w:tabs>
    </w:pPr>
  </w:style>
  <w:style w:type="character" w:customStyle="1" w:styleId="HeaderChar">
    <w:name w:val="Header Char"/>
    <w:basedOn w:val="DefaultParagraphFont"/>
    <w:link w:val="Header"/>
    <w:uiPriority w:val="99"/>
    <w:rsid w:val="00DB735D"/>
  </w:style>
  <w:style w:type="paragraph" w:styleId="Footer">
    <w:name w:val="footer"/>
    <w:basedOn w:val="Normal"/>
    <w:link w:val="FooterChar"/>
    <w:uiPriority w:val="99"/>
    <w:unhideWhenUsed/>
    <w:rsid w:val="00DB735D"/>
    <w:pPr>
      <w:tabs>
        <w:tab w:val="center" w:pos="4680"/>
        <w:tab w:val="right" w:pos="9360"/>
      </w:tabs>
    </w:pPr>
  </w:style>
  <w:style w:type="character" w:customStyle="1" w:styleId="FooterChar">
    <w:name w:val="Footer Char"/>
    <w:basedOn w:val="DefaultParagraphFont"/>
    <w:link w:val="Footer"/>
    <w:uiPriority w:val="99"/>
    <w:rsid w:val="00DB735D"/>
  </w:style>
  <w:style w:type="character" w:styleId="Hyperlink">
    <w:name w:val="Hyperlink"/>
    <w:basedOn w:val="DefaultParagraphFont"/>
    <w:uiPriority w:val="99"/>
    <w:unhideWhenUsed/>
    <w:rsid w:val="004138CF"/>
    <w:rPr>
      <w:color w:val="0000FF"/>
      <w:u w:val="single"/>
    </w:rPr>
  </w:style>
  <w:style w:type="paragraph" w:styleId="BalloonText">
    <w:name w:val="Balloon Text"/>
    <w:basedOn w:val="Normal"/>
    <w:link w:val="BalloonTextChar"/>
    <w:uiPriority w:val="99"/>
    <w:semiHidden/>
    <w:unhideWhenUsed/>
    <w:rsid w:val="00E907ED"/>
    <w:rPr>
      <w:rFonts w:ascii="Tahoma" w:hAnsi="Tahoma" w:cs="Tahoma"/>
      <w:sz w:val="16"/>
      <w:szCs w:val="16"/>
    </w:rPr>
  </w:style>
  <w:style w:type="character" w:customStyle="1" w:styleId="BalloonTextChar">
    <w:name w:val="Balloon Text Char"/>
    <w:basedOn w:val="DefaultParagraphFont"/>
    <w:link w:val="BalloonText"/>
    <w:uiPriority w:val="99"/>
    <w:semiHidden/>
    <w:rsid w:val="00E907ED"/>
    <w:rPr>
      <w:rFonts w:ascii="Tahoma" w:hAnsi="Tahoma" w:cs="Tahoma"/>
      <w:sz w:val="16"/>
      <w:szCs w:val="16"/>
    </w:rPr>
  </w:style>
  <w:style w:type="paragraph" w:styleId="FootnoteText">
    <w:name w:val="footnote text"/>
    <w:basedOn w:val="Normal"/>
    <w:link w:val="FootnoteTextChar"/>
    <w:uiPriority w:val="99"/>
    <w:semiHidden/>
    <w:unhideWhenUsed/>
    <w:rsid w:val="00A41622"/>
    <w:rPr>
      <w:sz w:val="20"/>
      <w:szCs w:val="20"/>
    </w:rPr>
  </w:style>
  <w:style w:type="character" w:customStyle="1" w:styleId="FootnoteTextChar">
    <w:name w:val="Footnote Text Char"/>
    <w:basedOn w:val="DefaultParagraphFont"/>
    <w:link w:val="FootnoteText"/>
    <w:uiPriority w:val="99"/>
    <w:semiHidden/>
    <w:rsid w:val="00A41622"/>
    <w:rPr>
      <w:rFonts w:ascii="Calibri" w:eastAsiaTheme="minorHAnsi" w:hAnsi="Calibri" w:cstheme="minorBidi"/>
      <w:lang w:val="en-CA"/>
    </w:rPr>
  </w:style>
  <w:style w:type="character" w:styleId="FootnoteReference">
    <w:name w:val="footnote reference"/>
    <w:basedOn w:val="DefaultParagraphFont"/>
    <w:uiPriority w:val="99"/>
    <w:semiHidden/>
    <w:unhideWhenUsed/>
    <w:rsid w:val="00A41622"/>
    <w:rPr>
      <w:vertAlign w:val="superscript"/>
    </w:rPr>
  </w:style>
  <w:style w:type="character" w:styleId="EndnoteReference">
    <w:name w:val="endnote reference"/>
    <w:basedOn w:val="DefaultParagraphFont"/>
    <w:uiPriority w:val="99"/>
    <w:semiHidden/>
    <w:unhideWhenUsed/>
    <w:rsid w:val="00A41622"/>
    <w:rPr>
      <w:vertAlign w:val="superscript"/>
    </w:rPr>
  </w:style>
  <w:style w:type="character" w:customStyle="1" w:styleId="Heading1Char">
    <w:name w:val="Heading 1 Char"/>
    <w:basedOn w:val="DefaultParagraphFont"/>
    <w:link w:val="Heading1"/>
    <w:uiPriority w:val="9"/>
    <w:rsid w:val="0015198E"/>
    <w:rPr>
      <w:rFonts w:eastAsiaTheme="majorEastAsia" w:cstheme="majorBidi"/>
      <w:b/>
      <w:sz w:val="32"/>
      <w:szCs w:val="32"/>
    </w:rPr>
  </w:style>
  <w:style w:type="character" w:customStyle="1" w:styleId="Heading2Char">
    <w:name w:val="Heading 2 Char"/>
    <w:basedOn w:val="DefaultParagraphFont"/>
    <w:link w:val="Heading2"/>
    <w:uiPriority w:val="9"/>
    <w:rsid w:val="0015198E"/>
    <w:rPr>
      <w:rFonts w:eastAsiaTheme="majorEastAsia" w:cstheme="majorBidi"/>
      <w:b/>
      <w:sz w:val="28"/>
      <w:szCs w:val="26"/>
    </w:rPr>
  </w:style>
  <w:style w:type="character" w:customStyle="1" w:styleId="Heading3Char">
    <w:name w:val="Heading 3 Char"/>
    <w:basedOn w:val="DefaultParagraphFont"/>
    <w:link w:val="Heading3"/>
    <w:uiPriority w:val="9"/>
    <w:rsid w:val="0015198E"/>
    <w:rPr>
      <w:rFonts w:eastAsiaTheme="majorEastAsia" w:cstheme="majorBidi"/>
      <w:b/>
    </w:rPr>
  </w:style>
  <w:style w:type="paragraph" w:styleId="Title">
    <w:name w:val="Title"/>
    <w:basedOn w:val="Normal"/>
    <w:next w:val="Normal"/>
    <w:link w:val="TitleChar"/>
    <w:uiPriority w:val="10"/>
    <w:qFormat/>
    <w:rsid w:val="0015198E"/>
    <w:pPr>
      <w:contextualSpacing/>
    </w:pPr>
    <w:rPr>
      <w:rFonts w:eastAsiaTheme="majorEastAsia" w:cstheme="majorBidi"/>
      <w:b/>
      <w:spacing w:val="-10"/>
      <w:kern w:val="28"/>
      <w:sz w:val="36"/>
      <w:szCs w:val="56"/>
      <w:lang w:val="en-US"/>
    </w:rPr>
  </w:style>
  <w:style w:type="character" w:customStyle="1" w:styleId="TitleChar">
    <w:name w:val="Title Char"/>
    <w:basedOn w:val="DefaultParagraphFont"/>
    <w:link w:val="Title"/>
    <w:uiPriority w:val="10"/>
    <w:rsid w:val="0015198E"/>
    <w:rPr>
      <w:rFonts w:eastAsiaTheme="majorEastAsia" w:cstheme="majorBidi"/>
      <w:b/>
      <w:spacing w:val="-10"/>
      <w:kern w:val="28"/>
      <w:sz w:val="36"/>
      <w:szCs w:val="56"/>
    </w:rPr>
  </w:style>
  <w:style w:type="character" w:styleId="Emphasis">
    <w:name w:val="Emphasis"/>
    <w:basedOn w:val="DefaultParagraphFont"/>
    <w:uiPriority w:val="20"/>
    <w:qFormat/>
    <w:rsid w:val="0015198E"/>
    <w:rPr>
      <w:rFonts w:ascii="Arial" w:hAnsi="Arial"/>
      <w:i/>
      <w:iCs w:val="0"/>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corbeil@springwater.c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springwater.ca"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aly\AppData\Roaming\Microsoft\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56</TotalTime>
  <Pages>3</Pages>
  <Words>655</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Springwater Township</Company>
  <LinksUpToDate>false</LinksUpToDate>
  <CharactersWithSpaces>4369</CharactersWithSpaces>
  <SharedDoc>false</SharedDoc>
  <HLinks>
    <vt:vector size="6" baseType="variant">
      <vt:variant>
        <vt:i4>7929957</vt:i4>
      </vt:variant>
      <vt:variant>
        <vt:i4>0</vt:i4>
      </vt:variant>
      <vt:variant>
        <vt:i4>0</vt:i4>
      </vt:variant>
      <vt:variant>
        <vt:i4>5</vt:i4>
      </vt:variant>
      <vt:variant>
        <vt:lpwstr>http://www.springwater.ca/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Daly</dc:creator>
  <cp:lastModifiedBy>Jane Corbeil</cp:lastModifiedBy>
  <cp:revision>18</cp:revision>
  <cp:lastPrinted>2020-04-02T21:29:00Z</cp:lastPrinted>
  <dcterms:created xsi:type="dcterms:W3CDTF">2020-01-13T20:20:00Z</dcterms:created>
  <dcterms:modified xsi:type="dcterms:W3CDTF">2020-04-03T22:57:00Z</dcterms:modified>
</cp:coreProperties>
</file>