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6882E3" w14:textId="77777777" w:rsidR="00CE1189" w:rsidRDefault="00CE1189" w:rsidP="00F06269">
      <w:pPr>
        <w:jc w:val="center"/>
      </w:pPr>
      <w:bookmarkStart w:id="0" w:name="_GoBack"/>
      <w:bookmarkEnd w:id="0"/>
    </w:p>
    <w:p w14:paraId="79509ED2" w14:textId="2B61A440" w:rsidR="00B352F2" w:rsidRPr="00F06269" w:rsidRDefault="00F06269" w:rsidP="00F06269">
      <w:pPr>
        <w:jc w:val="center"/>
        <w:rPr>
          <w:b/>
          <w:sz w:val="32"/>
          <w:szCs w:val="32"/>
        </w:rPr>
      </w:pPr>
      <w:r>
        <w:tab/>
      </w:r>
      <w:r w:rsidRPr="00F06269">
        <w:rPr>
          <w:rFonts w:ascii="Arial" w:hAnsi="Arial" w:cs="Arial"/>
          <w:b/>
          <w:sz w:val="32"/>
          <w:szCs w:val="32"/>
        </w:rPr>
        <w:t>REPORT</w:t>
      </w:r>
    </w:p>
    <w:tbl>
      <w:tblPr>
        <w:tblW w:w="0" w:type="auto"/>
        <w:tblLayout w:type="fixed"/>
        <w:tblLook w:val="04A0" w:firstRow="1" w:lastRow="0" w:firstColumn="1" w:lastColumn="0" w:noHBand="0" w:noVBand="1"/>
      </w:tblPr>
      <w:tblGrid>
        <w:gridCol w:w="2343"/>
        <w:gridCol w:w="7233"/>
      </w:tblGrid>
      <w:tr w:rsidR="00AA5566" w14:paraId="79509ED6" w14:textId="77777777" w:rsidTr="00C1572F">
        <w:tc>
          <w:tcPr>
            <w:tcW w:w="2343" w:type="dxa"/>
            <w:shd w:val="clear" w:color="auto" w:fill="auto"/>
          </w:tcPr>
          <w:p w14:paraId="79509ED3" w14:textId="77777777" w:rsidR="00AA5566" w:rsidRPr="006B485D" w:rsidRDefault="00AA5566" w:rsidP="00C1572F">
            <w:pPr>
              <w:spacing w:before="240" w:line="240" w:lineRule="auto"/>
              <w:contextualSpacing/>
              <w:rPr>
                <w:rFonts w:ascii="Arial" w:hAnsi="Arial" w:cs="Arial"/>
                <w:b/>
                <w:sz w:val="24"/>
                <w:szCs w:val="24"/>
              </w:rPr>
            </w:pPr>
            <w:r w:rsidRPr="006B485D">
              <w:rPr>
                <w:rFonts w:ascii="Arial" w:hAnsi="Arial" w:cs="Arial"/>
                <w:b/>
                <w:sz w:val="24"/>
                <w:szCs w:val="24"/>
              </w:rPr>
              <w:t>REPORT TO:</w:t>
            </w:r>
          </w:p>
        </w:tc>
        <w:tc>
          <w:tcPr>
            <w:tcW w:w="7233" w:type="dxa"/>
            <w:shd w:val="clear" w:color="auto" w:fill="auto"/>
          </w:tcPr>
          <w:p w14:paraId="79509ED4" w14:textId="6BFF54D0" w:rsidR="00AA5566" w:rsidRDefault="004C0A0C" w:rsidP="00C1572F">
            <w:pPr>
              <w:spacing w:before="240" w:line="240" w:lineRule="auto"/>
              <w:contextualSpacing/>
              <w:rPr>
                <w:rFonts w:ascii="Arial" w:hAnsi="Arial" w:cs="Arial"/>
                <w:sz w:val="24"/>
                <w:szCs w:val="24"/>
              </w:rPr>
            </w:pPr>
            <w:r w:rsidRPr="004C0A0C">
              <w:rPr>
                <w:rFonts w:ascii="Arial" w:hAnsi="Arial" w:cs="Arial"/>
                <w:sz w:val="24"/>
                <w:szCs w:val="24"/>
              </w:rPr>
              <w:t>Mayor Bonnette and Members of Council</w:t>
            </w:r>
          </w:p>
          <w:p w14:paraId="79509ED5" w14:textId="77777777" w:rsidR="00C1572F" w:rsidRPr="006B485D" w:rsidRDefault="00C1572F" w:rsidP="00C1572F">
            <w:pPr>
              <w:spacing w:before="240" w:line="240" w:lineRule="auto"/>
              <w:contextualSpacing/>
              <w:rPr>
                <w:rFonts w:ascii="Arial" w:hAnsi="Arial" w:cs="Arial"/>
                <w:sz w:val="24"/>
                <w:szCs w:val="24"/>
              </w:rPr>
            </w:pPr>
          </w:p>
        </w:tc>
      </w:tr>
      <w:tr w:rsidR="00AA5566" w14:paraId="79509EDA" w14:textId="77777777" w:rsidTr="00C1572F">
        <w:tc>
          <w:tcPr>
            <w:tcW w:w="2343" w:type="dxa"/>
            <w:shd w:val="clear" w:color="auto" w:fill="auto"/>
          </w:tcPr>
          <w:p w14:paraId="79509ED7" w14:textId="77777777" w:rsidR="00AA5566" w:rsidRPr="006B485D" w:rsidRDefault="00AA5566" w:rsidP="00C1572F">
            <w:pPr>
              <w:spacing w:before="240" w:line="240" w:lineRule="auto"/>
              <w:contextualSpacing/>
              <w:rPr>
                <w:rFonts w:ascii="Arial" w:hAnsi="Arial" w:cs="Arial"/>
                <w:b/>
                <w:sz w:val="24"/>
                <w:szCs w:val="24"/>
              </w:rPr>
            </w:pPr>
            <w:r w:rsidRPr="006B485D">
              <w:rPr>
                <w:rFonts w:ascii="Arial" w:hAnsi="Arial" w:cs="Arial"/>
                <w:b/>
                <w:sz w:val="24"/>
                <w:szCs w:val="24"/>
              </w:rPr>
              <w:t>REPORT FROM:</w:t>
            </w:r>
          </w:p>
        </w:tc>
        <w:tc>
          <w:tcPr>
            <w:tcW w:w="7233" w:type="dxa"/>
            <w:shd w:val="clear" w:color="auto" w:fill="auto"/>
          </w:tcPr>
          <w:p w14:paraId="79509ED8" w14:textId="3B37B852" w:rsidR="00AA5566" w:rsidRDefault="004C0A0C" w:rsidP="00C1572F">
            <w:pPr>
              <w:spacing w:before="240" w:line="240" w:lineRule="auto"/>
              <w:contextualSpacing/>
              <w:rPr>
                <w:rFonts w:ascii="Arial" w:hAnsi="Arial" w:cs="Arial"/>
                <w:sz w:val="24"/>
                <w:szCs w:val="24"/>
              </w:rPr>
            </w:pPr>
            <w:r>
              <w:rPr>
                <w:rFonts w:ascii="Arial" w:hAnsi="Arial" w:cs="Arial"/>
                <w:sz w:val="24"/>
                <w:szCs w:val="24"/>
              </w:rPr>
              <w:t>Keith Hamilton – Planner, Policy</w:t>
            </w:r>
          </w:p>
          <w:p w14:paraId="79509ED9" w14:textId="77777777" w:rsidR="00C1572F" w:rsidRPr="006B485D" w:rsidRDefault="00C1572F" w:rsidP="00C1572F">
            <w:pPr>
              <w:spacing w:before="240" w:line="240" w:lineRule="auto"/>
              <w:contextualSpacing/>
              <w:rPr>
                <w:rFonts w:ascii="Arial" w:hAnsi="Arial" w:cs="Arial"/>
                <w:sz w:val="24"/>
                <w:szCs w:val="24"/>
              </w:rPr>
            </w:pPr>
          </w:p>
        </w:tc>
      </w:tr>
      <w:tr w:rsidR="00AA5566" w14:paraId="79509EDE" w14:textId="77777777" w:rsidTr="00C1572F">
        <w:tc>
          <w:tcPr>
            <w:tcW w:w="2343" w:type="dxa"/>
            <w:shd w:val="clear" w:color="auto" w:fill="auto"/>
          </w:tcPr>
          <w:p w14:paraId="79509EDB" w14:textId="77777777" w:rsidR="00AA5566" w:rsidRPr="006B485D" w:rsidRDefault="00AA5566" w:rsidP="00C1572F">
            <w:pPr>
              <w:spacing w:before="240" w:line="240" w:lineRule="auto"/>
              <w:contextualSpacing/>
              <w:rPr>
                <w:rFonts w:ascii="Arial" w:hAnsi="Arial" w:cs="Arial"/>
                <w:b/>
                <w:sz w:val="24"/>
                <w:szCs w:val="24"/>
              </w:rPr>
            </w:pPr>
            <w:r w:rsidRPr="006B485D">
              <w:rPr>
                <w:rFonts w:ascii="Arial" w:hAnsi="Arial" w:cs="Arial"/>
                <w:b/>
                <w:sz w:val="24"/>
                <w:szCs w:val="24"/>
              </w:rPr>
              <w:t>DATE:</w:t>
            </w:r>
          </w:p>
        </w:tc>
        <w:tc>
          <w:tcPr>
            <w:tcW w:w="7233" w:type="dxa"/>
            <w:shd w:val="clear" w:color="auto" w:fill="auto"/>
          </w:tcPr>
          <w:p w14:paraId="79509EDC" w14:textId="416D97CF" w:rsidR="00AA5566" w:rsidRDefault="004C0A0C" w:rsidP="00C1572F">
            <w:pPr>
              <w:spacing w:before="240" w:line="240" w:lineRule="auto"/>
              <w:contextualSpacing/>
              <w:rPr>
                <w:rFonts w:ascii="Arial" w:hAnsi="Arial" w:cs="Arial"/>
                <w:sz w:val="24"/>
                <w:szCs w:val="24"/>
              </w:rPr>
            </w:pPr>
            <w:r>
              <w:rPr>
                <w:rFonts w:ascii="Arial" w:hAnsi="Arial" w:cs="Arial"/>
                <w:sz w:val="24"/>
                <w:szCs w:val="24"/>
              </w:rPr>
              <w:t>July 13, 2020</w:t>
            </w:r>
          </w:p>
          <w:p w14:paraId="79509EDD" w14:textId="77777777" w:rsidR="00C1572F" w:rsidRPr="006B485D" w:rsidRDefault="00C1572F" w:rsidP="00C1572F">
            <w:pPr>
              <w:spacing w:before="240" w:line="240" w:lineRule="auto"/>
              <w:contextualSpacing/>
              <w:rPr>
                <w:rFonts w:ascii="Arial" w:hAnsi="Arial" w:cs="Arial"/>
                <w:sz w:val="24"/>
                <w:szCs w:val="24"/>
              </w:rPr>
            </w:pPr>
          </w:p>
        </w:tc>
      </w:tr>
      <w:tr w:rsidR="00AA5566" w14:paraId="79509EE2" w14:textId="77777777" w:rsidTr="00C1572F">
        <w:tc>
          <w:tcPr>
            <w:tcW w:w="2343" w:type="dxa"/>
            <w:shd w:val="clear" w:color="auto" w:fill="auto"/>
          </w:tcPr>
          <w:p w14:paraId="79509EDF" w14:textId="77777777" w:rsidR="00AA5566" w:rsidRPr="006B485D" w:rsidRDefault="00AA5566" w:rsidP="00C1572F">
            <w:pPr>
              <w:spacing w:before="240" w:line="240" w:lineRule="auto"/>
              <w:contextualSpacing/>
              <w:rPr>
                <w:rFonts w:ascii="Arial" w:hAnsi="Arial" w:cs="Arial"/>
                <w:b/>
                <w:sz w:val="24"/>
                <w:szCs w:val="24"/>
              </w:rPr>
            </w:pPr>
            <w:r w:rsidRPr="006B485D">
              <w:rPr>
                <w:rFonts w:ascii="Arial" w:hAnsi="Arial" w:cs="Arial"/>
                <w:b/>
                <w:sz w:val="24"/>
                <w:szCs w:val="24"/>
              </w:rPr>
              <w:t>REPORT NO.:</w:t>
            </w:r>
          </w:p>
        </w:tc>
        <w:tc>
          <w:tcPr>
            <w:tcW w:w="7233" w:type="dxa"/>
            <w:shd w:val="clear" w:color="auto" w:fill="auto"/>
          </w:tcPr>
          <w:p w14:paraId="79509EE0" w14:textId="297FD325" w:rsidR="00AA5566" w:rsidRDefault="004C0A0C" w:rsidP="00C1572F">
            <w:pPr>
              <w:spacing w:before="240" w:line="240" w:lineRule="auto"/>
              <w:contextualSpacing/>
              <w:rPr>
                <w:rFonts w:ascii="Arial" w:hAnsi="Arial" w:cs="Arial"/>
                <w:sz w:val="24"/>
                <w:szCs w:val="24"/>
              </w:rPr>
            </w:pPr>
            <w:r>
              <w:rPr>
                <w:rFonts w:ascii="Arial" w:hAnsi="Arial" w:cs="Arial"/>
                <w:sz w:val="24"/>
                <w:szCs w:val="24"/>
              </w:rPr>
              <w:t>PD-2020-0030</w:t>
            </w:r>
          </w:p>
          <w:p w14:paraId="79509EE1" w14:textId="77777777" w:rsidR="00C1572F" w:rsidRPr="006B485D" w:rsidRDefault="00C1572F" w:rsidP="00C1572F">
            <w:pPr>
              <w:spacing w:before="240" w:line="240" w:lineRule="auto"/>
              <w:contextualSpacing/>
              <w:rPr>
                <w:rFonts w:ascii="Arial" w:hAnsi="Arial" w:cs="Arial"/>
                <w:sz w:val="24"/>
                <w:szCs w:val="24"/>
              </w:rPr>
            </w:pPr>
          </w:p>
        </w:tc>
      </w:tr>
      <w:tr w:rsidR="00AA5566" w14:paraId="79509EE6" w14:textId="77777777" w:rsidTr="00C1572F">
        <w:tc>
          <w:tcPr>
            <w:tcW w:w="2343" w:type="dxa"/>
            <w:shd w:val="clear" w:color="auto" w:fill="auto"/>
          </w:tcPr>
          <w:p w14:paraId="79509EE3" w14:textId="77777777" w:rsidR="00AA5566" w:rsidRPr="006B485D" w:rsidRDefault="00AA5566" w:rsidP="00C1572F">
            <w:pPr>
              <w:spacing w:before="240" w:line="240" w:lineRule="auto"/>
              <w:contextualSpacing/>
              <w:rPr>
                <w:rFonts w:ascii="Arial" w:hAnsi="Arial" w:cs="Arial"/>
                <w:b/>
                <w:sz w:val="24"/>
                <w:szCs w:val="24"/>
              </w:rPr>
            </w:pPr>
            <w:r w:rsidRPr="006B485D">
              <w:rPr>
                <w:rFonts w:ascii="Arial" w:hAnsi="Arial" w:cs="Arial"/>
                <w:b/>
                <w:sz w:val="24"/>
                <w:szCs w:val="24"/>
              </w:rPr>
              <w:t>RE:</w:t>
            </w:r>
          </w:p>
        </w:tc>
        <w:tc>
          <w:tcPr>
            <w:tcW w:w="7233" w:type="dxa"/>
            <w:shd w:val="clear" w:color="auto" w:fill="auto"/>
          </w:tcPr>
          <w:sdt>
            <w:sdtPr>
              <w:rPr>
                <w:b/>
                <w:snapToGrid w:val="0"/>
                <w:lang w:val="en-GB"/>
              </w:rPr>
              <w:alias w:val="Document Description"/>
              <w:tag w:val="eDescription"/>
              <w:id w:val="-1664076931"/>
              <w:lock w:val="sdtLocked"/>
              <w:placeholder>
                <w:docPart w:val="7D3397D79D234C66A6937B34616A4383"/>
              </w:placeholder>
            </w:sdtPr>
            <w:sdtEndPr/>
            <w:sdtContent>
              <w:p w14:paraId="79509EE5" w14:textId="4310D72F" w:rsidR="00C1572F" w:rsidRPr="004C0A0C" w:rsidRDefault="004C0A0C" w:rsidP="004C0A0C">
                <w:pPr>
                  <w:rPr>
                    <w:b/>
                    <w:snapToGrid w:val="0"/>
                    <w:lang w:val="en-GB"/>
                  </w:rPr>
                </w:pPr>
                <w:r w:rsidRPr="004C0A0C">
                  <w:rPr>
                    <w:rFonts w:ascii="Arial" w:hAnsi="Arial" w:cs="Arial"/>
                    <w:snapToGrid w:val="0"/>
                    <w:sz w:val="24"/>
                    <w:lang w:val="en-GB"/>
                  </w:rPr>
                  <w:t>Proposed Amendment 1 to the Growth Plan and Proposed Land Needs Assessment Methodology – Halton Area Planning Partnership Joint Submission</w:t>
                </w:r>
              </w:p>
            </w:sdtContent>
          </w:sdt>
        </w:tc>
      </w:tr>
    </w:tbl>
    <w:p w14:paraId="1CE5C025" w14:textId="77777777" w:rsidR="005202E1" w:rsidRDefault="005202E1" w:rsidP="00AA5566">
      <w:pPr>
        <w:pStyle w:val="Subtitle"/>
        <w:jc w:val="left"/>
        <w:rPr>
          <w:rFonts w:ascii="Arial" w:hAnsi="Arial" w:cs="Arial"/>
          <w:b/>
        </w:rPr>
      </w:pPr>
    </w:p>
    <w:p w14:paraId="79509EE8" w14:textId="34288C95" w:rsidR="00AA5566" w:rsidRDefault="00AA5566" w:rsidP="00AA5566">
      <w:pPr>
        <w:pStyle w:val="Subtitle"/>
        <w:jc w:val="left"/>
        <w:rPr>
          <w:rFonts w:ascii="Arial" w:hAnsi="Arial" w:cs="Arial"/>
          <w:b/>
        </w:rPr>
      </w:pPr>
      <w:r>
        <w:rPr>
          <w:rFonts w:ascii="Arial" w:hAnsi="Arial" w:cs="Arial"/>
          <w:b/>
        </w:rPr>
        <w:t>RECOMMENDATION:</w:t>
      </w:r>
    </w:p>
    <w:bookmarkStart w:id="1" w:name="_Hlk9595809" w:displacedByCustomXml="next"/>
    <w:sdt>
      <w:sdtPr>
        <w:rPr>
          <w:snapToGrid w:val="0"/>
          <w:lang w:val="en-GB"/>
        </w:rPr>
        <w:alias w:val="Recommendation"/>
        <w:tag w:val="eRecommendation"/>
        <w:id w:val="54137638"/>
        <w:lock w:val="sdtLocked"/>
        <w:placeholder>
          <w:docPart w:val="94250ED5766E41ABACACEA261034124A"/>
        </w:placeholder>
      </w:sdtPr>
      <w:sdtEndPr/>
      <w:sdtContent>
        <w:sdt>
          <w:sdtPr>
            <w:rPr>
              <w:snapToGrid w:val="0"/>
              <w:lang w:val="en-GB"/>
            </w:rPr>
            <w:alias w:val="Recommendation"/>
            <w:tag w:val="eRecommendation"/>
            <w:id w:val="1270046376"/>
            <w:placeholder>
              <w:docPart w:val="2B0BE23B3E514102A7155DF8BB09065A"/>
            </w:placeholder>
          </w:sdtPr>
          <w:sdtEndPr/>
          <w:sdtContent>
            <w:p w14:paraId="5D40B841" w14:textId="65E6C142" w:rsidR="00390CF7" w:rsidRDefault="00390CF7" w:rsidP="00F701EA">
              <w:pPr>
                <w:spacing w:line="240" w:lineRule="auto"/>
                <w:rPr>
                  <w:rFonts w:ascii="Arial" w:hAnsi="Arial" w:cs="Arial"/>
                  <w:sz w:val="24"/>
                  <w:szCs w:val="24"/>
                </w:rPr>
              </w:pPr>
              <w:r>
                <w:rPr>
                  <w:rFonts w:ascii="Arial" w:hAnsi="Arial" w:cs="Arial"/>
                  <w:sz w:val="24"/>
                  <w:szCs w:val="24"/>
                </w:rPr>
                <w:t xml:space="preserve">THAT Report </w:t>
              </w:r>
              <w:r w:rsidR="00494DF1">
                <w:rPr>
                  <w:rFonts w:ascii="Arial" w:hAnsi="Arial" w:cs="Arial"/>
                  <w:sz w:val="24"/>
                  <w:szCs w:val="24"/>
                </w:rPr>
                <w:t xml:space="preserve">No. </w:t>
              </w:r>
              <w:r>
                <w:rPr>
                  <w:rFonts w:ascii="Arial" w:hAnsi="Arial" w:cs="Arial"/>
                  <w:sz w:val="24"/>
                  <w:szCs w:val="24"/>
                </w:rPr>
                <w:t>PD-2020-0030, dated July 13, 2020</w:t>
              </w:r>
              <w:r w:rsidRPr="001F2A1D">
                <w:rPr>
                  <w:rFonts w:ascii="Arial" w:hAnsi="Arial" w:cs="Arial"/>
                  <w:sz w:val="24"/>
                  <w:szCs w:val="24"/>
                </w:rPr>
                <w:t xml:space="preserve">, regarding the Halton Area Planning Partnership (HAPP) Joint Submission on the </w:t>
              </w:r>
              <w:r w:rsidRPr="00390CF7">
                <w:rPr>
                  <w:rFonts w:ascii="Arial" w:hAnsi="Arial" w:cs="Arial"/>
                  <w:sz w:val="24"/>
                  <w:szCs w:val="24"/>
                </w:rPr>
                <w:t>Proposed Amendment 1 to the Growth Plan and Proposed Land Needs Assessment Methodology</w:t>
              </w:r>
              <w:r w:rsidRPr="001F2A1D">
                <w:rPr>
                  <w:rFonts w:ascii="Arial" w:hAnsi="Arial" w:cs="Arial"/>
                  <w:sz w:val="24"/>
                  <w:szCs w:val="24"/>
                </w:rPr>
                <w:t>, be received;</w:t>
              </w:r>
            </w:p>
            <w:p w14:paraId="16E98E67" w14:textId="1CF5D641" w:rsidR="00390CF7" w:rsidRDefault="00390CF7" w:rsidP="00F701EA">
              <w:pPr>
                <w:spacing w:line="240" w:lineRule="auto"/>
                <w:rPr>
                  <w:rFonts w:ascii="Arial" w:hAnsi="Arial" w:cs="Arial"/>
                  <w:sz w:val="24"/>
                  <w:szCs w:val="24"/>
                </w:rPr>
              </w:pPr>
              <w:r w:rsidRPr="001F2A1D">
                <w:rPr>
                  <w:rFonts w:ascii="Arial" w:hAnsi="Arial" w:cs="Arial"/>
                  <w:sz w:val="24"/>
                  <w:szCs w:val="24"/>
                </w:rPr>
                <w:t xml:space="preserve">AND FURTHER THAT </w:t>
              </w:r>
              <w:r w:rsidR="00D57F02" w:rsidRPr="001F2A1D">
                <w:rPr>
                  <w:rFonts w:ascii="Arial" w:hAnsi="Arial" w:cs="Arial"/>
                  <w:sz w:val="24"/>
                  <w:szCs w:val="24"/>
                </w:rPr>
                <w:t>Cou</w:t>
              </w:r>
              <w:r w:rsidR="00D57F02">
                <w:rPr>
                  <w:rFonts w:ascii="Arial" w:hAnsi="Arial" w:cs="Arial"/>
                  <w:sz w:val="24"/>
                  <w:szCs w:val="24"/>
                </w:rPr>
                <w:t xml:space="preserve">ncil endorse the comments </w:t>
              </w:r>
              <w:r w:rsidR="00D57F02" w:rsidRPr="001F2A1D">
                <w:rPr>
                  <w:rFonts w:ascii="Arial" w:hAnsi="Arial" w:cs="Arial"/>
                  <w:sz w:val="24"/>
                  <w:szCs w:val="24"/>
                </w:rPr>
                <w:t>contained in the Joint Submission</w:t>
              </w:r>
              <w:r w:rsidR="00D57F02">
                <w:rPr>
                  <w:rFonts w:ascii="Arial" w:hAnsi="Arial" w:cs="Arial"/>
                  <w:sz w:val="24"/>
                  <w:szCs w:val="24"/>
                </w:rPr>
                <w:t xml:space="preserve"> attached as Schedule</w:t>
              </w:r>
              <w:r w:rsidR="00D57F02" w:rsidRPr="001F2A1D">
                <w:rPr>
                  <w:rFonts w:ascii="Arial" w:hAnsi="Arial" w:cs="Arial"/>
                  <w:sz w:val="24"/>
                  <w:szCs w:val="24"/>
                </w:rPr>
                <w:t xml:space="preserve"> One to this report, </w:t>
              </w:r>
              <w:r w:rsidR="00D57F02">
                <w:rPr>
                  <w:rFonts w:ascii="Arial" w:hAnsi="Arial" w:cs="Arial"/>
                  <w:sz w:val="24"/>
                  <w:szCs w:val="24"/>
                </w:rPr>
                <w:t>to be</w:t>
              </w:r>
              <w:r w:rsidR="00D57F02" w:rsidRPr="001F2A1D">
                <w:rPr>
                  <w:rFonts w:ascii="Arial" w:hAnsi="Arial" w:cs="Arial"/>
                  <w:sz w:val="24"/>
                  <w:szCs w:val="24"/>
                </w:rPr>
                <w:t xml:space="preserve"> submitted to the Province </w:t>
              </w:r>
              <w:r w:rsidR="00D57F02">
                <w:rPr>
                  <w:rFonts w:ascii="Arial" w:hAnsi="Arial" w:cs="Arial"/>
                  <w:sz w:val="24"/>
                  <w:szCs w:val="24"/>
                </w:rPr>
                <w:t>in advance of the commenting deadline</w:t>
              </w:r>
              <w:r w:rsidR="00D57F02" w:rsidRPr="001F2A1D">
                <w:rPr>
                  <w:rFonts w:ascii="Arial" w:hAnsi="Arial" w:cs="Arial"/>
                  <w:sz w:val="24"/>
                  <w:szCs w:val="24"/>
                </w:rPr>
                <w:t xml:space="preserve"> of </w:t>
              </w:r>
              <w:r w:rsidR="00D57F02">
                <w:rPr>
                  <w:rFonts w:ascii="Arial" w:hAnsi="Arial" w:cs="Arial"/>
                  <w:sz w:val="24"/>
                  <w:szCs w:val="24"/>
                </w:rPr>
                <w:t>July 31, 2020</w:t>
              </w:r>
              <w:r w:rsidR="00D57F02" w:rsidRPr="001F2A1D">
                <w:rPr>
                  <w:rFonts w:ascii="Arial" w:hAnsi="Arial" w:cs="Arial"/>
                  <w:sz w:val="24"/>
                  <w:szCs w:val="24"/>
                </w:rPr>
                <w:t>;</w:t>
              </w:r>
            </w:p>
            <w:p w14:paraId="79509EEA" w14:textId="35C9CDEE" w:rsidR="00AA5566" w:rsidRPr="009B6648" w:rsidRDefault="00390CF7" w:rsidP="00F701EA">
              <w:pPr>
                <w:spacing w:line="240" w:lineRule="auto"/>
                <w:rPr>
                  <w:snapToGrid w:val="0"/>
                  <w:lang w:val="en-GB"/>
                </w:rPr>
              </w:pPr>
              <w:r w:rsidRPr="001F2A1D">
                <w:rPr>
                  <w:rFonts w:ascii="Arial" w:hAnsi="Arial" w:cs="Arial"/>
                  <w:sz w:val="24"/>
                  <w:szCs w:val="24"/>
                </w:rPr>
                <w:t>AND FURTHER THAT a copy of this report be f</w:t>
              </w:r>
              <w:r>
                <w:rPr>
                  <w:rFonts w:ascii="Arial" w:hAnsi="Arial" w:cs="Arial"/>
                  <w:sz w:val="24"/>
                  <w:szCs w:val="24"/>
                </w:rPr>
                <w:t>orwarded to the Ministry of Municipal Affairs and Housing</w:t>
              </w:r>
              <w:r w:rsidRPr="001F2A1D">
                <w:rPr>
                  <w:rFonts w:ascii="Arial" w:hAnsi="Arial" w:cs="Arial"/>
                  <w:sz w:val="24"/>
                  <w:szCs w:val="24"/>
                </w:rPr>
                <w:t>, the Region of Halton, the Local Municipalities of Burlington, Milton and Oakville, Conservation Halton, Credit Valley Conservation and the Grand River Conservation Authority</w:t>
              </w:r>
              <w:r>
                <w:rPr>
                  <w:rFonts w:ascii="Arial" w:hAnsi="Arial" w:cs="Arial"/>
                  <w:sz w:val="24"/>
                  <w:szCs w:val="24"/>
                </w:rPr>
                <w:t>.</w:t>
              </w:r>
            </w:p>
          </w:sdtContent>
        </w:sdt>
      </w:sdtContent>
    </w:sdt>
    <w:bookmarkEnd w:id="1" w:displacedByCustomXml="prev"/>
    <w:p w14:paraId="37F6201C" w14:textId="77777777" w:rsidR="00F701EA" w:rsidRDefault="00F701EA" w:rsidP="00D57F02">
      <w:pPr>
        <w:spacing w:after="60"/>
        <w:outlineLvl w:val="1"/>
        <w:rPr>
          <w:rFonts w:ascii="Arial" w:eastAsia="Times New Roman" w:hAnsi="Arial" w:cs="Arial"/>
          <w:b/>
          <w:sz w:val="24"/>
          <w:szCs w:val="24"/>
        </w:rPr>
      </w:pPr>
    </w:p>
    <w:p w14:paraId="3E39218F" w14:textId="77777777" w:rsidR="00D57F02" w:rsidRPr="00457C22" w:rsidRDefault="00D57F02" w:rsidP="00D57F02">
      <w:pPr>
        <w:spacing w:after="60"/>
        <w:outlineLvl w:val="1"/>
        <w:rPr>
          <w:rFonts w:ascii="Arial" w:eastAsia="Times New Roman" w:hAnsi="Arial" w:cs="Arial"/>
          <w:b/>
          <w:sz w:val="24"/>
          <w:szCs w:val="24"/>
        </w:rPr>
      </w:pPr>
      <w:r w:rsidRPr="00457C22">
        <w:rPr>
          <w:rFonts w:ascii="Arial" w:eastAsia="Times New Roman" w:hAnsi="Arial" w:cs="Arial"/>
          <w:b/>
          <w:sz w:val="24"/>
          <w:szCs w:val="24"/>
        </w:rPr>
        <w:t>PURPOSE OF THE REPORT</w:t>
      </w:r>
    </w:p>
    <w:p w14:paraId="30C93654" w14:textId="77777777" w:rsidR="00D57F02" w:rsidRPr="00457C22" w:rsidRDefault="00D57F02" w:rsidP="00D57F02">
      <w:pPr>
        <w:spacing w:after="0"/>
        <w:rPr>
          <w:rFonts w:ascii="Arial" w:hAnsi="Arial" w:cs="Arial"/>
          <w:sz w:val="24"/>
        </w:rPr>
      </w:pPr>
      <w:r w:rsidRPr="00457C22">
        <w:rPr>
          <w:rFonts w:ascii="Arial" w:hAnsi="Arial" w:cs="Arial"/>
          <w:sz w:val="24"/>
        </w:rPr>
        <w:t>The purpose of this report is to:</w:t>
      </w:r>
    </w:p>
    <w:p w14:paraId="32360404" w14:textId="77777777" w:rsidR="00D57F02" w:rsidRPr="00457C22" w:rsidRDefault="00D57F02" w:rsidP="00D57F02">
      <w:pPr>
        <w:numPr>
          <w:ilvl w:val="0"/>
          <w:numId w:val="1"/>
        </w:numPr>
        <w:spacing w:after="0" w:line="240" w:lineRule="auto"/>
        <w:contextualSpacing/>
        <w:rPr>
          <w:rFonts w:ascii="Arial" w:hAnsi="Arial" w:cs="Arial"/>
          <w:sz w:val="24"/>
        </w:rPr>
      </w:pPr>
      <w:r w:rsidRPr="00457C22">
        <w:rPr>
          <w:rFonts w:ascii="Arial" w:hAnsi="Arial" w:cs="Arial"/>
          <w:sz w:val="24"/>
        </w:rPr>
        <w:t xml:space="preserve">Provide an overview of the Province’s </w:t>
      </w:r>
      <w:r>
        <w:rPr>
          <w:rFonts w:ascii="Arial" w:hAnsi="Arial" w:cs="Arial"/>
          <w:sz w:val="24"/>
        </w:rPr>
        <w:t>Proposed Amendment 1 to the Growth Plan and Proposed Land Needs Methodology</w:t>
      </w:r>
      <w:r w:rsidRPr="00457C22">
        <w:rPr>
          <w:rFonts w:ascii="Arial" w:hAnsi="Arial" w:cs="Arial"/>
          <w:sz w:val="24"/>
        </w:rPr>
        <w:t>;</w:t>
      </w:r>
      <w:r>
        <w:rPr>
          <w:rFonts w:ascii="Arial" w:hAnsi="Arial" w:cs="Arial"/>
          <w:sz w:val="24"/>
        </w:rPr>
        <w:t xml:space="preserve"> and,</w:t>
      </w:r>
    </w:p>
    <w:p w14:paraId="5D44DC93" w14:textId="77777777" w:rsidR="00D57F02" w:rsidRPr="00457C22" w:rsidRDefault="00D57F02" w:rsidP="00D57F02">
      <w:pPr>
        <w:numPr>
          <w:ilvl w:val="0"/>
          <w:numId w:val="1"/>
        </w:numPr>
        <w:spacing w:after="0" w:line="240" w:lineRule="auto"/>
        <w:contextualSpacing/>
        <w:rPr>
          <w:rFonts w:ascii="Arial" w:hAnsi="Arial" w:cs="Arial"/>
          <w:sz w:val="24"/>
        </w:rPr>
      </w:pPr>
      <w:r w:rsidRPr="00457C22">
        <w:rPr>
          <w:rFonts w:ascii="Arial" w:hAnsi="Arial" w:cs="Arial"/>
          <w:sz w:val="24"/>
        </w:rPr>
        <w:t xml:space="preserve">Provide an overview of the Halton Area Planning Partnership’s comments to the Ministry of </w:t>
      </w:r>
      <w:r>
        <w:rPr>
          <w:rFonts w:ascii="Arial" w:hAnsi="Arial" w:cs="Arial"/>
          <w:sz w:val="24"/>
        </w:rPr>
        <w:t>Municipal Affairs and Housing (MMAH)</w:t>
      </w:r>
      <w:r w:rsidRPr="00457C22">
        <w:rPr>
          <w:rFonts w:ascii="Arial" w:hAnsi="Arial" w:cs="Arial"/>
          <w:sz w:val="24"/>
        </w:rPr>
        <w:t xml:space="preserve"> on the </w:t>
      </w:r>
      <w:r>
        <w:rPr>
          <w:rFonts w:ascii="Arial" w:hAnsi="Arial" w:cs="Arial"/>
          <w:sz w:val="24"/>
        </w:rPr>
        <w:t>proposed amendment.</w:t>
      </w:r>
    </w:p>
    <w:p w14:paraId="672514C4" w14:textId="77777777" w:rsidR="00D57F02" w:rsidRDefault="00D57F02" w:rsidP="00AA5566">
      <w:pPr>
        <w:pStyle w:val="Subtitle"/>
        <w:jc w:val="left"/>
        <w:rPr>
          <w:rFonts w:ascii="Arial" w:hAnsi="Arial" w:cs="Arial"/>
          <w:b/>
        </w:rPr>
      </w:pPr>
    </w:p>
    <w:p w14:paraId="4718EE73" w14:textId="62841D8E" w:rsidR="005202E1" w:rsidRDefault="005202E1" w:rsidP="005202E1"/>
    <w:p w14:paraId="51FC98F0" w14:textId="77777777" w:rsidR="005202E1" w:rsidRPr="005202E1" w:rsidRDefault="005202E1" w:rsidP="005202E1"/>
    <w:p w14:paraId="79509EEB" w14:textId="77777777" w:rsidR="00AA5566" w:rsidRDefault="00AA5566" w:rsidP="00AA5566">
      <w:pPr>
        <w:pStyle w:val="Subtitle"/>
        <w:jc w:val="left"/>
        <w:rPr>
          <w:rFonts w:ascii="Arial" w:hAnsi="Arial" w:cs="Arial"/>
          <w:b/>
        </w:rPr>
      </w:pPr>
      <w:r>
        <w:rPr>
          <w:rFonts w:ascii="Arial" w:hAnsi="Arial" w:cs="Arial"/>
          <w:b/>
        </w:rPr>
        <w:lastRenderedPageBreak/>
        <w:t>BACKGROUND:</w:t>
      </w:r>
    </w:p>
    <w:p w14:paraId="3FA2988A" w14:textId="77777777" w:rsidR="00D57F02" w:rsidRPr="0050375B" w:rsidRDefault="00D57F02" w:rsidP="00D57F02">
      <w:pPr>
        <w:pStyle w:val="ListParagraph"/>
        <w:numPr>
          <w:ilvl w:val="0"/>
          <w:numId w:val="2"/>
        </w:numPr>
        <w:spacing w:after="0" w:line="240" w:lineRule="auto"/>
        <w:rPr>
          <w:rFonts w:ascii="Arial" w:hAnsi="Arial" w:cs="Arial"/>
          <w:b/>
          <w:sz w:val="24"/>
          <w:szCs w:val="24"/>
        </w:rPr>
      </w:pPr>
      <w:r w:rsidRPr="0050375B">
        <w:rPr>
          <w:rFonts w:ascii="Arial" w:hAnsi="Arial" w:cs="Arial"/>
          <w:b/>
          <w:sz w:val="24"/>
          <w:szCs w:val="24"/>
        </w:rPr>
        <w:t>Proposed Amendment 1 to the Growth Plan</w:t>
      </w:r>
    </w:p>
    <w:p w14:paraId="5BC2ACF1" w14:textId="77777777" w:rsidR="00D57F02" w:rsidRDefault="00D57F02" w:rsidP="00D57F02">
      <w:pPr>
        <w:spacing w:after="0" w:line="240" w:lineRule="auto"/>
        <w:rPr>
          <w:rFonts w:ascii="Arial" w:hAnsi="Arial" w:cs="Arial"/>
          <w:sz w:val="24"/>
          <w:szCs w:val="24"/>
        </w:rPr>
      </w:pPr>
    </w:p>
    <w:p w14:paraId="56717CFB" w14:textId="77777777" w:rsidR="00D57F02" w:rsidRDefault="00D57F02" w:rsidP="00D57F02">
      <w:pPr>
        <w:spacing w:after="0" w:line="240" w:lineRule="auto"/>
        <w:rPr>
          <w:rFonts w:ascii="Arial" w:hAnsi="Arial" w:cs="Arial"/>
          <w:sz w:val="24"/>
          <w:szCs w:val="24"/>
        </w:rPr>
      </w:pPr>
      <w:r>
        <w:rPr>
          <w:rFonts w:ascii="Arial" w:hAnsi="Arial" w:cs="Arial"/>
          <w:sz w:val="24"/>
          <w:szCs w:val="24"/>
        </w:rPr>
        <w:t>On June 16, 2020 the Province posted its proposed amendment to the Growth Plan on the Environmental Registry of Ontario (ERO) website (</w:t>
      </w:r>
      <w:hyperlink r:id="rId11" w:history="1">
        <w:r w:rsidRPr="002F1EAE">
          <w:rPr>
            <w:rStyle w:val="Hyperlink"/>
            <w:rFonts w:ascii="Arial" w:hAnsi="Arial" w:cs="Arial"/>
            <w:sz w:val="24"/>
            <w:szCs w:val="24"/>
          </w:rPr>
          <w:t>https://ero.ontario.ca/notice/019-1680</w:t>
        </w:r>
      </w:hyperlink>
      <w:r>
        <w:rPr>
          <w:rFonts w:ascii="Arial" w:hAnsi="Arial" w:cs="Arial"/>
          <w:sz w:val="24"/>
          <w:szCs w:val="24"/>
        </w:rPr>
        <w:t>) for public review. The deadline for comments is set for July 31, providing a 45 day window for all those interested. The key objective of the amendment is for the Growth Plan to better align with the ‘More Home, More Choice: Ontario’s Housing Supply Action Plan’ by:</w:t>
      </w:r>
    </w:p>
    <w:p w14:paraId="5AD48472" w14:textId="77777777" w:rsidR="00D57F02" w:rsidRDefault="00D57F02" w:rsidP="00D57F02">
      <w:pPr>
        <w:spacing w:after="0" w:line="240" w:lineRule="auto"/>
        <w:rPr>
          <w:rFonts w:ascii="Arial" w:hAnsi="Arial" w:cs="Arial"/>
          <w:sz w:val="24"/>
          <w:szCs w:val="24"/>
        </w:rPr>
      </w:pPr>
    </w:p>
    <w:p w14:paraId="25E9EC65" w14:textId="77777777" w:rsidR="00D57F02" w:rsidRDefault="00D57F02" w:rsidP="00D57F02">
      <w:pPr>
        <w:pStyle w:val="ListParagraph"/>
        <w:numPr>
          <w:ilvl w:val="0"/>
          <w:numId w:val="3"/>
        </w:numPr>
        <w:spacing w:after="0" w:line="240" w:lineRule="auto"/>
        <w:rPr>
          <w:rFonts w:ascii="Arial" w:hAnsi="Arial" w:cs="Arial"/>
          <w:sz w:val="24"/>
          <w:szCs w:val="24"/>
        </w:rPr>
      </w:pPr>
      <w:r>
        <w:rPr>
          <w:rFonts w:ascii="Arial" w:hAnsi="Arial" w:cs="Arial"/>
          <w:sz w:val="24"/>
          <w:szCs w:val="24"/>
        </w:rPr>
        <w:t>Providing updated population and employment forecasts that extend the planning horizon to 2051; and,</w:t>
      </w:r>
    </w:p>
    <w:p w14:paraId="1A1EB683" w14:textId="77777777" w:rsidR="00D57F02" w:rsidRDefault="00D57F02" w:rsidP="00D57F02">
      <w:pPr>
        <w:pStyle w:val="ListParagraph"/>
        <w:numPr>
          <w:ilvl w:val="0"/>
          <w:numId w:val="3"/>
        </w:numPr>
        <w:spacing w:after="0" w:line="240" w:lineRule="auto"/>
        <w:rPr>
          <w:rFonts w:ascii="Arial" w:hAnsi="Arial" w:cs="Arial"/>
          <w:sz w:val="24"/>
          <w:szCs w:val="24"/>
        </w:rPr>
      </w:pPr>
      <w:r>
        <w:rPr>
          <w:rFonts w:ascii="Arial" w:hAnsi="Arial" w:cs="Arial"/>
          <w:sz w:val="24"/>
          <w:szCs w:val="24"/>
        </w:rPr>
        <w:t>Recommending policy updates to increase housing supply, create jobs and better align with infrastructure planning.</w:t>
      </w:r>
    </w:p>
    <w:p w14:paraId="79509EEC" w14:textId="77777777" w:rsidR="00AA5566" w:rsidRDefault="00AA5566" w:rsidP="00AA5566">
      <w:pPr>
        <w:spacing w:after="0" w:line="240" w:lineRule="auto"/>
        <w:contextualSpacing/>
        <w:rPr>
          <w:rFonts w:ascii="Arial" w:hAnsi="Arial" w:cs="Arial"/>
          <w:sz w:val="24"/>
          <w:szCs w:val="24"/>
        </w:rPr>
      </w:pPr>
    </w:p>
    <w:p w14:paraId="5027DCC2" w14:textId="77777777" w:rsidR="00D57F02" w:rsidRPr="00467597" w:rsidRDefault="00D57F02" w:rsidP="00D57F02">
      <w:pPr>
        <w:spacing w:after="0" w:line="240" w:lineRule="auto"/>
        <w:rPr>
          <w:rFonts w:ascii="Arial" w:hAnsi="Arial" w:cs="Arial"/>
          <w:b/>
          <w:sz w:val="24"/>
          <w:szCs w:val="24"/>
        </w:rPr>
      </w:pPr>
      <w:r w:rsidRPr="00467597">
        <w:rPr>
          <w:rFonts w:ascii="Arial" w:hAnsi="Arial" w:cs="Arial"/>
          <w:b/>
          <w:sz w:val="24"/>
          <w:szCs w:val="24"/>
        </w:rPr>
        <w:t>1.1 Proposed Changes under Growth Plan Amendment 1</w:t>
      </w:r>
    </w:p>
    <w:p w14:paraId="244CEE6C" w14:textId="77777777" w:rsidR="00D57F02" w:rsidRDefault="00D57F02" w:rsidP="00D57F02">
      <w:pPr>
        <w:spacing w:after="0"/>
      </w:pPr>
    </w:p>
    <w:p w14:paraId="366366F3" w14:textId="77777777" w:rsidR="00D57F02" w:rsidRDefault="00D57F02" w:rsidP="00D57F02">
      <w:pPr>
        <w:spacing w:after="0"/>
        <w:rPr>
          <w:rFonts w:ascii="Arial" w:hAnsi="Arial" w:cs="Arial"/>
          <w:sz w:val="24"/>
          <w:szCs w:val="24"/>
        </w:rPr>
      </w:pPr>
      <w:r>
        <w:rPr>
          <w:rFonts w:ascii="Arial" w:hAnsi="Arial" w:cs="Arial"/>
          <w:sz w:val="24"/>
          <w:szCs w:val="24"/>
        </w:rPr>
        <w:t>Proposed changes to the Growth Plan under the proposed amendment came in the form of modified policy text, updated population and employment forecasts, and policies revised to align with recent changes to other Provincial plans.</w:t>
      </w:r>
      <w:r w:rsidRPr="0062301C">
        <w:rPr>
          <w:rFonts w:ascii="Arial" w:hAnsi="Arial" w:cs="Arial"/>
          <w:sz w:val="24"/>
          <w:szCs w:val="24"/>
        </w:rPr>
        <w:t xml:space="preserve"> </w:t>
      </w:r>
      <w:r>
        <w:rPr>
          <w:rFonts w:ascii="Arial" w:hAnsi="Arial" w:cs="Arial"/>
          <w:sz w:val="24"/>
          <w:szCs w:val="24"/>
        </w:rPr>
        <w:t>Key changes that were flagged by HAPP throughout the HAPP Joint Submission process include:</w:t>
      </w:r>
    </w:p>
    <w:p w14:paraId="1E713738" w14:textId="77777777" w:rsidR="00D57F02" w:rsidRDefault="00D57F02" w:rsidP="00D57F02">
      <w:pPr>
        <w:spacing w:after="0"/>
        <w:rPr>
          <w:rFonts w:ascii="Arial" w:hAnsi="Arial" w:cs="Arial"/>
          <w:sz w:val="24"/>
          <w:szCs w:val="24"/>
        </w:rPr>
      </w:pPr>
    </w:p>
    <w:p w14:paraId="786028FF" w14:textId="77777777" w:rsidR="00D57F02" w:rsidRDefault="00D57F02" w:rsidP="00D57F02">
      <w:pPr>
        <w:pStyle w:val="ListParagraph"/>
        <w:numPr>
          <w:ilvl w:val="0"/>
          <w:numId w:val="4"/>
        </w:numPr>
        <w:spacing w:after="0"/>
        <w:rPr>
          <w:rFonts w:ascii="Arial" w:hAnsi="Arial" w:cs="Arial"/>
          <w:sz w:val="24"/>
          <w:szCs w:val="24"/>
        </w:rPr>
      </w:pPr>
      <w:r w:rsidRPr="00790A99">
        <w:rPr>
          <w:rFonts w:ascii="Arial" w:hAnsi="Arial" w:cs="Arial"/>
          <w:b/>
          <w:sz w:val="24"/>
          <w:szCs w:val="24"/>
        </w:rPr>
        <w:t>Growth forecasts:</w:t>
      </w:r>
      <w:r>
        <w:rPr>
          <w:rFonts w:ascii="Arial" w:hAnsi="Arial" w:cs="Arial"/>
          <w:sz w:val="24"/>
          <w:szCs w:val="24"/>
        </w:rPr>
        <w:t xml:space="preserve"> A proposed new Schedule 3 to the Growth Plan will include population and employment forecasts to 2051, with previously published 2031 and 2041 numbers unchanged. The forecasts are presented in three scenarios. The ‘Reference’ scenario, which forecasts a Halton population of 1,100,000 and 500,000 jobs by 2051, is presented as the most likely scenario, with slightly different High and Low scenarios also included (see Table 1 below). Additionally, two options for the forecast scenarios are also presented as ‘Mock A’ (which include existing 2031 and 2041 targets), and ‘Mock B’ (which reference the 2051 forecasts only). The intent of the ‘Mock B’ scenario is to provide one long-term forecast for population and employment, leaving municipalities with greater flexibility to phase it in accordingly. </w:t>
      </w:r>
    </w:p>
    <w:p w14:paraId="1C11ADAF" w14:textId="77777777" w:rsidR="00D57F02" w:rsidRDefault="00D57F02" w:rsidP="00D57F02">
      <w:pPr>
        <w:spacing w:after="0"/>
        <w:rPr>
          <w:rFonts w:ascii="Arial" w:hAnsi="Arial" w:cs="Arial"/>
          <w:sz w:val="24"/>
          <w:szCs w:val="24"/>
        </w:rPr>
      </w:pPr>
    </w:p>
    <w:p w14:paraId="6D40CD8A" w14:textId="77777777" w:rsidR="00D57F02" w:rsidRPr="005603F9" w:rsidRDefault="00D57F02" w:rsidP="00D57F02">
      <w:pPr>
        <w:spacing w:after="0"/>
        <w:rPr>
          <w:rFonts w:ascii="Arial" w:hAnsi="Arial" w:cs="Arial"/>
          <w:szCs w:val="24"/>
        </w:rPr>
      </w:pPr>
      <w:r w:rsidRPr="005603F9">
        <w:rPr>
          <w:rFonts w:ascii="Arial" w:hAnsi="Arial" w:cs="Arial"/>
          <w:b/>
          <w:szCs w:val="24"/>
        </w:rPr>
        <w:t>Table 1:</w:t>
      </w:r>
      <w:r w:rsidRPr="005603F9">
        <w:rPr>
          <w:rFonts w:ascii="Arial" w:hAnsi="Arial" w:cs="Arial"/>
          <w:szCs w:val="24"/>
        </w:rPr>
        <w:t xml:space="preserve"> </w:t>
      </w:r>
      <w:r>
        <w:rPr>
          <w:rFonts w:ascii="Arial" w:hAnsi="Arial" w:cs="Arial"/>
          <w:szCs w:val="24"/>
        </w:rPr>
        <w:t xml:space="preserve">Halton Region </w:t>
      </w:r>
      <w:r w:rsidRPr="005603F9">
        <w:rPr>
          <w:rFonts w:ascii="Arial" w:hAnsi="Arial" w:cs="Arial"/>
          <w:szCs w:val="24"/>
        </w:rPr>
        <w:t xml:space="preserve">Population and Employment Forecasts for Proposed Amendment 1 </w:t>
      </w:r>
      <w:r>
        <w:rPr>
          <w:rFonts w:ascii="Arial" w:hAnsi="Arial" w:cs="Arial"/>
          <w:szCs w:val="24"/>
        </w:rPr>
        <w:t>to the Growth Plan</w:t>
      </w:r>
    </w:p>
    <w:tbl>
      <w:tblPr>
        <w:tblStyle w:val="TableGrid1"/>
        <w:tblW w:w="0" w:type="auto"/>
        <w:jc w:val="center"/>
        <w:tblLook w:val="04A0" w:firstRow="1" w:lastRow="0" w:firstColumn="1" w:lastColumn="0" w:noHBand="0" w:noVBand="1"/>
      </w:tblPr>
      <w:tblGrid>
        <w:gridCol w:w="1246"/>
        <w:gridCol w:w="1349"/>
        <w:gridCol w:w="1246"/>
        <w:gridCol w:w="1246"/>
        <w:gridCol w:w="1367"/>
        <w:gridCol w:w="1246"/>
        <w:gridCol w:w="1246"/>
      </w:tblGrid>
      <w:tr w:rsidR="00D57F02" w:rsidRPr="005603F9" w14:paraId="55662EFE" w14:textId="77777777" w:rsidTr="00B441CE">
        <w:trPr>
          <w:jc w:val="center"/>
        </w:trPr>
        <w:tc>
          <w:tcPr>
            <w:tcW w:w="1246" w:type="dxa"/>
            <w:vMerge w:val="restart"/>
            <w:vAlign w:val="center"/>
          </w:tcPr>
          <w:p w14:paraId="6A1A2576" w14:textId="77777777" w:rsidR="00D57F02" w:rsidRPr="005603F9" w:rsidRDefault="00D57F02" w:rsidP="00B441CE">
            <w:pPr>
              <w:spacing w:after="0" w:line="240" w:lineRule="auto"/>
              <w:contextualSpacing/>
              <w:rPr>
                <w:rFonts w:ascii="Arial" w:hAnsi="Arial" w:cs="Arial"/>
                <w:b/>
                <w:lang w:val="en-CA"/>
              </w:rPr>
            </w:pPr>
            <w:r w:rsidRPr="005603F9">
              <w:rPr>
                <w:rFonts w:ascii="Arial" w:hAnsi="Arial" w:cs="Arial"/>
                <w:b/>
                <w:lang w:val="en-CA"/>
              </w:rPr>
              <w:t>Scenario</w:t>
            </w:r>
          </w:p>
        </w:tc>
        <w:tc>
          <w:tcPr>
            <w:tcW w:w="3841" w:type="dxa"/>
            <w:gridSpan w:val="3"/>
          </w:tcPr>
          <w:p w14:paraId="081C034D" w14:textId="77777777" w:rsidR="00D57F02" w:rsidRPr="005603F9" w:rsidRDefault="00D57F02" w:rsidP="00B441CE">
            <w:pPr>
              <w:spacing w:after="0" w:line="240" w:lineRule="auto"/>
              <w:contextualSpacing/>
              <w:jc w:val="center"/>
              <w:rPr>
                <w:rFonts w:ascii="Arial" w:hAnsi="Arial" w:cs="Arial"/>
                <w:b/>
                <w:lang w:val="en-CA"/>
              </w:rPr>
            </w:pPr>
            <w:r w:rsidRPr="005603F9">
              <w:rPr>
                <w:rFonts w:ascii="Arial" w:hAnsi="Arial" w:cs="Arial"/>
                <w:b/>
                <w:lang w:val="en-CA"/>
              </w:rPr>
              <w:t>Population</w:t>
            </w:r>
          </w:p>
        </w:tc>
        <w:tc>
          <w:tcPr>
            <w:tcW w:w="3859" w:type="dxa"/>
            <w:gridSpan w:val="3"/>
          </w:tcPr>
          <w:p w14:paraId="35B755DF" w14:textId="77777777" w:rsidR="00D57F02" w:rsidRPr="005603F9" w:rsidRDefault="00D57F02" w:rsidP="00B441CE">
            <w:pPr>
              <w:spacing w:after="0" w:line="240" w:lineRule="auto"/>
              <w:contextualSpacing/>
              <w:jc w:val="center"/>
              <w:rPr>
                <w:rFonts w:ascii="Arial" w:hAnsi="Arial" w:cs="Arial"/>
                <w:b/>
                <w:lang w:val="en-CA"/>
              </w:rPr>
            </w:pPr>
            <w:r w:rsidRPr="005603F9">
              <w:rPr>
                <w:rFonts w:ascii="Arial" w:hAnsi="Arial" w:cs="Arial"/>
                <w:b/>
                <w:lang w:val="en-CA"/>
              </w:rPr>
              <w:t>Employment</w:t>
            </w:r>
          </w:p>
        </w:tc>
      </w:tr>
      <w:tr w:rsidR="00D57F02" w:rsidRPr="005603F9" w14:paraId="7E4805DC" w14:textId="77777777" w:rsidTr="00B441CE">
        <w:trPr>
          <w:jc w:val="center"/>
        </w:trPr>
        <w:tc>
          <w:tcPr>
            <w:tcW w:w="1246" w:type="dxa"/>
            <w:vMerge/>
          </w:tcPr>
          <w:p w14:paraId="4C259E17" w14:textId="77777777" w:rsidR="00D57F02" w:rsidRPr="005603F9" w:rsidRDefault="00D57F02" w:rsidP="00B441CE">
            <w:pPr>
              <w:spacing w:after="0" w:line="240" w:lineRule="auto"/>
              <w:contextualSpacing/>
              <w:rPr>
                <w:rFonts w:ascii="Arial" w:hAnsi="Arial" w:cs="Arial"/>
                <w:b/>
                <w:lang w:val="en-CA"/>
              </w:rPr>
            </w:pPr>
          </w:p>
        </w:tc>
        <w:tc>
          <w:tcPr>
            <w:tcW w:w="1349" w:type="dxa"/>
          </w:tcPr>
          <w:p w14:paraId="5A2EADB3" w14:textId="77777777" w:rsidR="00D57F02" w:rsidRPr="005603F9" w:rsidRDefault="00D57F02" w:rsidP="00B441CE">
            <w:pPr>
              <w:spacing w:after="0" w:line="240" w:lineRule="auto"/>
              <w:contextualSpacing/>
              <w:jc w:val="center"/>
              <w:rPr>
                <w:rFonts w:ascii="Arial" w:hAnsi="Arial" w:cs="Arial"/>
                <w:b/>
                <w:lang w:val="en-CA"/>
              </w:rPr>
            </w:pPr>
            <w:r w:rsidRPr="005603F9">
              <w:rPr>
                <w:rFonts w:ascii="Arial" w:hAnsi="Arial" w:cs="Arial"/>
                <w:b/>
                <w:lang w:val="en-CA"/>
              </w:rPr>
              <w:t>2031</w:t>
            </w:r>
          </w:p>
        </w:tc>
        <w:tc>
          <w:tcPr>
            <w:tcW w:w="1246" w:type="dxa"/>
          </w:tcPr>
          <w:p w14:paraId="4BCA8198" w14:textId="77777777" w:rsidR="00D57F02" w:rsidRPr="005603F9" w:rsidRDefault="00D57F02" w:rsidP="00B441CE">
            <w:pPr>
              <w:spacing w:after="0" w:line="240" w:lineRule="auto"/>
              <w:contextualSpacing/>
              <w:jc w:val="center"/>
              <w:rPr>
                <w:rFonts w:ascii="Arial" w:hAnsi="Arial" w:cs="Arial"/>
                <w:b/>
                <w:lang w:val="en-CA"/>
              </w:rPr>
            </w:pPr>
            <w:r w:rsidRPr="005603F9">
              <w:rPr>
                <w:rFonts w:ascii="Arial" w:hAnsi="Arial" w:cs="Arial"/>
                <w:b/>
                <w:lang w:val="en-CA"/>
              </w:rPr>
              <w:t>2041</w:t>
            </w:r>
          </w:p>
        </w:tc>
        <w:tc>
          <w:tcPr>
            <w:tcW w:w="1246" w:type="dxa"/>
          </w:tcPr>
          <w:p w14:paraId="32DA8EB1" w14:textId="77777777" w:rsidR="00D57F02" w:rsidRPr="005603F9" w:rsidRDefault="00D57F02" w:rsidP="00B441CE">
            <w:pPr>
              <w:spacing w:after="0" w:line="240" w:lineRule="auto"/>
              <w:contextualSpacing/>
              <w:jc w:val="center"/>
              <w:rPr>
                <w:rFonts w:ascii="Arial" w:hAnsi="Arial" w:cs="Arial"/>
                <w:b/>
                <w:lang w:val="en-CA"/>
              </w:rPr>
            </w:pPr>
            <w:r w:rsidRPr="005603F9">
              <w:rPr>
                <w:rFonts w:ascii="Arial" w:hAnsi="Arial" w:cs="Arial"/>
                <w:b/>
                <w:lang w:val="en-CA"/>
              </w:rPr>
              <w:t>2051</w:t>
            </w:r>
          </w:p>
        </w:tc>
        <w:tc>
          <w:tcPr>
            <w:tcW w:w="1367" w:type="dxa"/>
          </w:tcPr>
          <w:p w14:paraId="05A0FA6A" w14:textId="77777777" w:rsidR="00D57F02" w:rsidRPr="005603F9" w:rsidRDefault="00D57F02" w:rsidP="00B441CE">
            <w:pPr>
              <w:spacing w:after="0" w:line="240" w:lineRule="auto"/>
              <w:contextualSpacing/>
              <w:jc w:val="center"/>
              <w:rPr>
                <w:rFonts w:ascii="Arial" w:hAnsi="Arial" w:cs="Arial"/>
                <w:b/>
                <w:lang w:val="en-CA"/>
              </w:rPr>
            </w:pPr>
            <w:r w:rsidRPr="005603F9">
              <w:rPr>
                <w:rFonts w:ascii="Arial" w:hAnsi="Arial" w:cs="Arial"/>
                <w:b/>
                <w:lang w:val="en-CA"/>
              </w:rPr>
              <w:t>2031</w:t>
            </w:r>
          </w:p>
        </w:tc>
        <w:tc>
          <w:tcPr>
            <w:tcW w:w="1246" w:type="dxa"/>
          </w:tcPr>
          <w:p w14:paraId="0BB36D62" w14:textId="77777777" w:rsidR="00D57F02" w:rsidRPr="005603F9" w:rsidRDefault="00D57F02" w:rsidP="00B441CE">
            <w:pPr>
              <w:spacing w:after="0" w:line="240" w:lineRule="auto"/>
              <w:contextualSpacing/>
              <w:jc w:val="center"/>
              <w:rPr>
                <w:rFonts w:ascii="Arial" w:hAnsi="Arial" w:cs="Arial"/>
                <w:b/>
                <w:lang w:val="en-CA"/>
              </w:rPr>
            </w:pPr>
            <w:r w:rsidRPr="005603F9">
              <w:rPr>
                <w:rFonts w:ascii="Arial" w:hAnsi="Arial" w:cs="Arial"/>
                <w:b/>
                <w:lang w:val="en-CA"/>
              </w:rPr>
              <w:t>2041</w:t>
            </w:r>
          </w:p>
        </w:tc>
        <w:tc>
          <w:tcPr>
            <w:tcW w:w="1246" w:type="dxa"/>
          </w:tcPr>
          <w:p w14:paraId="7D77F6E7" w14:textId="77777777" w:rsidR="00D57F02" w:rsidRPr="005603F9" w:rsidRDefault="00D57F02" w:rsidP="00B441CE">
            <w:pPr>
              <w:spacing w:after="0" w:line="240" w:lineRule="auto"/>
              <w:contextualSpacing/>
              <w:jc w:val="center"/>
              <w:rPr>
                <w:rFonts w:ascii="Arial" w:hAnsi="Arial" w:cs="Arial"/>
                <w:b/>
                <w:lang w:val="en-CA"/>
              </w:rPr>
            </w:pPr>
            <w:r w:rsidRPr="005603F9">
              <w:rPr>
                <w:rFonts w:ascii="Arial" w:hAnsi="Arial" w:cs="Arial"/>
                <w:b/>
                <w:lang w:val="en-CA"/>
              </w:rPr>
              <w:t>2051</w:t>
            </w:r>
          </w:p>
        </w:tc>
      </w:tr>
      <w:tr w:rsidR="00D57F02" w:rsidRPr="005603F9" w14:paraId="7FAF6EA5" w14:textId="77777777" w:rsidTr="00B441CE">
        <w:trPr>
          <w:jc w:val="center"/>
        </w:trPr>
        <w:tc>
          <w:tcPr>
            <w:tcW w:w="1246" w:type="dxa"/>
          </w:tcPr>
          <w:p w14:paraId="2C15B233" w14:textId="77777777" w:rsidR="00D57F02" w:rsidRPr="005603F9" w:rsidRDefault="00D57F02" w:rsidP="00B441CE">
            <w:pPr>
              <w:spacing w:after="0" w:line="240" w:lineRule="auto"/>
              <w:contextualSpacing/>
              <w:rPr>
                <w:rFonts w:ascii="Arial" w:hAnsi="Arial" w:cs="Arial"/>
                <w:lang w:val="en-CA"/>
              </w:rPr>
            </w:pPr>
            <w:r w:rsidRPr="005603F9">
              <w:rPr>
                <w:rFonts w:ascii="Arial" w:hAnsi="Arial" w:cs="Arial"/>
                <w:lang w:val="en-CA"/>
              </w:rPr>
              <w:t>Reference</w:t>
            </w:r>
          </w:p>
        </w:tc>
        <w:tc>
          <w:tcPr>
            <w:tcW w:w="1349" w:type="dxa"/>
          </w:tcPr>
          <w:p w14:paraId="576209F2" w14:textId="77777777" w:rsidR="00D57F02" w:rsidRPr="005603F9" w:rsidRDefault="00D57F02" w:rsidP="00B441CE">
            <w:pPr>
              <w:spacing w:after="0" w:line="240" w:lineRule="auto"/>
              <w:contextualSpacing/>
              <w:jc w:val="center"/>
              <w:rPr>
                <w:rFonts w:ascii="Arial" w:hAnsi="Arial" w:cs="Arial"/>
                <w:lang w:val="en-CA"/>
              </w:rPr>
            </w:pPr>
            <w:r w:rsidRPr="005603F9">
              <w:rPr>
                <w:rFonts w:ascii="Arial" w:hAnsi="Arial" w:cs="Arial"/>
                <w:lang w:val="en-CA"/>
              </w:rPr>
              <w:t>820,000</w:t>
            </w:r>
          </w:p>
        </w:tc>
        <w:tc>
          <w:tcPr>
            <w:tcW w:w="1246" w:type="dxa"/>
          </w:tcPr>
          <w:p w14:paraId="67246453" w14:textId="77777777" w:rsidR="00D57F02" w:rsidRPr="005603F9" w:rsidRDefault="00D57F02" w:rsidP="00B441CE">
            <w:pPr>
              <w:spacing w:after="0" w:line="240" w:lineRule="auto"/>
              <w:contextualSpacing/>
              <w:jc w:val="center"/>
              <w:rPr>
                <w:rFonts w:ascii="Arial" w:hAnsi="Arial" w:cs="Arial"/>
                <w:lang w:val="en-CA"/>
              </w:rPr>
            </w:pPr>
            <w:r w:rsidRPr="005603F9">
              <w:rPr>
                <w:rFonts w:ascii="Arial" w:hAnsi="Arial" w:cs="Arial"/>
                <w:lang w:val="en-CA"/>
              </w:rPr>
              <w:t>1,000,000</w:t>
            </w:r>
          </w:p>
        </w:tc>
        <w:tc>
          <w:tcPr>
            <w:tcW w:w="1246" w:type="dxa"/>
          </w:tcPr>
          <w:p w14:paraId="7A29B511" w14:textId="77777777" w:rsidR="00D57F02" w:rsidRPr="005603F9" w:rsidRDefault="00D57F02" w:rsidP="00B441CE">
            <w:pPr>
              <w:spacing w:after="0" w:line="240" w:lineRule="auto"/>
              <w:contextualSpacing/>
              <w:jc w:val="center"/>
              <w:rPr>
                <w:rFonts w:ascii="Arial" w:hAnsi="Arial" w:cs="Arial"/>
                <w:lang w:val="en-CA"/>
              </w:rPr>
            </w:pPr>
            <w:r w:rsidRPr="005603F9">
              <w:rPr>
                <w:rFonts w:ascii="Arial" w:hAnsi="Arial" w:cs="Arial"/>
                <w:lang w:val="en-CA"/>
              </w:rPr>
              <w:t>1,100,000</w:t>
            </w:r>
          </w:p>
        </w:tc>
        <w:tc>
          <w:tcPr>
            <w:tcW w:w="1367" w:type="dxa"/>
          </w:tcPr>
          <w:p w14:paraId="2D14431D" w14:textId="77777777" w:rsidR="00D57F02" w:rsidRPr="005603F9" w:rsidRDefault="00D57F02" w:rsidP="00B441CE">
            <w:pPr>
              <w:spacing w:after="0" w:line="240" w:lineRule="auto"/>
              <w:contextualSpacing/>
              <w:jc w:val="center"/>
              <w:rPr>
                <w:rFonts w:ascii="Arial" w:hAnsi="Arial" w:cs="Arial"/>
                <w:lang w:val="en-CA"/>
              </w:rPr>
            </w:pPr>
            <w:r w:rsidRPr="005603F9">
              <w:rPr>
                <w:rFonts w:ascii="Arial" w:hAnsi="Arial" w:cs="Arial"/>
                <w:lang w:val="en-CA"/>
              </w:rPr>
              <w:t>390,000</w:t>
            </w:r>
          </w:p>
        </w:tc>
        <w:tc>
          <w:tcPr>
            <w:tcW w:w="1246" w:type="dxa"/>
          </w:tcPr>
          <w:p w14:paraId="7D5F85C6" w14:textId="77777777" w:rsidR="00D57F02" w:rsidRPr="005603F9" w:rsidRDefault="00D57F02" w:rsidP="00B441CE">
            <w:pPr>
              <w:spacing w:after="0" w:line="240" w:lineRule="auto"/>
              <w:contextualSpacing/>
              <w:jc w:val="center"/>
              <w:rPr>
                <w:rFonts w:ascii="Arial" w:hAnsi="Arial" w:cs="Arial"/>
                <w:lang w:val="en-CA"/>
              </w:rPr>
            </w:pPr>
            <w:r w:rsidRPr="005603F9">
              <w:rPr>
                <w:rFonts w:ascii="Arial" w:hAnsi="Arial" w:cs="Arial"/>
                <w:lang w:val="en-CA"/>
              </w:rPr>
              <w:t>470,000</w:t>
            </w:r>
          </w:p>
        </w:tc>
        <w:tc>
          <w:tcPr>
            <w:tcW w:w="1246" w:type="dxa"/>
          </w:tcPr>
          <w:p w14:paraId="549BFFC1" w14:textId="77777777" w:rsidR="00D57F02" w:rsidRPr="005603F9" w:rsidRDefault="00D57F02" w:rsidP="00B441CE">
            <w:pPr>
              <w:spacing w:after="0" w:line="240" w:lineRule="auto"/>
              <w:contextualSpacing/>
              <w:jc w:val="center"/>
              <w:rPr>
                <w:rFonts w:ascii="Arial" w:hAnsi="Arial" w:cs="Arial"/>
                <w:lang w:val="en-CA"/>
              </w:rPr>
            </w:pPr>
            <w:r w:rsidRPr="005603F9">
              <w:rPr>
                <w:rFonts w:ascii="Arial" w:hAnsi="Arial" w:cs="Arial"/>
                <w:lang w:val="en-CA"/>
              </w:rPr>
              <w:t>500,000</w:t>
            </w:r>
          </w:p>
        </w:tc>
      </w:tr>
      <w:tr w:rsidR="00D57F02" w:rsidRPr="005603F9" w14:paraId="767B5ED1" w14:textId="77777777" w:rsidTr="00B441CE">
        <w:trPr>
          <w:jc w:val="center"/>
        </w:trPr>
        <w:tc>
          <w:tcPr>
            <w:tcW w:w="1246" w:type="dxa"/>
          </w:tcPr>
          <w:p w14:paraId="0834A07D" w14:textId="77777777" w:rsidR="00D57F02" w:rsidRPr="005603F9" w:rsidRDefault="00D57F02" w:rsidP="00B441CE">
            <w:pPr>
              <w:spacing w:after="0" w:line="240" w:lineRule="auto"/>
              <w:contextualSpacing/>
              <w:rPr>
                <w:rFonts w:ascii="Arial" w:hAnsi="Arial" w:cs="Arial"/>
                <w:lang w:val="en-CA"/>
              </w:rPr>
            </w:pPr>
            <w:r w:rsidRPr="005603F9">
              <w:rPr>
                <w:rFonts w:ascii="Arial" w:hAnsi="Arial" w:cs="Arial"/>
                <w:lang w:val="en-CA"/>
              </w:rPr>
              <w:t>High</w:t>
            </w:r>
          </w:p>
        </w:tc>
        <w:tc>
          <w:tcPr>
            <w:tcW w:w="1349" w:type="dxa"/>
          </w:tcPr>
          <w:p w14:paraId="65FD884A" w14:textId="77777777" w:rsidR="00D57F02" w:rsidRPr="005603F9" w:rsidRDefault="00D57F02" w:rsidP="00B441CE">
            <w:pPr>
              <w:spacing w:after="0" w:line="240" w:lineRule="auto"/>
              <w:contextualSpacing/>
              <w:jc w:val="center"/>
              <w:rPr>
                <w:rFonts w:ascii="Arial" w:hAnsi="Arial" w:cs="Arial"/>
                <w:lang w:val="en-CA"/>
              </w:rPr>
            </w:pPr>
            <w:r w:rsidRPr="005603F9">
              <w:rPr>
                <w:rFonts w:ascii="Arial" w:hAnsi="Arial" w:cs="Arial"/>
                <w:lang w:val="en-CA"/>
              </w:rPr>
              <w:t>820,000</w:t>
            </w:r>
          </w:p>
        </w:tc>
        <w:tc>
          <w:tcPr>
            <w:tcW w:w="1246" w:type="dxa"/>
          </w:tcPr>
          <w:p w14:paraId="4A627784" w14:textId="77777777" w:rsidR="00D57F02" w:rsidRPr="005603F9" w:rsidRDefault="00D57F02" w:rsidP="00B441CE">
            <w:pPr>
              <w:spacing w:after="0" w:line="240" w:lineRule="auto"/>
              <w:contextualSpacing/>
              <w:jc w:val="center"/>
              <w:rPr>
                <w:rFonts w:ascii="Arial" w:hAnsi="Arial" w:cs="Arial"/>
                <w:lang w:val="en-CA"/>
              </w:rPr>
            </w:pPr>
            <w:r w:rsidRPr="005603F9">
              <w:rPr>
                <w:rFonts w:ascii="Arial" w:hAnsi="Arial" w:cs="Arial"/>
                <w:lang w:val="en-CA"/>
              </w:rPr>
              <w:t>1,000,000</w:t>
            </w:r>
          </w:p>
        </w:tc>
        <w:tc>
          <w:tcPr>
            <w:tcW w:w="1246" w:type="dxa"/>
          </w:tcPr>
          <w:p w14:paraId="3E8FEDBA" w14:textId="77777777" w:rsidR="00D57F02" w:rsidRPr="005603F9" w:rsidRDefault="00D57F02" w:rsidP="00B441CE">
            <w:pPr>
              <w:spacing w:after="0" w:line="240" w:lineRule="auto"/>
              <w:contextualSpacing/>
              <w:jc w:val="center"/>
              <w:rPr>
                <w:rFonts w:ascii="Arial" w:hAnsi="Arial" w:cs="Arial"/>
                <w:lang w:val="en-CA"/>
              </w:rPr>
            </w:pPr>
            <w:r w:rsidRPr="005603F9">
              <w:rPr>
                <w:rFonts w:ascii="Arial" w:hAnsi="Arial" w:cs="Arial"/>
                <w:lang w:val="en-CA"/>
              </w:rPr>
              <w:t>1,160,000</w:t>
            </w:r>
          </w:p>
        </w:tc>
        <w:tc>
          <w:tcPr>
            <w:tcW w:w="1367" w:type="dxa"/>
          </w:tcPr>
          <w:p w14:paraId="329FCC31" w14:textId="77777777" w:rsidR="00D57F02" w:rsidRPr="005603F9" w:rsidRDefault="00D57F02" w:rsidP="00B441CE">
            <w:pPr>
              <w:spacing w:after="0" w:line="240" w:lineRule="auto"/>
              <w:contextualSpacing/>
              <w:jc w:val="center"/>
              <w:rPr>
                <w:rFonts w:ascii="Arial" w:hAnsi="Arial" w:cs="Arial"/>
                <w:lang w:val="en-CA"/>
              </w:rPr>
            </w:pPr>
            <w:r w:rsidRPr="005603F9">
              <w:rPr>
                <w:rFonts w:ascii="Arial" w:hAnsi="Arial" w:cs="Arial"/>
                <w:lang w:val="en-CA"/>
              </w:rPr>
              <w:t>390,000</w:t>
            </w:r>
          </w:p>
        </w:tc>
        <w:tc>
          <w:tcPr>
            <w:tcW w:w="1246" w:type="dxa"/>
          </w:tcPr>
          <w:p w14:paraId="3769428D" w14:textId="77777777" w:rsidR="00D57F02" w:rsidRPr="005603F9" w:rsidRDefault="00D57F02" w:rsidP="00B441CE">
            <w:pPr>
              <w:spacing w:after="0" w:line="240" w:lineRule="auto"/>
              <w:contextualSpacing/>
              <w:jc w:val="center"/>
              <w:rPr>
                <w:rFonts w:ascii="Arial" w:hAnsi="Arial" w:cs="Arial"/>
                <w:lang w:val="en-CA"/>
              </w:rPr>
            </w:pPr>
            <w:r w:rsidRPr="005603F9">
              <w:rPr>
                <w:rFonts w:ascii="Arial" w:hAnsi="Arial" w:cs="Arial"/>
                <w:lang w:val="en-CA"/>
              </w:rPr>
              <w:t>470,000</w:t>
            </w:r>
          </w:p>
        </w:tc>
        <w:tc>
          <w:tcPr>
            <w:tcW w:w="1246" w:type="dxa"/>
          </w:tcPr>
          <w:p w14:paraId="5C2AF164" w14:textId="77777777" w:rsidR="00D57F02" w:rsidRPr="005603F9" w:rsidRDefault="00D57F02" w:rsidP="00B441CE">
            <w:pPr>
              <w:spacing w:after="0" w:line="240" w:lineRule="auto"/>
              <w:contextualSpacing/>
              <w:jc w:val="center"/>
              <w:rPr>
                <w:rFonts w:ascii="Arial" w:hAnsi="Arial" w:cs="Arial"/>
                <w:lang w:val="en-CA"/>
              </w:rPr>
            </w:pPr>
            <w:r w:rsidRPr="005603F9">
              <w:rPr>
                <w:rFonts w:ascii="Arial" w:hAnsi="Arial" w:cs="Arial"/>
                <w:lang w:val="en-CA"/>
              </w:rPr>
              <w:t>520,000</w:t>
            </w:r>
          </w:p>
        </w:tc>
      </w:tr>
      <w:tr w:rsidR="00D57F02" w:rsidRPr="005603F9" w14:paraId="030FB964" w14:textId="77777777" w:rsidTr="00B441CE">
        <w:trPr>
          <w:jc w:val="center"/>
        </w:trPr>
        <w:tc>
          <w:tcPr>
            <w:tcW w:w="1246" w:type="dxa"/>
          </w:tcPr>
          <w:p w14:paraId="75F181CA" w14:textId="77777777" w:rsidR="00D57F02" w:rsidRPr="005603F9" w:rsidRDefault="00D57F02" w:rsidP="00B441CE">
            <w:pPr>
              <w:spacing w:after="0" w:line="240" w:lineRule="auto"/>
              <w:contextualSpacing/>
              <w:rPr>
                <w:rFonts w:ascii="Arial" w:hAnsi="Arial" w:cs="Arial"/>
                <w:lang w:val="en-CA"/>
              </w:rPr>
            </w:pPr>
            <w:r w:rsidRPr="005603F9">
              <w:rPr>
                <w:rFonts w:ascii="Arial" w:hAnsi="Arial" w:cs="Arial"/>
                <w:lang w:val="en-CA"/>
              </w:rPr>
              <w:t>Low</w:t>
            </w:r>
          </w:p>
        </w:tc>
        <w:tc>
          <w:tcPr>
            <w:tcW w:w="1349" w:type="dxa"/>
          </w:tcPr>
          <w:p w14:paraId="4D0D2AFA" w14:textId="77777777" w:rsidR="00D57F02" w:rsidRPr="005603F9" w:rsidRDefault="00D57F02" w:rsidP="00B441CE">
            <w:pPr>
              <w:spacing w:after="0" w:line="240" w:lineRule="auto"/>
              <w:contextualSpacing/>
              <w:jc w:val="center"/>
              <w:rPr>
                <w:rFonts w:ascii="Arial" w:hAnsi="Arial" w:cs="Arial"/>
                <w:lang w:val="en-CA"/>
              </w:rPr>
            </w:pPr>
            <w:r w:rsidRPr="005603F9">
              <w:rPr>
                <w:rFonts w:ascii="Arial" w:hAnsi="Arial" w:cs="Arial"/>
                <w:lang w:val="en-CA"/>
              </w:rPr>
              <w:t>820,000</w:t>
            </w:r>
          </w:p>
        </w:tc>
        <w:tc>
          <w:tcPr>
            <w:tcW w:w="1246" w:type="dxa"/>
          </w:tcPr>
          <w:p w14:paraId="0D3697C2" w14:textId="77777777" w:rsidR="00D57F02" w:rsidRPr="005603F9" w:rsidRDefault="00D57F02" w:rsidP="00B441CE">
            <w:pPr>
              <w:spacing w:after="0" w:line="240" w:lineRule="auto"/>
              <w:contextualSpacing/>
              <w:jc w:val="center"/>
              <w:rPr>
                <w:rFonts w:ascii="Arial" w:hAnsi="Arial" w:cs="Arial"/>
                <w:lang w:val="en-CA"/>
              </w:rPr>
            </w:pPr>
            <w:r w:rsidRPr="005603F9">
              <w:rPr>
                <w:rFonts w:ascii="Arial" w:hAnsi="Arial" w:cs="Arial"/>
                <w:lang w:val="en-CA"/>
              </w:rPr>
              <w:t>1,000,000</w:t>
            </w:r>
          </w:p>
        </w:tc>
        <w:tc>
          <w:tcPr>
            <w:tcW w:w="1246" w:type="dxa"/>
          </w:tcPr>
          <w:p w14:paraId="0268A647" w14:textId="77777777" w:rsidR="00D57F02" w:rsidRPr="005603F9" w:rsidRDefault="00D57F02" w:rsidP="00B441CE">
            <w:pPr>
              <w:spacing w:after="0" w:line="240" w:lineRule="auto"/>
              <w:contextualSpacing/>
              <w:jc w:val="center"/>
              <w:rPr>
                <w:rFonts w:ascii="Arial" w:hAnsi="Arial" w:cs="Arial"/>
                <w:lang w:val="en-CA"/>
              </w:rPr>
            </w:pPr>
            <w:r w:rsidRPr="005603F9">
              <w:rPr>
                <w:rFonts w:ascii="Arial" w:hAnsi="Arial" w:cs="Arial"/>
                <w:lang w:val="en-CA"/>
              </w:rPr>
              <w:t>1,060,000</w:t>
            </w:r>
          </w:p>
        </w:tc>
        <w:tc>
          <w:tcPr>
            <w:tcW w:w="1367" w:type="dxa"/>
          </w:tcPr>
          <w:p w14:paraId="03BF9922" w14:textId="77777777" w:rsidR="00D57F02" w:rsidRPr="005603F9" w:rsidRDefault="00D57F02" w:rsidP="00B441CE">
            <w:pPr>
              <w:spacing w:after="0" w:line="240" w:lineRule="auto"/>
              <w:contextualSpacing/>
              <w:jc w:val="center"/>
              <w:rPr>
                <w:rFonts w:ascii="Arial" w:hAnsi="Arial" w:cs="Arial"/>
                <w:lang w:val="en-CA"/>
              </w:rPr>
            </w:pPr>
            <w:r w:rsidRPr="005603F9">
              <w:rPr>
                <w:rFonts w:ascii="Arial" w:hAnsi="Arial" w:cs="Arial"/>
                <w:lang w:val="en-CA"/>
              </w:rPr>
              <w:t>390,000</w:t>
            </w:r>
          </w:p>
        </w:tc>
        <w:tc>
          <w:tcPr>
            <w:tcW w:w="1246" w:type="dxa"/>
          </w:tcPr>
          <w:p w14:paraId="68626EB0" w14:textId="77777777" w:rsidR="00D57F02" w:rsidRPr="005603F9" w:rsidRDefault="00D57F02" w:rsidP="00B441CE">
            <w:pPr>
              <w:spacing w:after="0" w:line="240" w:lineRule="auto"/>
              <w:contextualSpacing/>
              <w:jc w:val="center"/>
              <w:rPr>
                <w:rFonts w:ascii="Arial" w:hAnsi="Arial" w:cs="Arial"/>
                <w:lang w:val="en-CA"/>
              </w:rPr>
            </w:pPr>
            <w:r w:rsidRPr="005603F9">
              <w:rPr>
                <w:rFonts w:ascii="Arial" w:hAnsi="Arial" w:cs="Arial"/>
                <w:lang w:val="en-CA"/>
              </w:rPr>
              <w:t>470,000</w:t>
            </w:r>
          </w:p>
        </w:tc>
        <w:tc>
          <w:tcPr>
            <w:tcW w:w="1246" w:type="dxa"/>
          </w:tcPr>
          <w:p w14:paraId="233D55C2" w14:textId="77777777" w:rsidR="00D57F02" w:rsidRPr="005603F9" w:rsidRDefault="00D57F02" w:rsidP="00B441CE">
            <w:pPr>
              <w:spacing w:after="0" w:line="240" w:lineRule="auto"/>
              <w:contextualSpacing/>
              <w:jc w:val="center"/>
              <w:rPr>
                <w:rFonts w:ascii="Arial" w:hAnsi="Arial" w:cs="Arial"/>
                <w:lang w:val="en-CA"/>
              </w:rPr>
            </w:pPr>
            <w:r w:rsidRPr="005603F9">
              <w:rPr>
                <w:rFonts w:ascii="Arial" w:hAnsi="Arial" w:cs="Arial"/>
                <w:lang w:val="en-CA"/>
              </w:rPr>
              <w:t>480,000</w:t>
            </w:r>
          </w:p>
        </w:tc>
      </w:tr>
    </w:tbl>
    <w:p w14:paraId="0D47D080" w14:textId="77777777" w:rsidR="00D57F02" w:rsidRPr="005603F9" w:rsidRDefault="00D57F02" w:rsidP="00D57F02">
      <w:pPr>
        <w:spacing w:after="0"/>
        <w:rPr>
          <w:rFonts w:ascii="Arial" w:hAnsi="Arial" w:cs="Arial"/>
          <w:sz w:val="24"/>
          <w:szCs w:val="24"/>
        </w:rPr>
      </w:pPr>
    </w:p>
    <w:p w14:paraId="4939C999" w14:textId="1716878F" w:rsidR="00D57F02" w:rsidRPr="00D57F02" w:rsidRDefault="00D57F02" w:rsidP="00D57F02">
      <w:pPr>
        <w:pStyle w:val="ListParagraph"/>
        <w:numPr>
          <w:ilvl w:val="0"/>
          <w:numId w:val="4"/>
        </w:numPr>
        <w:spacing w:after="0" w:line="240" w:lineRule="auto"/>
        <w:rPr>
          <w:rFonts w:ascii="Arial" w:hAnsi="Arial" w:cs="Arial"/>
          <w:sz w:val="24"/>
          <w:szCs w:val="24"/>
        </w:rPr>
      </w:pPr>
      <w:r w:rsidRPr="00D57F02">
        <w:rPr>
          <w:rFonts w:ascii="Arial" w:hAnsi="Arial" w:cs="Arial"/>
          <w:b/>
          <w:sz w:val="24"/>
          <w:szCs w:val="24"/>
        </w:rPr>
        <w:lastRenderedPageBreak/>
        <w:t>Mineral aggregate operations:</w:t>
      </w:r>
      <w:r w:rsidRPr="00D57F02">
        <w:rPr>
          <w:rFonts w:ascii="Arial" w:hAnsi="Arial" w:cs="Arial"/>
          <w:sz w:val="24"/>
          <w:szCs w:val="24"/>
        </w:rPr>
        <w:t xml:space="preserve"> Amendment 1 proposes to remove the prohibition (in Section 4.2.8.2) on new mineral aggregate operations, wayside pits and quarries from habitats of endangered species and threatened species within the Natural Heritage System for the Growth Plan. This section of the Growth Plan would still prohibit aggregate operations in significant wetlands and woodlands.</w:t>
      </w:r>
    </w:p>
    <w:p w14:paraId="72504FFB" w14:textId="77777777" w:rsidR="00D57F02" w:rsidRDefault="00D57F02" w:rsidP="00D57F02">
      <w:pPr>
        <w:pStyle w:val="ListParagraph"/>
        <w:numPr>
          <w:ilvl w:val="0"/>
          <w:numId w:val="4"/>
        </w:numPr>
        <w:spacing w:after="0"/>
        <w:rPr>
          <w:rFonts w:ascii="Arial" w:hAnsi="Arial" w:cs="Arial"/>
          <w:sz w:val="24"/>
          <w:szCs w:val="24"/>
        </w:rPr>
      </w:pPr>
      <w:r w:rsidRPr="002143E3">
        <w:rPr>
          <w:rFonts w:ascii="Arial" w:hAnsi="Arial" w:cs="Arial"/>
          <w:b/>
          <w:sz w:val="24"/>
          <w:szCs w:val="24"/>
        </w:rPr>
        <w:t>Engagement with Indigenous communities:</w:t>
      </w:r>
      <w:r>
        <w:rPr>
          <w:rFonts w:ascii="Arial" w:hAnsi="Arial" w:cs="Arial"/>
          <w:sz w:val="24"/>
          <w:szCs w:val="24"/>
        </w:rPr>
        <w:t xml:space="preserve"> Policies added and modified in Section 5.2.3 of the Plan would require municipalities to engage and coordinate with Indigenous communities on the implementation of the plan within their boundaries. This represents strengthened policy language as compared to what currently exists in this section, which encourages dialogue with Indigenous communities.</w:t>
      </w:r>
    </w:p>
    <w:p w14:paraId="03D2FD18" w14:textId="77777777" w:rsidR="00DC057A" w:rsidRDefault="00DC057A" w:rsidP="00DC057A">
      <w:pPr>
        <w:pStyle w:val="ListParagraph"/>
        <w:spacing w:after="0"/>
        <w:rPr>
          <w:rFonts w:ascii="Arial" w:hAnsi="Arial" w:cs="Arial"/>
          <w:sz w:val="24"/>
          <w:szCs w:val="24"/>
        </w:rPr>
      </w:pPr>
    </w:p>
    <w:p w14:paraId="0E194779" w14:textId="77777777" w:rsidR="00D57F02" w:rsidRDefault="00D57F02" w:rsidP="00D57F02">
      <w:pPr>
        <w:pStyle w:val="ListParagraph"/>
        <w:numPr>
          <w:ilvl w:val="0"/>
          <w:numId w:val="4"/>
        </w:numPr>
        <w:spacing w:after="0"/>
        <w:rPr>
          <w:rFonts w:ascii="Arial" w:hAnsi="Arial" w:cs="Arial"/>
          <w:sz w:val="24"/>
          <w:szCs w:val="24"/>
        </w:rPr>
      </w:pPr>
      <w:r>
        <w:rPr>
          <w:rFonts w:ascii="Arial" w:hAnsi="Arial" w:cs="Arial"/>
          <w:b/>
          <w:sz w:val="24"/>
          <w:szCs w:val="24"/>
        </w:rPr>
        <w:t>Alignment with the 2020 Provincial Policy Statement:</w:t>
      </w:r>
      <w:r>
        <w:rPr>
          <w:rFonts w:ascii="Arial" w:hAnsi="Arial" w:cs="Arial"/>
          <w:sz w:val="24"/>
          <w:szCs w:val="24"/>
        </w:rPr>
        <w:t xml:space="preserve"> In order to achieve consistency with the recently updated PPS, changes have been proposed under this amendment to add and modify existing definitions included in the Growth Plan.</w:t>
      </w:r>
    </w:p>
    <w:p w14:paraId="79509EED" w14:textId="77777777" w:rsidR="00AA5566" w:rsidRDefault="00AA5566" w:rsidP="00AA5566">
      <w:pPr>
        <w:spacing w:after="0" w:line="240" w:lineRule="auto"/>
        <w:contextualSpacing/>
        <w:rPr>
          <w:rFonts w:ascii="Arial" w:hAnsi="Arial" w:cs="Arial"/>
          <w:sz w:val="24"/>
          <w:szCs w:val="24"/>
        </w:rPr>
      </w:pPr>
    </w:p>
    <w:p w14:paraId="376F3619" w14:textId="77777777" w:rsidR="00D57F02" w:rsidRPr="00E3003C" w:rsidRDefault="00D57F02" w:rsidP="00D57F02">
      <w:pPr>
        <w:pStyle w:val="ListParagraph"/>
        <w:numPr>
          <w:ilvl w:val="0"/>
          <w:numId w:val="2"/>
        </w:numPr>
        <w:spacing w:after="0" w:line="240" w:lineRule="auto"/>
        <w:rPr>
          <w:rFonts w:ascii="Arial" w:hAnsi="Arial" w:cs="Arial"/>
          <w:b/>
          <w:sz w:val="24"/>
          <w:szCs w:val="24"/>
        </w:rPr>
      </w:pPr>
      <w:r w:rsidRPr="00E3003C">
        <w:rPr>
          <w:rFonts w:ascii="Arial" w:hAnsi="Arial" w:cs="Arial"/>
          <w:b/>
          <w:sz w:val="24"/>
          <w:szCs w:val="24"/>
        </w:rPr>
        <w:t>Proposed Land Needs Assessment Methodology</w:t>
      </w:r>
    </w:p>
    <w:p w14:paraId="407B2C5B" w14:textId="77777777" w:rsidR="00D57F02" w:rsidRDefault="00D57F02" w:rsidP="00D57F02">
      <w:pPr>
        <w:spacing w:after="0" w:line="240" w:lineRule="auto"/>
        <w:rPr>
          <w:rFonts w:ascii="Arial" w:hAnsi="Arial" w:cs="Arial"/>
          <w:sz w:val="24"/>
          <w:szCs w:val="24"/>
        </w:rPr>
      </w:pPr>
    </w:p>
    <w:p w14:paraId="50617FA4" w14:textId="77777777" w:rsidR="00D57F02" w:rsidRDefault="00D57F02" w:rsidP="00D57F02">
      <w:pPr>
        <w:spacing w:after="0" w:line="240" w:lineRule="auto"/>
        <w:rPr>
          <w:rFonts w:ascii="Arial" w:hAnsi="Arial" w:cs="Arial"/>
          <w:sz w:val="24"/>
          <w:szCs w:val="24"/>
        </w:rPr>
      </w:pPr>
      <w:r>
        <w:rPr>
          <w:rFonts w:ascii="Arial" w:hAnsi="Arial" w:cs="Arial"/>
          <w:sz w:val="24"/>
          <w:szCs w:val="24"/>
        </w:rPr>
        <w:t>In conjunction with Proposed Growth Plan Amendment 1, the Proposed Land Needs Assessment (LNA) Methodology was released in a separate ERO posting (</w:t>
      </w:r>
      <w:hyperlink r:id="rId12" w:history="1">
        <w:r w:rsidRPr="00357B41">
          <w:rPr>
            <w:rStyle w:val="Hyperlink"/>
            <w:rFonts w:ascii="Arial" w:hAnsi="Arial" w:cs="Arial"/>
            <w:sz w:val="24"/>
            <w:szCs w:val="24"/>
          </w:rPr>
          <w:t>https://ero.ontario.ca/notice/019-1679</w:t>
        </w:r>
      </w:hyperlink>
      <w:r>
        <w:rPr>
          <w:rFonts w:ascii="Arial" w:hAnsi="Arial" w:cs="Arial"/>
          <w:sz w:val="24"/>
          <w:szCs w:val="24"/>
        </w:rPr>
        <w:t>) on June 16</w:t>
      </w:r>
      <w:r w:rsidRPr="001C2AF1">
        <w:rPr>
          <w:rFonts w:ascii="Arial" w:hAnsi="Arial" w:cs="Arial"/>
          <w:sz w:val="24"/>
          <w:szCs w:val="24"/>
          <w:vertAlign w:val="superscript"/>
        </w:rPr>
        <w:t>th</w:t>
      </w:r>
      <w:r>
        <w:rPr>
          <w:rFonts w:ascii="Arial" w:hAnsi="Arial" w:cs="Arial"/>
          <w:sz w:val="24"/>
          <w:szCs w:val="24"/>
        </w:rPr>
        <w:t>, with the same comment period. Under Growth Plan Section 2.2.1.5, the Province is required to establish this methodology which, in turn, is to be used by upper-tier municipalities to establish how much land they require to meet population and employment forecasts as set out in the Plan. The Proposed Land Needs Assessment Methodology would replace what was released in 2018 as part of the 2017 Growth Plan.</w:t>
      </w:r>
    </w:p>
    <w:p w14:paraId="476A9596" w14:textId="77777777" w:rsidR="00D57F02" w:rsidRDefault="00D57F02" w:rsidP="00D57F02">
      <w:pPr>
        <w:spacing w:after="0" w:line="240" w:lineRule="auto"/>
        <w:rPr>
          <w:rFonts w:ascii="Arial" w:hAnsi="Arial" w:cs="Arial"/>
          <w:sz w:val="24"/>
          <w:szCs w:val="24"/>
        </w:rPr>
      </w:pPr>
    </w:p>
    <w:p w14:paraId="5EF9819E" w14:textId="77777777" w:rsidR="00D57F02" w:rsidRDefault="00D57F02" w:rsidP="00D57F02">
      <w:pPr>
        <w:spacing w:after="0" w:line="240" w:lineRule="auto"/>
        <w:rPr>
          <w:rFonts w:ascii="Arial" w:hAnsi="Arial" w:cs="Arial"/>
          <w:sz w:val="24"/>
          <w:szCs w:val="24"/>
        </w:rPr>
      </w:pPr>
      <w:r>
        <w:rPr>
          <w:rFonts w:ascii="Arial" w:hAnsi="Arial" w:cs="Arial"/>
          <w:sz w:val="24"/>
          <w:szCs w:val="24"/>
        </w:rPr>
        <w:t>Completed as part of a Municipal Comprehensive Review, the Land Needs Assessment will determine the land required by the municipality to:</w:t>
      </w:r>
    </w:p>
    <w:p w14:paraId="24EE7A58" w14:textId="77777777" w:rsidR="00D57F02" w:rsidRDefault="00D57F02" w:rsidP="00D57F02">
      <w:pPr>
        <w:spacing w:after="0" w:line="240" w:lineRule="auto"/>
        <w:rPr>
          <w:rFonts w:ascii="Arial" w:hAnsi="Arial" w:cs="Arial"/>
          <w:sz w:val="24"/>
          <w:szCs w:val="24"/>
        </w:rPr>
      </w:pPr>
    </w:p>
    <w:p w14:paraId="6BD843AE" w14:textId="77777777" w:rsidR="00D57F02" w:rsidRDefault="00D57F02" w:rsidP="00D57F02">
      <w:pPr>
        <w:pStyle w:val="ListParagraph"/>
        <w:numPr>
          <w:ilvl w:val="0"/>
          <w:numId w:val="5"/>
        </w:numPr>
        <w:spacing w:after="0" w:line="240" w:lineRule="auto"/>
        <w:rPr>
          <w:rFonts w:ascii="Arial" w:hAnsi="Arial" w:cs="Arial"/>
          <w:sz w:val="24"/>
          <w:szCs w:val="24"/>
        </w:rPr>
      </w:pPr>
      <w:r>
        <w:rPr>
          <w:rFonts w:ascii="Arial" w:hAnsi="Arial" w:cs="Arial"/>
          <w:sz w:val="24"/>
          <w:szCs w:val="24"/>
        </w:rPr>
        <w:t>Accommodate community and employment land needs;</w:t>
      </w:r>
    </w:p>
    <w:p w14:paraId="62A94F83" w14:textId="77777777" w:rsidR="00D57F02" w:rsidRDefault="00D57F02" w:rsidP="00D57F02">
      <w:pPr>
        <w:pStyle w:val="ListParagraph"/>
        <w:numPr>
          <w:ilvl w:val="0"/>
          <w:numId w:val="5"/>
        </w:numPr>
        <w:spacing w:after="0" w:line="240" w:lineRule="auto"/>
        <w:rPr>
          <w:rFonts w:ascii="Arial" w:hAnsi="Arial" w:cs="Arial"/>
          <w:sz w:val="24"/>
          <w:szCs w:val="24"/>
        </w:rPr>
      </w:pPr>
      <w:r>
        <w:rPr>
          <w:rFonts w:ascii="Arial" w:hAnsi="Arial" w:cs="Arial"/>
          <w:sz w:val="24"/>
          <w:szCs w:val="24"/>
        </w:rPr>
        <w:t>Accommodate servicing and infrastructure expansion for all community needs; and,</w:t>
      </w:r>
    </w:p>
    <w:p w14:paraId="145C449C" w14:textId="77777777" w:rsidR="00D57F02" w:rsidRDefault="00D57F02" w:rsidP="00D57F02">
      <w:pPr>
        <w:pStyle w:val="ListParagraph"/>
        <w:numPr>
          <w:ilvl w:val="0"/>
          <w:numId w:val="5"/>
        </w:numPr>
        <w:spacing w:after="0" w:line="240" w:lineRule="auto"/>
        <w:rPr>
          <w:rFonts w:ascii="Arial" w:hAnsi="Arial" w:cs="Arial"/>
          <w:sz w:val="24"/>
          <w:szCs w:val="24"/>
        </w:rPr>
      </w:pPr>
      <w:r>
        <w:rPr>
          <w:rFonts w:ascii="Arial" w:hAnsi="Arial" w:cs="Arial"/>
          <w:sz w:val="24"/>
          <w:szCs w:val="24"/>
        </w:rPr>
        <w:t>Determine whether settlement area boundary expansion is needed to accommodate forecasted growth under the Growth Plan.</w:t>
      </w:r>
    </w:p>
    <w:p w14:paraId="4098DD8E" w14:textId="77777777" w:rsidR="00D57F02" w:rsidRDefault="00D57F02" w:rsidP="00AA5566">
      <w:pPr>
        <w:spacing w:after="0" w:line="240" w:lineRule="auto"/>
        <w:contextualSpacing/>
        <w:rPr>
          <w:rFonts w:ascii="Arial" w:hAnsi="Arial" w:cs="Arial"/>
          <w:sz w:val="24"/>
          <w:szCs w:val="24"/>
        </w:rPr>
      </w:pPr>
    </w:p>
    <w:p w14:paraId="12480D06" w14:textId="15A9798C" w:rsidR="005202E1" w:rsidRDefault="005202E1" w:rsidP="00AA5566">
      <w:pPr>
        <w:spacing w:after="0" w:line="240" w:lineRule="auto"/>
        <w:contextualSpacing/>
        <w:rPr>
          <w:rFonts w:ascii="Arial" w:hAnsi="Arial" w:cs="Arial"/>
          <w:sz w:val="24"/>
          <w:szCs w:val="24"/>
        </w:rPr>
      </w:pPr>
    </w:p>
    <w:p w14:paraId="183A750F" w14:textId="77777777" w:rsidR="005202E1" w:rsidRDefault="005202E1" w:rsidP="00AA5566">
      <w:pPr>
        <w:spacing w:after="0" w:line="240" w:lineRule="auto"/>
        <w:contextualSpacing/>
        <w:rPr>
          <w:rFonts w:ascii="Arial" w:hAnsi="Arial" w:cs="Arial"/>
          <w:sz w:val="24"/>
          <w:szCs w:val="24"/>
        </w:rPr>
      </w:pPr>
    </w:p>
    <w:p w14:paraId="1A8F66DD" w14:textId="77777777" w:rsidR="005202E1" w:rsidRDefault="005202E1" w:rsidP="00AA5566">
      <w:pPr>
        <w:spacing w:after="0" w:line="240" w:lineRule="auto"/>
        <w:contextualSpacing/>
        <w:rPr>
          <w:rFonts w:ascii="Arial" w:hAnsi="Arial" w:cs="Arial"/>
          <w:sz w:val="24"/>
          <w:szCs w:val="24"/>
        </w:rPr>
      </w:pPr>
    </w:p>
    <w:p w14:paraId="12048F0F" w14:textId="77777777" w:rsidR="005202E1" w:rsidRDefault="005202E1" w:rsidP="00AA5566">
      <w:pPr>
        <w:spacing w:after="0" w:line="240" w:lineRule="auto"/>
        <w:contextualSpacing/>
        <w:rPr>
          <w:rFonts w:ascii="Arial" w:hAnsi="Arial" w:cs="Arial"/>
          <w:sz w:val="24"/>
          <w:szCs w:val="24"/>
        </w:rPr>
      </w:pPr>
    </w:p>
    <w:p w14:paraId="7990BD6A" w14:textId="77777777" w:rsidR="005202E1" w:rsidRDefault="005202E1" w:rsidP="00AA5566">
      <w:pPr>
        <w:spacing w:after="0" w:line="240" w:lineRule="auto"/>
        <w:contextualSpacing/>
        <w:rPr>
          <w:rFonts w:ascii="Arial" w:hAnsi="Arial" w:cs="Arial"/>
          <w:sz w:val="24"/>
          <w:szCs w:val="24"/>
        </w:rPr>
      </w:pPr>
    </w:p>
    <w:p w14:paraId="0AD6818E" w14:textId="77777777" w:rsidR="005202E1" w:rsidRDefault="005202E1" w:rsidP="00AA5566">
      <w:pPr>
        <w:spacing w:after="0" w:line="240" w:lineRule="auto"/>
        <w:contextualSpacing/>
        <w:rPr>
          <w:rFonts w:ascii="Arial" w:hAnsi="Arial" w:cs="Arial"/>
          <w:sz w:val="24"/>
          <w:szCs w:val="24"/>
        </w:rPr>
      </w:pPr>
    </w:p>
    <w:p w14:paraId="71CCADB7" w14:textId="77777777" w:rsidR="00DC057A" w:rsidRPr="00A67793" w:rsidRDefault="00DC057A" w:rsidP="00DC057A">
      <w:pPr>
        <w:spacing w:after="0" w:line="240" w:lineRule="auto"/>
        <w:rPr>
          <w:rFonts w:ascii="Arial" w:hAnsi="Arial" w:cs="Arial"/>
          <w:b/>
          <w:sz w:val="24"/>
          <w:szCs w:val="24"/>
        </w:rPr>
      </w:pPr>
      <w:r w:rsidRPr="00A67793">
        <w:rPr>
          <w:rFonts w:ascii="Arial" w:hAnsi="Arial" w:cs="Arial"/>
          <w:b/>
          <w:sz w:val="24"/>
          <w:szCs w:val="24"/>
        </w:rPr>
        <w:lastRenderedPageBreak/>
        <w:t>2.1 Key Components of the Land Needs Assessment Methodology</w:t>
      </w:r>
    </w:p>
    <w:p w14:paraId="543128D3" w14:textId="77777777" w:rsidR="00DC057A" w:rsidRDefault="00DC057A" w:rsidP="00DC057A">
      <w:pPr>
        <w:spacing w:after="0" w:line="240" w:lineRule="auto"/>
        <w:rPr>
          <w:rFonts w:ascii="Arial" w:hAnsi="Arial" w:cs="Arial"/>
          <w:sz w:val="24"/>
          <w:szCs w:val="24"/>
        </w:rPr>
      </w:pPr>
    </w:p>
    <w:p w14:paraId="7CF7FB18" w14:textId="77777777" w:rsidR="00DC057A" w:rsidRDefault="00DC057A" w:rsidP="00DC057A">
      <w:pPr>
        <w:spacing w:after="0" w:line="240" w:lineRule="auto"/>
        <w:rPr>
          <w:rFonts w:ascii="Arial" w:hAnsi="Arial" w:cs="Arial"/>
          <w:sz w:val="24"/>
          <w:szCs w:val="24"/>
        </w:rPr>
      </w:pPr>
      <w:r>
        <w:rPr>
          <w:rFonts w:ascii="Arial" w:hAnsi="Arial" w:cs="Arial"/>
          <w:sz w:val="24"/>
          <w:szCs w:val="24"/>
        </w:rPr>
        <w:t>Two major components make up the LNA under the Growth Plan; Community Area Land Needs and Employment Area Land Needs:</w:t>
      </w:r>
    </w:p>
    <w:p w14:paraId="5068BCC2" w14:textId="77777777" w:rsidR="00DC057A" w:rsidRDefault="00DC057A" w:rsidP="00DC057A">
      <w:pPr>
        <w:spacing w:after="0" w:line="240" w:lineRule="auto"/>
        <w:rPr>
          <w:rFonts w:ascii="Arial" w:hAnsi="Arial" w:cs="Arial"/>
          <w:sz w:val="24"/>
          <w:szCs w:val="24"/>
        </w:rPr>
      </w:pPr>
    </w:p>
    <w:p w14:paraId="5D1E2DD3" w14:textId="77777777" w:rsidR="00DC057A" w:rsidRDefault="00DC057A" w:rsidP="00DC057A">
      <w:pPr>
        <w:pStyle w:val="ListParagraph"/>
        <w:numPr>
          <w:ilvl w:val="0"/>
          <w:numId w:val="6"/>
        </w:numPr>
        <w:spacing w:after="0" w:line="240" w:lineRule="auto"/>
        <w:rPr>
          <w:rFonts w:ascii="Arial" w:hAnsi="Arial" w:cs="Arial"/>
          <w:sz w:val="24"/>
          <w:szCs w:val="24"/>
        </w:rPr>
      </w:pPr>
      <w:r w:rsidRPr="00A825D5">
        <w:rPr>
          <w:rFonts w:ascii="Arial" w:hAnsi="Arial" w:cs="Arial"/>
          <w:b/>
          <w:sz w:val="24"/>
          <w:szCs w:val="24"/>
        </w:rPr>
        <w:t>Community Area Land Needs Assessment:</w:t>
      </w:r>
      <w:r>
        <w:rPr>
          <w:rFonts w:ascii="Arial" w:hAnsi="Arial" w:cs="Arial"/>
          <w:sz w:val="24"/>
          <w:szCs w:val="24"/>
        </w:rPr>
        <w:t xml:space="preserve"> This component focuses on the projected housing needs for the municipality based on the long-term population forecast. It also considers land needs for population-related and office jobs traditionally located in community core areas. In addition to population forecasts, a housing needs analysis, allocation and supply inventory, and community area jobs analysis are also required to develop this component.</w:t>
      </w:r>
    </w:p>
    <w:p w14:paraId="69D0DF33" w14:textId="77777777" w:rsidR="00DC057A" w:rsidRDefault="00DC057A" w:rsidP="00DC057A">
      <w:pPr>
        <w:pStyle w:val="ListParagraph"/>
        <w:spacing w:after="0" w:line="240" w:lineRule="auto"/>
        <w:rPr>
          <w:rFonts w:ascii="Arial" w:hAnsi="Arial" w:cs="Arial"/>
          <w:sz w:val="24"/>
          <w:szCs w:val="24"/>
        </w:rPr>
      </w:pPr>
    </w:p>
    <w:p w14:paraId="0D0FA8C8" w14:textId="77777777" w:rsidR="00DC057A" w:rsidRDefault="00DC057A" w:rsidP="00DC057A">
      <w:pPr>
        <w:pStyle w:val="ListParagraph"/>
        <w:numPr>
          <w:ilvl w:val="0"/>
          <w:numId w:val="6"/>
        </w:numPr>
        <w:spacing w:after="0" w:line="240" w:lineRule="auto"/>
        <w:rPr>
          <w:rFonts w:ascii="Arial" w:hAnsi="Arial" w:cs="Arial"/>
          <w:sz w:val="24"/>
          <w:szCs w:val="24"/>
        </w:rPr>
      </w:pPr>
      <w:r>
        <w:rPr>
          <w:rFonts w:ascii="Arial" w:hAnsi="Arial" w:cs="Arial"/>
          <w:b/>
          <w:sz w:val="24"/>
          <w:szCs w:val="24"/>
        </w:rPr>
        <w:t>Employment Area Land Needs Assessment:</w:t>
      </w:r>
      <w:r>
        <w:rPr>
          <w:rFonts w:ascii="Arial" w:hAnsi="Arial" w:cs="Arial"/>
          <w:sz w:val="24"/>
          <w:szCs w:val="24"/>
        </w:rPr>
        <w:t xml:space="preserve"> This component focuses on how much land is needed to accommodate forecasted employment growth in employment area and community area jobs. Employment forecasts, employment needs analysis, and employment allocation analysis are required to develop this component.</w:t>
      </w:r>
    </w:p>
    <w:p w14:paraId="32C0DD5A" w14:textId="77777777" w:rsidR="00D57F02" w:rsidRDefault="00D57F02" w:rsidP="00AA5566">
      <w:pPr>
        <w:spacing w:after="0" w:line="240" w:lineRule="auto"/>
        <w:contextualSpacing/>
        <w:rPr>
          <w:rFonts w:ascii="Arial" w:hAnsi="Arial" w:cs="Arial"/>
          <w:sz w:val="24"/>
          <w:szCs w:val="24"/>
        </w:rPr>
      </w:pPr>
    </w:p>
    <w:p w14:paraId="06B324A9" w14:textId="77777777" w:rsidR="00DC057A" w:rsidRPr="00140374" w:rsidRDefault="00DC057A" w:rsidP="00DC057A">
      <w:pPr>
        <w:pStyle w:val="ListParagraph"/>
        <w:numPr>
          <w:ilvl w:val="0"/>
          <w:numId w:val="2"/>
        </w:numPr>
        <w:spacing w:after="0" w:line="240" w:lineRule="auto"/>
        <w:rPr>
          <w:rFonts w:ascii="Arial" w:hAnsi="Arial" w:cs="Arial"/>
          <w:b/>
          <w:sz w:val="24"/>
          <w:szCs w:val="24"/>
        </w:rPr>
      </w:pPr>
      <w:proofErr w:type="spellStart"/>
      <w:r>
        <w:rPr>
          <w:rFonts w:ascii="Arial" w:hAnsi="Arial" w:cs="Arial"/>
          <w:b/>
          <w:sz w:val="24"/>
          <w:szCs w:val="24"/>
        </w:rPr>
        <w:t>Hemson</w:t>
      </w:r>
      <w:proofErr w:type="spellEnd"/>
      <w:r>
        <w:rPr>
          <w:rFonts w:ascii="Arial" w:hAnsi="Arial" w:cs="Arial"/>
          <w:b/>
          <w:sz w:val="24"/>
          <w:szCs w:val="24"/>
        </w:rPr>
        <w:t xml:space="preserve"> Report -</w:t>
      </w:r>
      <w:r w:rsidRPr="00140374">
        <w:rPr>
          <w:rFonts w:ascii="Arial" w:hAnsi="Arial" w:cs="Arial"/>
          <w:b/>
          <w:sz w:val="24"/>
          <w:szCs w:val="24"/>
        </w:rPr>
        <w:t xml:space="preserve"> Growth Forecasts for the Greater Golden Horseshoe to 2051</w:t>
      </w:r>
    </w:p>
    <w:p w14:paraId="21921122" w14:textId="77777777" w:rsidR="00DC057A" w:rsidRDefault="00DC057A" w:rsidP="00DC057A">
      <w:pPr>
        <w:spacing w:after="0" w:line="240" w:lineRule="auto"/>
        <w:rPr>
          <w:rFonts w:ascii="Arial" w:hAnsi="Arial" w:cs="Arial"/>
          <w:sz w:val="24"/>
          <w:szCs w:val="24"/>
        </w:rPr>
      </w:pPr>
    </w:p>
    <w:p w14:paraId="7BA7FF7E" w14:textId="3ED680FF" w:rsidR="00DC057A" w:rsidRDefault="00DC057A" w:rsidP="00DC057A">
      <w:pPr>
        <w:spacing w:after="0" w:line="240" w:lineRule="auto"/>
        <w:rPr>
          <w:rFonts w:ascii="Arial" w:hAnsi="Arial" w:cs="Arial"/>
          <w:sz w:val="24"/>
          <w:szCs w:val="24"/>
        </w:rPr>
      </w:pPr>
      <w:r>
        <w:rPr>
          <w:rFonts w:ascii="Arial" w:hAnsi="Arial" w:cs="Arial"/>
          <w:sz w:val="24"/>
          <w:szCs w:val="24"/>
        </w:rPr>
        <w:t xml:space="preserve">Growth forecasts presented as part of Growth Plan Amendment 1 are based on a study and subsequent report in 2020 by </w:t>
      </w:r>
      <w:proofErr w:type="spellStart"/>
      <w:r>
        <w:rPr>
          <w:rFonts w:ascii="Arial" w:hAnsi="Arial" w:cs="Arial"/>
          <w:sz w:val="24"/>
          <w:szCs w:val="24"/>
        </w:rPr>
        <w:t>Hemson</w:t>
      </w:r>
      <w:proofErr w:type="spellEnd"/>
      <w:r>
        <w:rPr>
          <w:rFonts w:ascii="Arial" w:hAnsi="Arial" w:cs="Arial"/>
          <w:sz w:val="24"/>
          <w:szCs w:val="24"/>
        </w:rPr>
        <w:t xml:space="preserve"> Consulting. </w:t>
      </w:r>
      <w:r w:rsidR="00BF395C">
        <w:rPr>
          <w:rFonts w:ascii="Arial" w:hAnsi="Arial" w:cs="Arial"/>
          <w:sz w:val="24"/>
          <w:szCs w:val="24"/>
        </w:rPr>
        <w:t xml:space="preserve">For reference, this report is available as part of the proposed amendment, referred to as the </w:t>
      </w:r>
      <w:hyperlink r:id="rId13" w:history="1">
        <w:proofErr w:type="spellStart"/>
        <w:r w:rsidR="00BF395C" w:rsidRPr="00F20ECB">
          <w:rPr>
            <w:rStyle w:val="Hyperlink"/>
            <w:rFonts w:ascii="Arial" w:hAnsi="Arial" w:cs="Arial"/>
            <w:color w:val="000000" w:themeColor="text1"/>
            <w:sz w:val="24"/>
            <w:szCs w:val="24"/>
          </w:rPr>
          <w:t>Hemson</w:t>
        </w:r>
        <w:proofErr w:type="spellEnd"/>
        <w:r w:rsidR="00BF395C" w:rsidRPr="00F20ECB">
          <w:rPr>
            <w:rStyle w:val="Hyperlink"/>
            <w:rFonts w:ascii="Arial" w:hAnsi="Arial" w:cs="Arial"/>
            <w:color w:val="000000" w:themeColor="text1"/>
            <w:sz w:val="24"/>
            <w:szCs w:val="24"/>
          </w:rPr>
          <w:t xml:space="preserve"> Report</w:t>
        </w:r>
      </w:hyperlink>
      <w:r w:rsidR="00BF395C">
        <w:rPr>
          <w:rFonts w:ascii="Arial" w:hAnsi="Arial" w:cs="Arial"/>
          <w:sz w:val="24"/>
          <w:szCs w:val="24"/>
        </w:rPr>
        <w:t xml:space="preserve">. </w:t>
      </w:r>
      <w:r>
        <w:rPr>
          <w:rFonts w:ascii="Arial" w:hAnsi="Arial" w:cs="Arial"/>
          <w:sz w:val="24"/>
          <w:szCs w:val="24"/>
        </w:rPr>
        <w:t xml:space="preserve"> </w:t>
      </w:r>
    </w:p>
    <w:p w14:paraId="7701832D" w14:textId="77777777" w:rsidR="00DC057A" w:rsidRDefault="00DC057A" w:rsidP="00DC057A">
      <w:pPr>
        <w:spacing w:after="0" w:line="240" w:lineRule="auto"/>
        <w:rPr>
          <w:rFonts w:ascii="Arial" w:hAnsi="Arial" w:cs="Arial"/>
          <w:sz w:val="24"/>
          <w:szCs w:val="24"/>
        </w:rPr>
      </w:pPr>
    </w:p>
    <w:p w14:paraId="10123FAD" w14:textId="77777777" w:rsidR="00DC057A" w:rsidRDefault="00DC057A" w:rsidP="00DC057A">
      <w:pPr>
        <w:spacing w:after="0" w:line="240" w:lineRule="auto"/>
        <w:rPr>
          <w:rFonts w:ascii="Arial" w:hAnsi="Arial" w:cs="Arial"/>
          <w:sz w:val="24"/>
          <w:szCs w:val="24"/>
        </w:rPr>
      </w:pPr>
      <w:r>
        <w:rPr>
          <w:rFonts w:ascii="Arial" w:hAnsi="Arial" w:cs="Arial"/>
          <w:sz w:val="24"/>
          <w:szCs w:val="24"/>
        </w:rPr>
        <w:t>The report first outlines economic, social and demographic conditions and assumptions since 2012 that are a basis for the forecasts presented in the proposed amendment. The report then outlines the methodology and assumptions used to develop the population and employment numbers that make up the 2051 forecasts for GGH municipalities. Driving factors in the development of long-term population and employment forecasts include:</w:t>
      </w:r>
    </w:p>
    <w:p w14:paraId="272179BC" w14:textId="77777777" w:rsidR="00DC057A" w:rsidRDefault="00DC057A" w:rsidP="00DC057A">
      <w:pPr>
        <w:spacing w:after="0" w:line="240" w:lineRule="auto"/>
        <w:rPr>
          <w:rFonts w:ascii="Arial" w:hAnsi="Arial" w:cs="Arial"/>
          <w:sz w:val="24"/>
          <w:szCs w:val="24"/>
        </w:rPr>
      </w:pPr>
    </w:p>
    <w:p w14:paraId="4A47E961" w14:textId="77777777" w:rsidR="00DC057A" w:rsidRDefault="00DC057A" w:rsidP="00DC057A">
      <w:pPr>
        <w:pStyle w:val="ListParagraph"/>
        <w:numPr>
          <w:ilvl w:val="0"/>
          <w:numId w:val="7"/>
        </w:numPr>
        <w:spacing w:after="0" w:line="240" w:lineRule="auto"/>
        <w:rPr>
          <w:rFonts w:ascii="Arial" w:hAnsi="Arial" w:cs="Arial"/>
          <w:sz w:val="24"/>
          <w:szCs w:val="24"/>
        </w:rPr>
      </w:pPr>
      <w:r>
        <w:rPr>
          <w:rFonts w:ascii="Arial" w:hAnsi="Arial" w:cs="Arial"/>
          <w:sz w:val="24"/>
          <w:szCs w:val="24"/>
        </w:rPr>
        <w:t>Natural increase and net migration;</w:t>
      </w:r>
    </w:p>
    <w:p w14:paraId="43D0FE09" w14:textId="77777777" w:rsidR="00DC057A" w:rsidRDefault="00DC057A" w:rsidP="00DC057A">
      <w:pPr>
        <w:pStyle w:val="ListParagraph"/>
        <w:numPr>
          <w:ilvl w:val="0"/>
          <w:numId w:val="7"/>
        </w:numPr>
        <w:spacing w:after="0" w:line="240" w:lineRule="auto"/>
        <w:rPr>
          <w:rFonts w:ascii="Arial" w:hAnsi="Arial" w:cs="Arial"/>
          <w:sz w:val="24"/>
          <w:szCs w:val="24"/>
        </w:rPr>
      </w:pPr>
      <w:r>
        <w:rPr>
          <w:rFonts w:ascii="Arial" w:hAnsi="Arial" w:cs="Arial"/>
          <w:sz w:val="24"/>
          <w:szCs w:val="24"/>
        </w:rPr>
        <w:t>Trends in household composition;</w:t>
      </w:r>
    </w:p>
    <w:p w14:paraId="43AE8A44" w14:textId="77777777" w:rsidR="00DC057A" w:rsidRDefault="00DC057A" w:rsidP="00DC057A">
      <w:pPr>
        <w:pStyle w:val="ListParagraph"/>
        <w:numPr>
          <w:ilvl w:val="0"/>
          <w:numId w:val="7"/>
        </w:numPr>
        <w:spacing w:after="0" w:line="240" w:lineRule="auto"/>
        <w:rPr>
          <w:rFonts w:ascii="Arial" w:hAnsi="Arial" w:cs="Arial"/>
          <w:sz w:val="24"/>
          <w:szCs w:val="24"/>
        </w:rPr>
      </w:pPr>
      <w:r>
        <w:rPr>
          <w:rFonts w:ascii="Arial" w:hAnsi="Arial" w:cs="Arial"/>
          <w:sz w:val="24"/>
          <w:szCs w:val="24"/>
        </w:rPr>
        <w:t>Housing forecasts based on need;</w:t>
      </w:r>
    </w:p>
    <w:p w14:paraId="19FB3B3B" w14:textId="77777777" w:rsidR="00DC057A" w:rsidRDefault="00DC057A" w:rsidP="00DC057A">
      <w:pPr>
        <w:pStyle w:val="ListParagraph"/>
        <w:numPr>
          <w:ilvl w:val="0"/>
          <w:numId w:val="7"/>
        </w:numPr>
        <w:spacing w:after="0" w:line="240" w:lineRule="auto"/>
        <w:rPr>
          <w:rFonts w:ascii="Arial" w:hAnsi="Arial" w:cs="Arial"/>
          <w:sz w:val="24"/>
          <w:szCs w:val="24"/>
        </w:rPr>
      </w:pPr>
      <w:r>
        <w:rPr>
          <w:rFonts w:ascii="Arial" w:hAnsi="Arial" w:cs="Arial"/>
          <w:sz w:val="24"/>
          <w:szCs w:val="24"/>
        </w:rPr>
        <w:t>Participation and unemployment rates;</w:t>
      </w:r>
    </w:p>
    <w:p w14:paraId="561C08D2" w14:textId="77777777" w:rsidR="00DC057A" w:rsidRDefault="00DC057A" w:rsidP="00DC057A">
      <w:pPr>
        <w:pStyle w:val="ListParagraph"/>
        <w:numPr>
          <w:ilvl w:val="0"/>
          <w:numId w:val="7"/>
        </w:numPr>
        <w:spacing w:after="0" w:line="240" w:lineRule="auto"/>
        <w:rPr>
          <w:rFonts w:ascii="Arial" w:hAnsi="Arial" w:cs="Arial"/>
          <w:sz w:val="24"/>
          <w:szCs w:val="24"/>
        </w:rPr>
      </w:pPr>
      <w:r>
        <w:rPr>
          <w:rFonts w:ascii="Arial" w:hAnsi="Arial" w:cs="Arial"/>
          <w:sz w:val="24"/>
          <w:szCs w:val="24"/>
        </w:rPr>
        <w:t>Net in and out-commuting by municipality; and,</w:t>
      </w:r>
    </w:p>
    <w:p w14:paraId="0C8B3796" w14:textId="77777777" w:rsidR="00DC057A" w:rsidRDefault="00DC057A" w:rsidP="00DC057A">
      <w:pPr>
        <w:pStyle w:val="ListParagraph"/>
        <w:numPr>
          <w:ilvl w:val="0"/>
          <w:numId w:val="7"/>
        </w:numPr>
        <w:spacing w:after="0" w:line="240" w:lineRule="auto"/>
        <w:rPr>
          <w:rFonts w:ascii="Arial" w:hAnsi="Arial" w:cs="Arial"/>
          <w:sz w:val="24"/>
          <w:szCs w:val="24"/>
        </w:rPr>
      </w:pPr>
      <w:r>
        <w:rPr>
          <w:rFonts w:ascii="Arial" w:hAnsi="Arial" w:cs="Arial"/>
          <w:sz w:val="24"/>
          <w:szCs w:val="24"/>
        </w:rPr>
        <w:t>The distribution of population-related, major office, employment land and rural employment among GGH municipalities.</w:t>
      </w:r>
    </w:p>
    <w:p w14:paraId="53E01A0E" w14:textId="77777777" w:rsidR="00DC057A" w:rsidRDefault="00DC057A" w:rsidP="00DC057A">
      <w:pPr>
        <w:spacing w:after="0" w:line="240" w:lineRule="auto"/>
        <w:rPr>
          <w:rFonts w:ascii="Arial" w:hAnsi="Arial" w:cs="Arial"/>
          <w:sz w:val="24"/>
          <w:szCs w:val="24"/>
        </w:rPr>
      </w:pPr>
    </w:p>
    <w:p w14:paraId="57547D80" w14:textId="4A2D0E39" w:rsidR="00DC057A" w:rsidRPr="006C05B6" w:rsidRDefault="00DC057A" w:rsidP="00DC057A">
      <w:pPr>
        <w:spacing w:after="0" w:line="240" w:lineRule="auto"/>
        <w:rPr>
          <w:rFonts w:ascii="Arial" w:hAnsi="Arial" w:cs="Arial"/>
          <w:sz w:val="24"/>
          <w:szCs w:val="24"/>
        </w:rPr>
      </w:pPr>
      <w:r>
        <w:rPr>
          <w:rFonts w:ascii="Arial" w:hAnsi="Arial" w:cs="Arial"/>
          <w:sz w:val="24"/>
          <w:szCs w:val="24"/>
        </w:rPr>
        <w:t>Forecasts in this report show the Greater Golden Horseshoe growing to a population of nearly 15 million by 2051, with over 7 million</w:t>
      </w:r>
      <w:r w:rsidR="00AF11C3">
        <w:rPr>
          <w:rFonts w:ascii="Arial" w:hAnsi="Arial" w:cs="Arial"/>
          <w:sz w:val="24"/>
          <w:szCs w:val="24"/>
        </w:rPr>
        <w:t xml:space="preserve"> jobs</w:t>
      </w:r>
      <w:r>
        <w:rPr>
          <w:rFonts w:ascii="Arial" w:hAnsi="Arial" w:cs="Arial"/>
          <w:sz w:val="24"/>
          <w:szCs w:val="24"/>
        </w:rPr>
        <w:t xml:space="preserve">. This is driven largely by municipalities in the Greater Toronto Area and Hamilton (GTAH), which includes the Region of Halton. By 2051 this area </w:t>
      </w:r>
      <w:r w:rsidR="00AF11C3">
        <w:rPr>
          <w:rFonts w:ascii="Arial" w:hAnsi="Arial" w:cs="Arial"/>
          <w:sz w:val="24"/>
          <w:szCs w:val="24"/>
        </w:rPr>
        <w:t xml:space="preserve">is </w:t>
      </w:r>
      <w:r>
        <w:rPr>
          <w:rFonts w:ascii="Arial" w:hAnsi="Arial" w:cs="Arial"/>
          <w:sz w:val="24"/>
          <w:szCs w:val="24"/>
        </w:rPr>
        <w:t xml:space="preserve">expected to grow to over 11 million people and </w:t>
      </w:r>
      <w:r w:rsidR="008D171A">
        <w:rPr>
          <w:rFonts w:ascii="Arial" w:hAnsi="Arial" w:cs="Arial"/>
          <w:sz w:val="24"/>
          <w:szCs w:val="24"/>
        </w:rPr>
        <w:t xml:space="preserve">contain </w:t>
      </w:r>
      <w:r>
        <w:rPr>
          <w:rFonts w:ascii="Arial" w:hAnsi="Arial" w:cs="Arial"/>
          <w:sz w:val="24"/>
          <w:szCs w:val="24"/>
        </w:rPr>
        <w:t xml:space="preserve">over 5 million jobs, representing approximately 75 per cent of </w:t>
      </w:r>
      <w:r w:rsidR="008D171A">
        <w:rPr>
          <w:rFonts w:ascii="Arial" w:hAnsi="Arial" w:cs="Arial"/>
          <w:sz w:val="24"/>
          <w:szCs w:val="24"/>
        </w:rPr>
        <w:t>the</w:t>
      </w:r>
      <w:r>
        <w:rPr>
          <w:rFonts w:ascii="Arial" w:hAnsi="Arial" w:cs="Arial"/>
          <w:sz w:val="24"/>
          <w:szCs w:val="24"/>
        </w:rPr>
        <w:t xml:space="preserve"> total population and employment of the </w:t>
      </w:r>
      <w:r w:rsidRPr="001D1870">
        <w:rPr>
          <w:rFonts w:ascii="Arial" w:hAnsi="Arial" w:cs="Arial"/>
          <w:sz w:val="24"/>
          <w:szCs w:val="24"/>
        </w:rPr>
        <w:t>Greater Golden Horseshoe</w:t>
      </w:r>
      <w:r>
        <w:rPr>
          <w:rFonts w:ascii="Arial" w:hAnsi="Arial" w:cs="Arial"/>
          <w:sz w:val="24"/>
          <w:szCs w:val="24"/>
        </w:rPr>
        <w:t>.</w:t>
      </w:r>
    </w:p>
    <w:p w14:paraId="565B473D" w14:textId="77777777" w:rsidR="00D57F02" w:rsidRDefault="00D57F02" w:rsidP="00DC057A">
      <w:pPr>
        <w:pStyle w:val="Subtitle"/>
        <w:spacing w:after="0"/>
        <w:jc w:val="left"/>
        <w:rPr>
          <w:rFonts w:ascii="Arial" w:hAnsi="Arial" w:cs="Arial"/>
          <w:b/>
        </w:rPr>
      </w:pPr>
    </w:p>
    <w:p w14:paraId="1A7B1ABB" w14:textId="77777777" w:rsidR="006D23F5" w:rsidRPr="00EB316E" w:rsidRDefault="006D23F5" w:rsidP="006D23F5">
      <w:pPr>
        <w:spacing w:after="0" w:line="240" w:lineRule="auto"/>
        <w:rPr>
          <w:rFonts w:ascii="Arial" w:hAnsi="Arial" w:cs="Arial"/>
          <w:b/>
          <w:sz w:val="24"/>
          <w:szCs w:val="24"/>
        </w:rPr>
      </w:pPr>
      <w:r>
        <w:rPr>
          <w:rFonts w:ascii="Arial" w:hAnsi="Arial" w:cs="Arial"/>
          <w:b/>
          <w:sz w:val="24"/>
          <w:szCs w:val="24"/>
        </w:rPr>
        <w:lastRenderedPageBreak/>
        <w:t>3.1 Impact of COVID-</w:t>
      </w:r>
      <w:r w:rsidRPr="00EB316E">
        <w:rPr>
          <w:rFonts w:ascii="Arial" w:hAnsi="Arial" w:cs="Arial"/>
          <w:b/>
          <w:sz w:val="24"/>
          <w:szCs w:val="24"/>
        </w:rPr>
        <w:t>19 on Forecasts</w:t>
      </w:r>
    </w:p>
    <w:p w14:paraId="7FBD3B24" w14:textId="77777777" w:rsidR="006D23F5" w:rsidRDefault="006D23F5" w:rsidP="006D23F5">
      <w:pPr>
        <w:spacing w:after="0" w:line="240" w:lineRule="auto"/>
        <w:rPr>
          <w:rFonts w:ascii="Arial" w:hAnsi="Arial" w:cs="Arial"/>
          <w:sz w:val="24"/>
          <w:szCs w:val="24"/>
        </w:rPr>
      </w:pPr>
    </w:p>
    <w:p w14:paraId="1992D1A9" w14:textId="77777777" w:rsidR="006D23F5" w:rsidRDefault="006D23F5" w:rsidP="006D23F5">
      <w:pPr>
        <w:spacing w:after="0" w:line="240" w:lineRule="auto"/>
        <w:rPr>
          <w:rFonts w:ascii="Arial" w:hAnsi="Arial" w:cs="Arial"/>
          <w:sz w:val="24"/>
          <w:szCs w:val="24"/>
        </w:rPr>
      </w:pPr>
      <w:r>
        <w:rPr>
          <w:rFonts w:ascii="Arial" w:hAnsi="Arial" w:cs="Arial"/>
          <w:sz w:val="24"/>
          <w:szCs w:val="24"/>
        </w:rPr>
        <w:t xml:space="preserve">While the </w:t>
      </w:r>
      <w:proofErr w:type="spellStart"/>
      <w:r>
        <w:rPr>
          <w:rFonts w:ascii="Arial" w:hAnsi="Arial" w:cs="Arial"/>
          <w:sz w:val="24"/>
          <w:szCs w:val="24"/>
        </w:rPr>
        <w:t>Hemson</w:t>
      </w:r>
      <w:proofErr w:type="spellEnd"/>
      <w:r>
        <w:rPr>
          <w:rFonts w:ascii="Arial" w:hAnsi="Arial" w:cs="Arial"/>
          <w:sz w:val="24"/>
          <w:szCs w:val="24"/>
        </w:rPr>
        <w:t xml:space="preserve"> report was being completed at the outset of the COIVD-19 pandemic, it was updated to include some analysis on what implications this may have on long-term growth in the GGH. </w:t>
      </w:r>
    </w:p>
    <w:p w14:paraId="3082045B" w14:textId="77777777" w:rsidR="006D23F5" w:rsidRDefault="006D23F5" w:rsidP="006D23F5">
      <w:pPr>
        <w:spacing w:after="0" w:line="240" w:lineRule="auto"/>
        <w:rPr>
          <w:rFonts w:ascii="Arial" w:hAnsi="Arial" w:cs="Arial"/>
          <w:sz w:val="24"/>
          <w:szCs w:val="24"/>
        </w:rPr>
      </w:pPr>
    </w:p>
    <w:p w14:paraId="06EDE73C" w14:textId="77777777" w:rsidR="006D23F5" w:rsidRDefault="006D23F5" w:rsidP="006D23F5">
      <w:pPr>
        <w:spacing w:after="0" w:line="240" w:lineRule="auto"/>
        <w:rPr>
          <w:rFonts w:ascii="Arial" w:hAnsi="Arial" w:cs="Arial"/>
          <w:sz w:val="24"/>
          <w:szCs w:val="24"/>
        </w:rPr>
      </w:pPr>
      <w:r>
        <w:rPr>
          <w:rFonts w:ascii="Arial" w:hAnsi="Arial" w:cs="Arial"/>
          <w:sz w:val="24"/>
          <w:szCs w:val="24"/>
        </w:rPr>
        <w:t xml:space="preserve">In terms of immediate impacts on growth forecasting, </w:t>
      </w:r>
      <w:proofErr w:type="spellStart"/>
      <w:r>
        <w:rPr>
          <w:rFonts w:ascii="Arial" w:hAnsi="Arial" w:cs="Arial"/>
          <w:sz w:val="24"/>
          <w:szCs w:val="24"/>
        </w:rPr>
        <w:t>Hemson</w:t>
      </w:r>
      <w:proofErr w:type="spellEnd"/>
      <w:r>
        <w:rPr>
          <w:rFonts w:ascii="Arial" w:hAnsi="Arial" w:cs="Arial"/>
          <w:sz w:val="24"/>
          <w:szCs w:val="24"/>
        </w:rPr>
        <w:t xml:space="preserve"> (see page 5 of report) notes the report took into account the following:</w:t>
      </w:r>
    </w:p>
    <w:p w14:paraId="6FCCA9E8" w14:textId="77777777" w:rsidR="006D23F5" w:rsidRDefault="006D23F5" w:rsidP="006D23F5">
      <w:pPr>
        <w:spacing w:after="0" w:line="240" w:lineRule="auto"/>
        <w:rPr>
          <w:rFonts w:ascii="Arial" w:hAnsi="Arial" w:cs="Arial"/>
          <w:sz w:val="24"/>
          <w:szCs w:val="24"/>
        </w:rPr>
      </w:pPr>
    </w:p>
    <w:p w14:paraId="199F2391" w14:textId="77777777" w:rsidR="006D23F5" w:rsidRDefault="006D23F5" w:rsidP="006D23F5">
      <w:pPr>
        <w:pStyle w:val="ListParagraph"/>
        <w:numPr>
          <w:ilvl w:val="0"/>
          <w:numId w:val="8"/>
        </w:numPr>
        <w:spacing w:after="0" w:line="240" w:lineRule="auto"/>
        <w:rPr>
          <w:rFonts w:ascii="Arial" w:hAnsi="Arial" w:cs="Arial"/>
          <w:sz w:val="24"/>
          <w:szCs w:val="24"/>
        </w:rPr>
      </w:pPr>
      <w:r>
        <w:rPr>
          <w:rFonts w:ascii="Arial" w:hAnsi="Arial" w:cs="Arial"/>
          <w:sz w:val="24"/>
          <w:szCs w:val="24"/>
        </w:rPr>
        <w:t>An assumed reduction in the forecasted short-term population growth in the GGH by approximately 110,000; and,</w:t>
      </w:r>
    </w:p>
    <w:p w14:paraId="092435F0" w14:textId="77777777" w:rsidR="006D23F5" w:rsidRDefault="006D23F5" w:rsidP="006D23F5">
      <w:pPr>
        <w:pStyle w:val="ListParagraph"/>
        <w:numPr>
          <w:ilvl w:val="0"/>
          <w:numId w:val="8"/>
        </w:numPr>
        <w:spacing w:after="0" w:line="240" w:lineRule="auto"/>
        <w:rPr>
          <w:rFonts w:ascii="Arial" w:hAnsi="Arial" w:cs="Arial"/>
          <w:sz w:val="24"/>
          <w:szCs w:val="24"/>
        </w:rPr>
      </w:pPr>
      <w:r>
        <w:rPr>
          <w:rFonts w:ascii="Arial" w:hAnsi="Arial" w:cs="Arial"/>
          <w:sz w:val="24"/>
          <w:szCs w:val="24"/>
        </w:rPr>
        <w:t>An assumed 15 per cent decline in employment growth for the GGH in Q2 of 2020.</w:t>
      </w:r>
    </w:p>
    <w:p w14:paraId="4D35FDDF" w14:textId="77777777" w:rsidR="006D23F5" w:rsidRDefault="006D23F5" w:rsidP="006D23F5">
      <w:pPr>
        <w:spacing w:after="0" w:line="240" w:lineRule="auto"/>
        <w:rPr>
          <w:rFonts w:ascii="Arial" w:hAnsi="Arial" w:cs="Arial"/>
          <w:sz w:val="24"/>
          <w:szCs w:val="24"/>
        </w:rPr>
      </w:pPr>
    </w:p>
    <w:p w14:paraId="2B592B01" w14:textId="77777777" w:rsidR="006D23F5" w:rsidRPr="00162DB8" w:rsidRDefault="006D23F5" w:rsidP="006D23F5">
      <w:pPr>
        <w:spacing w:after="0" w:line="240" w:lineRule="auto"/>
        <w:rPr>
          <w:rFonts w:ascii="Arial" w:hAnsi="Arial" w:cs="Arial"/>
          <w:sz w:val="24"/>
          <w:szCs w:val="24"/>
        </w:rPr>
      </w:pPr>
      <w:r>
        <w:rPr>
          <w:rFonts w:ascii="Arial" w:hAnsi="Arial" w:cs="Arial"/>
          <w:sz w:val="24"/>
          <w:szCs w:val="24"/>
        </w:rPr>
        <w:t>The report notes that these impacts are minor, and that overall growth is assumed to return to pre-pandemic expectations within 3 years. It is noted that longer term impacts of COVID-19 could impact growth forecasts in the future depending on the longevity and severity of the pandemic. This is described in greater detail on page 20 of the report.</w:t>
      </w:r>
    </w:p>
    <w:p w14:paraId="6A78AF73" w14:textId="367AB616" w:rsidR="00DC057A" w:rsidRDefault="00DC057A" w:rsidP="006D23F5">
      <w:pPr>
        <w:spacing w:after="0"/>
      </w:pPr>
    </w:p>
    <w:p w14:paraId="79509EEE" w14:textId="77777777" w:rsidR="00AA5566" w:rsidRDefault="00AA5566" w:rsidP="00AA5566">
      <w:pPr>
        <w:pStyle w:val="Subtitle"/>
        <w:jc w:val="left"/>
        <w:rPr>
          <w:rFonts w:ascii="Arial" w:hAnsi="Arial" w:cs="Arial"/>
          <w:b/>
        </w:rPr>
      </w:pPr>
      <w:r>
        <w:rPr>
          <w:rFonts w:ascii="Arial" w:hAnsi="Arial" w:cs="Arial"/>
          <w:b/>
        </w:rPr>
        <w:t>COMMENTS:</w:t>
      </w:r>
    </w:p>
    <w:p w14:paraId="6A623ABF" w14:textId="77777777" w:rsidR="006D23F5" w:rsidRPr="00C078B0" w:rsidRDefault="006D23F5" w:rsidP="006D23F5">
      <w:pPr>
        <w:spacing w:after="0" w:line="240" w:lineRule="auto"/>
        <w:rPr>
          <w:rFonts w:ascii="Arial" w:hAnsi="Arial" w:cs="Arial"/>
          <w:b/>
          <w:sz w:val="24"/>
          <w:szCs w:val="24"/>
        </w:rPr>
      </w:pPr>
      <w:r w:rsidRPr="00C078B0">
        <w:rPr>
          <w:rFonts w:ascii="Arial" w:hAnsi="Arial" w:cs="Arial"/>
          <w:b/>
          <w:sz w:val="24"/>
          <w:szCs w:val="24"/>
        </w:rPr>
        <w:t>1.0 Summary of Key Points</w:t>
      </w:r>
    </w:p>
    <w:p w14:paraId="55749AF6" w14:textId="77777777" w:rsidR="006D23F5" w:rsidRDefault="006D23F5" w:rsidP="006D23F5">
      <w:pPr>
        <w:spacing w:after="0"/>
      </w:pPr>
    </w:p>
    <w:p w14:paraId="7569A695" w14:textId="77777777" w:rsidR="006D23F5" w:rsidRDefault="006D23F5" w:rsidP="006D23F5">
      <w:pPr>
        <w:spacing w:after="0" w:line="240" w:lineRule="auto"/>
        <w:contextualSpacing/>
        <w:rPr>
          <w:rFonts w:ascii="Arial" w:hAnsi="Arial" w:cs="Arial"/>
          <w:sz w:val="24"/>
          <w:szCs w:val="24"/>
        </w:rPr>
      </w:pPr>
      <w:r>
        <w:rPr>
          <w:rFonts w:ascii="Arial" w:hAnsi="Arial" w:cs="Arial"/>
          <w:sz w:val="24"/>
          <w:szCs w:val="24"/>
        </w:rPr>
        <w:t>The HAPP Joint S</w:t>
      </w:r>
      <w:r w:rsidRPr="00457C22">
        <w:rPr>
          <w:rFonts w:ascii="Arial" w:hAnsi="Arial" w:cs="Arial"/>
          <w:sz w:val="24"/>
          <w:szCs w:val="24"/>
        </w:rPr>
        <w:t xml:space="preserve">ubmission on </w:t>
      </w:r>
      <w:r>
        <w:rPr>
          <w:rFonts w:ascii="Arial" w:hAnsi="Arial" w:cs="Arial"/>
          <w:sz w:val="24"/>
          <w:szCs w:val="24"/>
        </w:rPr>
        <w:t xml:space="preserve">Proposed Amendment 1 </w:t>
      </w:r>
      <w:r>
        <w:rPr>
          <w:rFonts w:ascii="Arial" w:hAnsi="Arial" w:cs="Arial"/>
          <w:sz w:val="24"/>
        </w:rPr>
        <w:t>to the Growth Plan and Proposed Land Needs Methodology</w:t>
      </w:r>
      <w:r w:rsidRPr="00457C22">
        <w:rPr>
          <w:rFonts w:ascii="Arial" w:hAnsi="Arial" w:cs="Arial"/>
          <w:sz w:val="24"/>
          <w:szCs w:val="24"/>
        </w:rPr>
        <w:t xml:space="preserve"> is attached to this report as Schedule One. </w:t>
      </w:r>
      <w:r>
        <w:rPr>
          <w:rFonts w:ascii="Arial" w:hAnsi="Arial" w:cs="Arial"/>
          <w:sz w:val="24"/>
          <w:szCs w:val="24"/>
        </w:rPr>
        <w:t xml:space="preserve">This Submission was endorsed by Regional Council on July 15. </w:t>
      </w:r>
      <w:r w:rsidRPr="00457C22">
        <w:rPr>
          <w:rFonts w:ascii="Arial" w:hAnsi="Arial" w:cs="Arial"/>
          <w:sz w:val="24"/>
          <w:szCs w:val="24"/>
        </w:rPr>
        <w:t>Key points made in this su</w:t>
      </w:r>
      <w:r>
        <w:rPr>
          <w:rFonts w:ascii="Arial" w:hAnsi="Arial" w:cs="Arial"/>
          <w:sz w:val="24"/>
          <w:szCs w:val="24"/>
        </w:rPr>
        <w:t>bmission are organized into nine (9</w:t>
      </w:r>
      <w:r w:rsidRPr="00457C22">
        <w:rPr>
          <w:rFonts w:ascii="Arial" w:hAnsi="Arial" w:cs="Arial"/>
          <w:sz w:val="24"/>
          <w:szCs w:val="24"/>
        </w:rPr>
        <w:t>) categories:</w:t>
      </w:r>
    </w:p>
    <w:p w14:paraId="71288C73" w14:textId="77777777" w:rsidR="006D23F5" w:rsidRDefault="006D23F5" w:rsidP="006D23F5">
      <w:pPr>
        <w:spacing w:after="0"/>
      </w:pPr>
    </w:p>
    <w:p w14:paraId="3BA10E64" w14:textId="77777777" w:rsidR="006D23F5" w:rsidRPr="00204393" w:rsidRDefault="006D23F5" w:rsidP="006D23F5">
      <w:pPr>
        <w:pStyle w:val="ListParagraph"/>
        <w:numPr>
          <w:ilvl w:val="0"/>
          <w:numId w:val="9"/>
        </w:numPr>
        <w:spacing w:after="0"/>
      </w:pPr>
      <w:r w:rsidRPr="006A54AA">
        <w:rPr>
          <w:rFonts w:ascii="Arial" w:hAnsi="Arial" w:cs="Arial"/>
          <w:b/>
          <w:sz w:val="24"/>
        </w:rPr>
        <w:t>Extension of the planning horizon to 2051:</w:t>
      </w:r>
      <w:r>
        <w:rPr>
          <w:rFonts w:ascii="Arial" w:hAnsi="Arial" w:cs="Arial"/>
          <w:sz w:val="24"/>
        </w:rPr>
        <w:t xml:space="preserve"> This item is generally supported by HAPP. The submission does note the extension of the horizon will impact the current development of growth concepts under Halton Region’s ongoing Municipal Comprehensive Review. It is also noted that a longer horizon will put more emphasis on clear policies in municipal Official Plans addressing development phasing in an extended timeframe. </w:t>
      </w:r>
    </w:p>
    <w:p w14:paraId="2CB1DA7C" w14:textId="77777777" w:rsidR="006D23F5" w:rsidRPr="006A54AA" w:rsidRDefault="006D23F5" w:rsidP="006D23F5">
      <w:pPr>
        <w:pStyle w:val="ListParagraph"/>
        <w:spacing w:after="0"/>
      </w:pPr>
    </w:p>
    <w:p w14:paraId="3E179DD0" w14:textId="77777777" w:rsidR="006D23F5" w:rsidRPr="00204393" w:rsidRDefault="006D23F5" w:rsidP="006D23F5">
      <w:pPr>
        <w:pStyle w:val="ListParagraph"/>
        <w:numPr>
          <w:ilvl w:val="0"/>
          <w:numId w:val="9"/>
        </w:numPr>
        <w:spacing w:after="0"/>
      </w:pPr>
      <w:r w:rsidRPr="006A54AA">
        <w:rPr>
          <w:rFonts w:ascii="Arial" w:hAnsi="Arial" w:cs="Arial"/>
          <w:b/>
          <w:sz w:val="24"/>
        </w:rPr>
        <w:t>Selection</w:t>
      </w:r>
      <w:r w:rsidRPr="006A54AA">
        <w:rPr>
          <w:rFonts w:ascii="Arial" w:hAnsi="Arial" w:cs="Arial"/>
        </w:rPr>
        <w:t xml:space="preserve"> </w:t>
      </w:r>
      <w:r w:rsidRPr="006A54AA">
        <w:rPr>
          <w:rFonts w:ascii="Arial" w:hAnsi="Arial" w:cs="Arial"/>
          <w:b/>
          <w:sz w:val="24"/>
          <w:szCs w:val="24"/>
        </w:rPr>
        <w:t>of a Growth Forecast from the Reference, High and Low Scenarios</w:t>
      </w:r>
      <w:r>
        <w:rPr>
          <w:rFonts w:ascii="Arial" w:hAnsi="Arial" w:cs="Arial"/>
          <w:b/>
          <w:sz w:val="24"/>
          <w:szCs w:val="24"/>
        </w:rPr>
        <w:t xml:space="preserve">: </w:t>
      </w:r>
      <w:r>
        <w:rPr>
          <w:rFonts w:ascii="Arial" w:hAnsi="Arial" w:cs="Arial"/>
          <w:sz w:val="24"/>
          <w:szCs w:val="24"/>
        </w:rPr>
        <w:t xml:space="preserve">HAPP supports the use of the ‘Reference’ forecast (1.1 million population and 500,000 jobs) to 2051. The Joint Statement also advocates for the ‘Mock B’ scenario (using 2051 forecasts only) to update Schedule 3 of the Growth Plan. </w:t>
      </w:r>
    </w:p>
    <w:p w14:paraId="2B0E1B71" w14:textId="77777777" w:rsidR="006D23F5" w:rsidRPr="00076B33" w:rsidRDefault="006D23F5" w:rsidP="006D23F5">
      <w:pPr>
        <w:pStyle w:val="ListParagraph"/>
        <w:spacing w:after="0"/>
      </w:pPr>
    </w:p>
    <w:p w14:paraId="573F8096" w14:textId="77777777" w:rsidR="006D23F5" w:rsidRDefault="006D23F5" w:rsidP="006D23F5">
      <w:pPr>
        <w:pStyle w:val="ListParagraph"/>
        <w:numPr>
          <w:ilvl w:val="0"/>
          <w:numId w:val="9"/>
        </w:numPr>
        <w:spacing w:after="0"/>
        <w:rPr>
          <w:rFonts w:ascii="Arial" w:hAnsi="Arial" w:cs="Arial"/>
          <w:sz w:val="24"/>
          <w:szCs w:val="24"/>
        </w:rPr>
      </w:pPr>
      <w:r w:rsidRPr="00076B33">
        <w:rPr>
          <w:rFonts w:ascii="Arial" w:hAnsi="Arial" w:cs="Arial"/>
          <w:b/>
          <w:sz w:val="24"/>
          <w:szCs w:val="24"/>
        </w:rPr>
        <w:t>Potential for Schedule 3 forecasts can be substituted with higher forecasts:</w:t>
      </w:r>
      <w:r>
        <w:rPr>
          <w:rFonts w:ascii="Arial" w:hAnsi="Arial" w:cs="Arial"/>
          <w:sz w:val="24"/>
          <w:szCs w:val="24"/>
        </w:rPr>
        <w:t xml:space="preserve"> This change is supported by HAPP as long as intensification efforts and efforts to reduce the need for settlement boundary expansion are not impacted.</w:t>
      </w:r>
    </w:p>
    <w:p w14:paraId="3A34DFB9" w14:textId="77777777" w:rsidR="006D23F5" w:rsidRDefault="006D23F5" w:rsidP="006D23F5">
      <w:pPr>
        <w:pStyle w:val="ListParagraph"/>
        <w:spacing w:after="0"/>
        <w:rPr>
          <w:rFonts w:ascii="Arial" w:hAnsi="Arial" w:cs="Arial"/>
          <w:sz w:val="24"/>
          <w:szCs w:val="24"/>
        </w:rPr>
      </w:pPr>
    </w:p>
    <w:p w14:paraId="19777EE5" w14:textId="77777777" w:rsidR="006D23F5" w:rsidRDefault="006D23F5" w:rsidP="006D23F5">
      <w:pPr>
        <w:pStyle w:val="ListParagraph"/>
        <w:numPr>
          <w:ilvl w:val="0"/>
          <w:numId w:val="9"/>
        </w:numPr>
        <w:spacing w:after="0"/>
        <w:rPr>
          <w:rFonts w:ascii="Arial" w:hAnsi="Arial" w:cs="Arial"/>
          <w:sz w:val="24"/>
          <w:szCs w:val="24"/>
        </w:rPr>
      </w:pPr>
      <w:r w:rsidRPr="00393F36">
        <w:rPr>
          <w:rFonts w:ascii="Arial" w:hAnsi="Arial" w:cs="Arial"/>
          <w:b/>
          <w:sz w:val="24"/>
          <w:szCs w:val="24"/>
        </w:rPr>
        <w:t>Proposed New Land Needs Assessment Methodology:</w:t>
      </w:r>
      <w:r>
        <w:rPr>
          <w:rFonts w:ascii="Arial" w:hAnsi="Arial" w:cs="Arial"/>
          <w:sz w:val="24"/>
          <w:szCs w:val="24"/>
        </w:rPr>
        <w:t xml:space="preserve"> HAPP generally supports this as a simplified version, focused on achieving accurate land needs assessment for upper-tier municipalities. It is noted in the Joint Submission that ‘market demand’ should be one consideration, among many others, when implementing the Growth Plan. With respect to Employment Land Needs Assessment Methodology, HAPP is also recommending that this process be revised to better identify new employment types reflecting local needs.</w:t>
      </w:r>
    </w:p>
    <w:p w14:paraId="184BE3FF" w14:textId="77777777" w:rsidR="006D23F5" w:rsidRDefault="006D23F5" w:rsidP="006D23F5">
      <w:pPr>
        <w:pStyle w:val="ListParagraph"/>
        <w:spacing w:after="0"/>
        <w:rPr>
          <w:rFonts w:ascii="Arial" w:hAnsi="Arial" w:cs="Arial"/>
          <w:sz w:val="24"/>
          <w:szCs w:val="24"/>
        </w:rPr>
      </w:pPr>
    </w:p>
    <w:p w14:paraId="32766815" w14:textId="77777777" w:rsidR="006D23F5" w:rsidRDefault="006D23F5" w:rsidP="006D23F5">
      <w:pPr>
        <w:pStyle w:val="ListParagraph"/>
        <w:numPr>
          <w:ilvl w:val="0"/>
          <w:numId w:val="9"/>
        </w:numPr>
        <w:spacing w:after="0"/>
        <w:rPr>
          <w:rFonts w:ascii="Arial" w:hAnsi="Arial" w:cs="Arial"/>
          <w:sz w:val="24"/>
          <w:szCs w:val="24"/>
        </w:rPr>
      </w:pPr>
      <w:r w:rsidRPr="00D6500F">
        <w:rPr>
          <w:rFonts w:ascii="Arial" w:hAnsi="Arial" w:cs="Arial"/>
          <w:b/>
          <w:sz w:val="24"/>
          <w:szCs w:val="24"/>
        </w:rPr>
        <w:t>New Mineral Aggregate Operations and Endangered Species Habitat:</w:t>
      </w:r>
      <w:r>
        <w:rPr>
          <w:rFonts w:ascii="Arial" w:hAnsi="Arial" w:cs="Arial"/>
          <w:sz w:val="24"/>
          <w:szCs w:val="24"/>
        </w:rPr>
        <w:t xml:space="preserve"> HAPP does not support this policy change as it is proposed. It is suggested, however, that if the change is to be carried forward, it be modified to better align with PPS policies, where justification is, at minimum, required before proceeding with an aggregate operation.</w:t>
      </w:r>
    </w:p>
    <w:p w14:paraId="0383BB2F" w14:textId="77777777" w:rsidR="006D23F5" w:rsidRPr="00204393" w:rsidRDefault="006D23F5" w:rsidP="006D23F5">
      <w:pPr>
        <w:pStyle w:val="ListParagraph"/>
        <w:rPr>
          <w:rFonts w:ascii="Arial" w:hAnsi="Arial" w:cs="Arial"/>
          <w:sz w:val="24"/>
          <w:szCs w:val="24"/>
        </w:rPr>
      </w:pPr>
    </w:p>
    <w:p w14:paraId="6FB0AD79" w14:textId="77777777" w:rsidR="006D23F5" w:rsidRDefault="006D23F5" w:rsidP="006D23F5">
      <w:pPr>
        <w:pStyle w:val="ListParagraph"/>
        <w:numPr>
          <w:ilvl w:val="0"/>
          <w:numId w:val="9"/>
        </w:numPr>
        <w:spacing w:after="0"/>
        <w:rPr>
          <w:rFonts w:ascii="Arial" w:hAnsi="Arial" w:cs="Arial"/>
          <w:sz w:val="24"/>
          <w:szCs w:val="24"/>
        </w:rPr>
      </w:pPr>
      <w:r w:rsidRPr="00E725C5">
        <w:rPr>
          <w:rFonts w:ascii="Arial" w:hAnsi="Arial" w:cs="Arial"/>
          <w:b/>
          <w:sz w:val="24"/>
          <w:szCs w:val="24"/>
        </w:rPr>
        <w:t>Employment land conversions in Provincially Significant Employment Zones, where located in Major Transit Station Areas:</w:t>
      </w:r>
      <w:r>
        <w:rPr>
          <w:rFonts w:ascii="Arial" w:hAnsi="Arial" w:cs="Arial"/>
          <w:sz w:val="24"/>
          <w:szCs w:val="24"/>
        </w:rPr>
        <w:t xml:space="preserve"> HAPP supported this change in principal. Town staff did not comment on this proposed change during the development of the Joint Statement as proposed MTSAs in Georgetown and Acton do not contain Provincially Significant Employment Zones.</w:t>
      </w:r>
    </w:p>
    <w:p w14:paraId="67FBEC06" w14:textId="77777777" w:rsidR="006D23F5" w:rsidRPr="00204393" w:rsidRDefault="006D23F5" w:rsidP="006D23F5">
      <w:pPr>
        <w:pStyle w:val="ListParagraph"/>
        <w:rPr>
          <w:rFonts w:ascii="Arial" w:hAnsi="Arial" w:cs="Arial"/>
          <w:sz w:val="24"/>
          <w:szCs w:val="24"/>
        </w:rPr>
      </w:pPr>
    </w:p>
    <w:p w14:paraId="469A7FC4" w14:textId="77777777" w:rsidR="006D23F5" w:rsidRDefault="006D23F5" w:rsidP="006D23F5">
      <w:pPr>
        <w:pStyle w:val="ListParagraph"/>
        <w:numPr>
          <w:ilvl w:val="0"/>
          <w:numId w:val="9"/>
        </w:numPr>
        <w:spacing w:after="0"/>
        <w:rPr>
          <w:rFonts w:ascii="Arial" w:hAnsi="Arial" w:cs="Arial"/>
          <w:sz w:val="24"/>
          <w:szCs w:val="24"/>
        </w:rPr>
      </w:pPr>
      <w:r w:rsidRPr="00B464D8">
        <w:rPr>
          <w:rFonts w:ascii="Arial" w:hAnsi="Arial" w:cs="Arial"/>
          <w:b/>
          <w:sz w:val="24"/>
          <w:szCs w:val="24"/>
        </w:rPr>
        <w:t>Strengthening of requirements for Indigenous Engagement:</w:t>
      </w:r>
      <w:r>
        <w:rPr>
          <w:rFonts w:ascii="Arial" w:hAnsi="Arial" w:cs="Arial"/>
          <w:sz w:val="24"/>
          <w:szCs w:val="24"/>
        </w:rPr>
        <w:t xml:space="preserve"> HAPP supports this change as it stands, but continues to advocate for a clear Provincial guideline on engagement with Indigenous communities.  </w:t>
      </w:r>
    </w:p>
    <w:p w14:paraId="30245706" w14:textId="77777777" w:rsidR="006D23F5" w:rsidRPr="00204393" w:rsidRDefault="006D23F5" w:rsidP="006D23F5">
      <w:pPr>
        <w:pStyle w:val="ListParagraph"/>
        <w:rPr>
          <w:rFonts w:ascii="Arial" w:hAnsi="Arial" w:cs="Arial"/>
          <w:sz w:val="24"/>
          <w:szCs w:val="24"/>
        </w:rPr>
      </w:pPr>
    </w:p>
    <w:p w14:paraId="7D2B4C54" w14:textId="14B3D929" w:rsidR="006D23F5" w:rsidRDefault="006D23F5" w:rsidP="006D23F5">
      <w:pPr>
        <w:pStyle w:val="ListParagraph"/>
        <w:numPr>
          <w:ilvl w:val="0"/>
          <w:numId w:val="9"/>
        </w:numPr>
        <w:spacing w:after="0"/>
        <w:rPr>
          <w:rFonts w:ascii="Arial" w:hAnsi="Arial" w:cs="Arial"/>
          <w:sz w:val="24"/>
          <w:szCs w:val="24"/>
        </w:rPr>
      </w:pPr>
      <w:r w:rsidRPr="0041566A">
        <w:rPr>
          <w:rFonts w:ascii="Arial" w:hAnsi="Arial" w:cs="Arial"/>
          <w:b/>
          <w:sz w:val="24"/>
          <w:szCs w:val="24"/>
        </w:rPr>
        <w:t>Changes to achieve consistency with the PPS:</w:t>
      </w:r>
      <w:r>
        <w:rPr>
          <w:rFonts w:ascii="Arial" w:hAnsi="Arial" w:cs="Arial"/>
          <w:sz w:val="24"/>
          <w:szCs w:val="24"/>
        </w:rPr>
        <w:t xml:space="preserve"> HAPP supports these changes in principal but also notes the need to update other definitions present in the Growth Plan to better align with the PPS (e.g. </w:t>
      </w:r>
      <w:r w:rsidR="008D171A">
        <w:rPr>
          <w:rFonts w:ascii="Arial" w:hAnsi="Arial" w:cs="Arial"/>
          <w:sz w:val="24"/>
          <w:szCs w:val="24"/>
        </w:rPr>
        <w:t>additional</w:t>
      </w:r>
      <w:r>
        <w:rPr>
          <w:rFonts w:ascii="Arial" w:hAnsi="Arial" w:cs="Arial"/>
          <w:sz w:val="24"/>
          <w:szCs w:val="24"/>
        </w:rPr>
        <w:t xml:space="preserve"> residential units, Built heritage resource).</w:t>
      </w:r>
    </w:p>
    <w:p w14:paraId="011C39D7" w14:textId="77777777" w:rsidR="006D23F5" w:rsidRPr="00204393" w:rsidRDefault="006D23F5" w:rsidP="006D23F5">
      <w:pPr>
        <w:pStyle w:val="ListParagraph"/>
        <w:rPr>
          <w:rFonts w:ascii="Arial" w:hAnsi="Arial" w:cs="Arial"/>
          <w:sz w:val="24"/>
          <w:szCs w:val="24"/>
        </w:rPr>
      </w:pPr>
    </w:p>
    <w:p w14:paraId="32E3A261" w14:textId="77777777" w:rsidR="006D23F5" w:rsidRDefault="006D23F5" w:rsidP="006D23F5">
      <w:pPr>
        <w:pStyle w:val="ListParagraph"/>
        <w:numPr>
          <w:ilvl w:val="0"/>
          <w:numId w:val="9"/>
        </w:numPr>
        <w:spacing w:after="0"/>
        <w:rPr>
          <w:rFonts w:ascii="Arial" w:hAnsi="Arial" w:cs="Arial"/>
          <w:sz w:val="24"/>
          <w:szCs w:val="24"/>
        </w:rPr>
      </w:pPr>
      <w:r w:rsidRPr="0041566A">
        <w:rPr>
          <w:rFonts w:ascii="Arial" w:hAnsi="Arial" w:cs="Arial"/>
          <w:b/>
          <w:sz w:val="24"/>
          <w:szCs w:val="24"/>
        </w:rPr>
        <w:t>Growth Plan Conformity Date:</w:t>
      </w:r>
      <w:r>
        <w:rPr>
          <w:rFonts w:ascii="Arial" w:hAnsi="Arial" w:cs="Arial"/>
          <w:sz w:val="24"/>
          <w:szCs w:val="24"/>
        </w:rPr>
        <w:t xml:space="preserve"> HAPP supports continuing with the current Growth Plan conformity date of July 1, 2022. This will allow Halton Region to complete its Municipal Comprehensive Review, and subsequently the area municipalities to complete Growth Plan and Regional Official Plan conformity exercises in a timely manner.</w:t>
      </w:r>
    </w:p>
    <w:p w14:paraId="79509EEF" w14:textId="77777777" w:rsidR="00AA5566" w:rsidRDefault="00AA5566" w:rsidP="00AA5566">
      <w:pPr>
        <w:spacing w:after="0" w:line="240" w:lineRule="auto"/>
        <w:contextualSpacing/>
        <w:rPr>
          <w:rFonts w:ascii="Arial" w:hAnsi="Arial" w:cs="Arial"/>
          <w:sz w:val="24"/>
          <w:szCs w:val="24"/>
        </w:rPr>
      </w:pPr>
    </w:p>
    <w:p w14:paraId="3EEDBECD" w14:textId="12801658" w:rsidR="005202E1" w:rsidRDefault="005202E1" w:rsidP="00AA5566">
      <w:pPr>
        <w:spacing w:after="0" w:line="240" w:lineRule="auto"/>
        <w:contextualSpacing/>
        <w:rPr>
          <w:rFonts w:ascii="Arial" w:hAnsi="Arial" w:cs="Arial"/>
          <w:sz w:val="24"/>
          <w:szCs w:val="24"/>
        </w:rPr>
      </w:pPr>
    </w:p>
    <w:p w14:paraId="2705544F" w14:textId="77777777" w:rsidR="005202E1" w:rsidRDefault="005202E1" w:rsidP="00AA5566">
      <w:pPr>
        <w:spacing w:after="0" w:line="240" w:lineRule="auto"/>
        <w:contextualSpacing/>
        <w:rPr>
          <w:rFonts w:ascii="Arial" w:hAnsi="Arial" w:cs="Arial"/>
          <w:sz w:val="24"/>
          <w:szCs w:val="24"/>
        </w:rPr>
      </w:pPr>
    </w:p>
    <w:p w14:paraId="272FAFA9" w14:textId="77777777" w:rsidR="005202E1" w:rsidRDefault="005202E1" w:rsidP="00AA5566">
      <w:pPr>
        <w:spacing w:after="0" w:line="240" w:lineRule="auto"/>
        <w:contextualSpacing/>
        <w:rPr>
          <w:rFonts w:ascii="Arial" w:hAnsi="Arial" w:cs="Arial"/>
          <w:sz w:val="24"/>
          <w:szCs w:val="24"/>
        </w:rPr>
      </w:pPr>
    </w:p>
    <w:p w14:paraId="46550878" w14:textId="77777777" w:rsidR="005202E1" w:rsidRDefault="005202E1" w:rsidP="00AA5566">
      <w:pPr>
        <w:spacing w:after="0" w:line="240" w:lineRule="auto"/>
        <w:contextualSpacing/>
        <w:rPr>
          <w:rFonts w:ascii="Arial" w:hAnsi="Arial" w:cs="Arial"/>
          <w:sz w:val="24"/>
          <w:szCs w:val="24"/>
        </w:rPr>
      </w:pPr>
    </w:p>
    <w:p w14:paraId="147B3563" w14:textId="77777777" w:rsidR="005202E1" w:rsidRDefault="005202E1" w:rsidP="00AA5566">
      <w:pPr>
        <w:spacing w:after="0" w:line="240" w:lineRule="auto"/>
        <w:contextualSpacing/>
        <w:rPr>
          <w:rFonts w:ascii="Arial" w:hAnsi="Arial" w:cs="Arial"/>
          <w:sz w:val="24"/>
          <w:szCs w:val="24"/>
        </w:rPr>
      </w:pPr>
    </w:p>
    <w:p w14:paraId="3F04A622" w14:textId="77777777" w:rsidR="006D23F5" w:rsidRDefault="006D23F5" w:rsidP="006D23F5">
      <w:pPr>
        <w:spacing w:after="0"/>
        <w:rPr>
          <w:rFonts w:ascii="Arial" w:hAnsi="Arial" w:cs="Arial"/>
          <w:b/>
          <w:sz w:val="24"/>
          <w:szCs w:val="24"/>
        </w:rPr>
      </w:pPr>
      <w:r>
        <w:rPr>
          <w:rFonts w:ascii="Arial" w:hAnsi="Arial" w:cs="Arial"/>
          <w:b/>
          <w:sz w:val="24"/>
          <w:szCs w:val="24"/>
        </w:rPr>
        <w:lastRenderedPageBreak/>
        <w:t>2.0 Input from Town Staff</w:t>
      </w:r>
    </w:p>
    <w:p w14:paraId="306646C9" w14:textId="77777777" w:rsidR="006D23F5" w:rsidRDefault="006D23F5" w:rsidP="006D23F5">
      <w:pPr>
        <w:spacing w:after="0"/>
        <w:rPr>
          <w:rFonts w:ascii="Arial" w:hAnsi="Arial" w:cs="Arial"/>
          <w:b/>
          <w:sz w:val="24"/>
          <w:szCs w:val="24"/>
        </w:rPr>
      </w:pPr>
    </w:p>
    <w:p w14:paraId="5EB65E17" w14:textId="77777777" w:rsidR="006D23F5" w:rsidRDefault="006D23F5" w:rsidP="006D23F5">
      <w:pPr>
        <w:spacing w:after="0"/>
        <w:rPr>
          <w:rFonts w:ascii="Arial" w:hAnsi="Arial" w:cs="Arial"/>
          <w:sz w:val="24"/>
          <w:szCs w:val="24"/>
        </w:rPr>
      </w:pPr>
      <w:r w:rsidRPr="00D346F3">
        <w:rPr>
          <w:rFonts w:ascii="Arial" w:hAnsi="Arial" w:cs="Arial"/>
          <w:sz w:val="24"/>
          <w:szCs w:val="24"/>
        </w:rPr>
        <w:t>Town staff</w:t>
      </w:r>
      <w:r>
        <w:rPr>
          <w:rFonts w:ascii="Arial" w:hAnsi="Arial" w:cs="Arial"/>
          <w:sz w:val="24"/>
          <w:szCs w:val="24"/>
        </w:rPr>
        <w:t xml:space="preserve"> met with other members of HAPP in late June, where it was agreed that a Joint Submission should be put together and submitted to the Province ahead of the July 31 deadline. Comment from Town staff on the Proposed Amendment and Land Needs Assessment Methodology focused on:</w:t>
      </w:r>
    </w:p>
    <w:p w14:paraId="154486BA" w14:textId="77777777" w:rsidR="006D23F5" w:rsidRDefault="006D23F5" w:rsidP="006D23F5">
      <w:pPr>
        <w:spacing w:after="0"/>
        <w:rPr>
          <w:rFonts w:ascii="Arial" w:hAnsi="Arial" w:cs="Arial"/>
          <w:sz w:val="24"/>
          <w:szCs w:val="24"/>
        </w:rPr>
      </w:pPr>
    </w:p>
    <w:p w14:paraId="00F15668" w14:textId="77777777" w:rsidR="006D23F5" w:rsidRDefault="006D23F5" w:rsidP="006D23F5">
      <w:pPr>
        <w:pStyle w:val="ListParagraph"/>
        <w:numPr>
          <w:ilvl w:val="0"/>
          <w:numId w:val="10"/>
        </w:numPr>
        <w:spacing w:after="0"/>
        <w:rPr>
          <w:rFonts w:ascii="Arial" w:hAnsi="Arial" w:cs="Arial"/>
          <w:sz w:val="24"/>
          <w:szCs w:val="24"/>
        </w:rPr>
      </w:pPr>
      <w:r w:rsidRPr="007D299E">
        <w:rPr>
          <w:rFonts w:ascii="Arial" w:hAnsi="Arial" w:cs="Arial"/>
          <w:b/>
          <w:sz w:val="24"/>
          <w:szCs w:val="24"/>
        </w:rPr>
        <w:t>Removal of protections for endangered species in the Growth Plan for new mineral aggregate operations:</w:t>
      </w:r>
      <w:r>
        <w:rPr>
          <w:rFonts w:ascii="Arial" w:hAnsi="Arial" w:cs="Arial"/>
          <w:sz w:val="24"/>
          <w:szCs w:val="24"/>
        </w:rPr>
        <w:t xml:space="preserve"> Town staff noted this proposed policy change should be reconsidered given the potential for endangered species habitat to be located outside of significant wetlands and woodlands. These concerns were largely reflected in the comments included in the Joint Submission.</w:t>
      </w:r>
    </w:p>
    <w:p w14:paraId="458C762C" w14:textId="77777777" w:rsidR="006D23F5" w:rsidRDefault="006D23F5" w:rsidP="006D23F5">
      <w:pPr>
        <w:pStyle w:val="ListParagraph"/>
        <w:spacing w:after="0"/>
        <w:rPr>
          <w:rFonts w:ascii="Arial" w:hAnsi="Arial" w:cs="Arial"/>
          <w:sz w:val="24"/>
          <w:szCs w:val="24"/>
        </w:rPr>
      </w:pPr>
    </w:p>
    <w:p w14:paraId="389E5E23" w14:textId="77777777" w:rsidR="006D23F5" w:rsidRDefault="006D23F5" w:rsidP="006D23F5">
      <w:pPr>
        <w:pStyle w:val="ListParagraph"/>
        <w:numPr>
          <w:ilvl w:val="0"/>
          <w:numId w:val="10"/>
        </w:numPr>
        <w:spacing w:after="0"/>
        <w:rPr>
          <w:rFonts w:ascii="Arial" w:hAnsi="Arial" w:cs="Arial"/>
          <w:sz w:val="24"/>
          <w:szCs w:val="24"/>
        </w:rPr>
      </w:pPr>
      <w:r w:rsidRPr="00204393">
        <w:rPr>
          <w:rFonts w:ascii="Arial" w:hAnsi="Arial" w:cs="Arial"/>
          <w:b/>
          <w:sz w:val="24"/>
          <w:szCs w:val="24"/>
        </w:rPr>
        <w:t>Engagement with Indigenous communities:</w:t>
      </w:r>
      <w:r>
        <w:rPr>
          <w:rFonts w:ascii="Arial" w:hAnsi="Arial" w:cs="Arial"/>
          <w:sz w:val="24"/>
          <w:szCs w:val="24"/>
        </w:rPr>
        <w:t xml:space="preserve"> As in past Joint Submissions (i.e. PPS Review), Town staff continue to be supportive of the Provincial efforts to include stronger policy language for Indigenous community engagement. For this submission, staff noted that a Provincial guideline is still not in place for what constitutes meaningful engagement. This concern was included in the comments included in the Joint Submission.</w:t>
      </w:r>
    </w:p>
    <w:p w14:paraId="2E8E3617" w14:textId="77777777" w:rsidR="006D23F5" w:rsidRPr="00204393" w:rsidRDefault="006D23F5" w:rsidP="006D23F5">
      <w:pPr>
        <w:pStyle w:val="ListParagraph"/>
        <w:rPr>
          <w:rFonts w:ascii="Arial" w:hAnsi="Arial" w:cs="Arial"/>
          <w:sz w:val="24"/>
          <w:szCs w:val="24"/>
        </w:rPr>
      </w:pPr>
    </w:p>
    <w:p w14:paraId="20BDCDE0" w14:textId="77777777" w:rsidR="006D23F5" w:rsidRDefault="006D23F5" w:rsidP="006D23F5">
      <w:pPr>
        <w:pStyle w:val="ListParagraph"/>
        <w:numPr>
          <w:ilvl w:val="0"/>
          <w:numId w:val="10"/>
        </w:numPr>
        <w:spacing w:after="0"/>
        <w:rPr>
          <w:rFonts w:ascii="Arial" w:hAnsi="Arial" w:cs="Arial"/>
          <w:sz w:val="24"/>
          <w:szCs w:val="24"/>
        </w:rPr>
      </w:pPr>
      <w:r w:rsidRPr="00F12A42">
        <w:rPr>
          <w:rFonts w:ascii="Arial" w:hAnsi="Arial" w:cs="Arial"/>
          <w:b/>
          <w:sz w:val="24"/>
          <w:szCs w:val="24"/>
        </w:rPr>
        <w:t>New Land Needs Assessment Methodology:</w:t>
      </w:r>
      <w:r>
        <w:rPr>
          <w:rFonts w:ascii="Arial" w:hAnsi="Arial" w:cs="Arial"/>
          <w:sz w:val="24"/>
          <w:szCs w:val="24"/>
        </w:rPr>
        <w:t xml:space="preserve"> Overall, Town staff supports the proposed LNA methodology, particularly where it recognizes the need for local flexibility in considering alternate assumptions about population and employment growth. Additionally, Town staff supports the encouragement of dialogue between upper and lower-tier municipalities in the implementation of such methodology. Lastly, staff supports that the proposed methodology considers factors such as complete communities, minimum intensification and designated greenfield area targets, in addition to local market conditions.</w:t>
      </w:r>
    </w:p>
    <w:p w14:paraId="2C8FC2B9" w14:textId="77777777" w:rsidR="006D23F5" w:rsidRPr="00204393" w:rsidRDefault="006D23F5" w:rsidP="006D23F5">
      <w:pPr>
        <w:pStyle w:val="ListParagraph"/>
        <w:rPr>
          <w:rFonts w:ascii="Arial" w:hAnsi="Arial" w:cs="Arial"/>
          <w:sz w:val="24"/>
          <w:szCs w:val="24"/>
        </w:rPr>
      </w:pPr>
    </w:p>
    <w:p w14:paraId="222DFD77" w14:textId="77777777" w:rsidR="006D23F5" w:rsidRPr="00D346F3" w:rsidRDefault="006D23F5" w:rsidP="006D23F5">
      <w:pPr>
        <w:pStyle w:val="ListParagraph"/>
        <w:numPr>
          <w:ilvl w:val="0"/>
          <w:numId w:val="10"/>
        </w:numPr>
        <w:spacing w:after="0"/>
        <w:rPr>
          <w:rFonts w:ascii="Arial" w:hAnsi="Arial" w:cs="Arial"/>
          <w:sz w:val="24"/>
          <w:szCs w:val="24"/>
        </w:rPr>
      </w:pPr>
      <w:r>
        <w:rPr>
          <w:rFonts w:ascii="Arial" w:hAnsi="Arial" w:cs="Arial"/>
          <w:b/>
          <w:sz w:val="24"/>
          <w:szCs w:val="24"/>
        </w:rPr>
        <w:t>Support for Mock B scenario:</w:t>
      </w:r>
      <w:r>
        <w:rPr>
          <w:rFonts w:ascii="Arial" w:hAnsi="Arial" w:cs="Arial"/>
          <w:sz w:val="24"/>
          <w:szCs w:val="24"/>
        </w:rPr>
        <w:t xml:space="preserve"> Town staff expressed support for the Mock B scenario (Schedule 3 showing 2051 forecasts only)</w:t>
      </w:r>
      <w:r w:rsidRPr="009C0018">
        <w:t xml:space="preserve"> </w:t>
      </w:r>
      <w:r>
        <w:rPr>
          <w:rFonts w:ascii="Arial" w:hAnsi="Arial" w:cs="Arial"/>
          <w:sz w:val="24"/>
          <w:szCs w:val="24"/>
        </w:rPr>
        <w:t xml:space="preserve">with a clear objective of </w:t>
      </w:r>
      <w:r w:rsidRPr="009C0018">
        <w:rPr>
          <w:rFonts w:ascii="Arial" w:hAnsi="Arial" w:cs="Arial"/>
          <w:sz w:val="24"/>
          <w:szCs w:val="24"/>
        </w:rPr>
        <w:t>steady and predictable phasing in growth, accompanied by seamless servicing and allocation.</w:t>
      </w:r>
      <w:r>
        <w:rPr>
          <w:rFonts w:ascii="Arial" w:hAnsi="Arial" w:cs="Arial"/>
          <w:sz w:val="24"/>
          <w:szCs w:val="24"/>
        </w:rPr>
        <w:t xml:space="preserve"> This was largely reflected in the comments included in the Joint Submission.</w:t>
      </w:r>
    </w:p>
    <w:p w14:paraId="79509EF0" w14:textId="77777777" w:rsidR="00AA5566" w:rsidRDefault="00AA5566" w:rsidP="00AA5566">
      <w:pPr>
        <w:spacing w:after="0" w:line="240" w:lineRule="auto"/>
        <w:contextualSpacing/>
        <w:rPr>
          <w:rFonts w:ascii="Arial" w:hAnsi="Arial" w:cs="Arial"/>
          <w:sz w:val="24"/>
          <w:szCs w:val="24"/>
        </w:rPr>
      </w:pPr>
    </w:p>
    <w:p w14:paraId="1EE0510F" w14:textId="77777777" w:rsidR="006D23F5" w:rsidRPr="00943F9B" w:rsidRDefault="006D23F5" w:rsidP="006D23F5">
      <w:pPr>
        <w:spacing w:after="0"/>
        <w:rPr>
          <w:rFonts w:ascii="Arial" w:hAnsi="Arial" w:cs="Arial"/>
          <w:b/>
          <w:sz w:val="24"/>
          <w:szCs w:val="24"/>
        </w:rPr>
      </w:pPr>
      <w:r>
        <w:rPr>
          <w:rFonts w:ascii="Arial" w:hAnsi="Arial" w:cs="Arial"/>
          <w:b/>
          <w:sz w:val="24"/>
          <w:szCs w:val="24"/>
        </w:rPr>
        <w:t>3</w:t>
      </w:r>
      <w:r w:rsidRPr="00943F9B">
        <w:rPr>
          <w:rFonts w:ascii="Arial" w:hAnsi="Arial" w:cs="Arial"/>
          <w:b/>
          <w:sz w:val="24"/>
          <w:szCs w:val="24"/>
        </w:rPr>
        <w:t>.0 Next Steps</w:t>
      </w:r>
    </w:p>
    <w:p w14:paraId="1E926639" w14:textId="77777777" w:rsidR="006D23F5" w:rsidRDefault="006D23F5" w:rsidP="006D23F5">
      <w:pPr>
        <w:spacing w:after="0"/>
      </w:pPr>
    </w:p>
    <w:p w14:paraId="71684DE7" w14:textId="77777777" w:rsidR="006D23F5" w:rsidRPr="003C342B" w:rsidRDefault="006D23F5" w:rsidP="006D23F5">
      <w:pPr>
        <w:spacing w:after="0" w:line="240" w:lineRule="auto"/>
        <w:contextualSpacing/>
        <w:rPr>
          <w:rFonts w:ascii="Arial" w:hAnsi="Arial" w:cs="Arial"/>
          <w:sz w:val="24"/>
          <w:szCs w:val="24"/>
        </w:rPr>
      </w:pPr>
      <w:r>
        <w:rPr>
          <w:rFonts w:ascii="Arial" w:hAnsi="Arial" w:cs="Arial"/>
          <w:sz w:val="24"/>
          <w:szCs w:val="24"/>
        </w:rPr>
        <w:t xml:space="preserve">The Proposed Amendment 1 to the Growth Plan and Proposed Land Needs Methodology consultation period closes on July 31, after which both will be finalized and released. </w:t>
      </w:r>
      <w:r w:rsidRPr="00303831">
        <w:rPr>
          <w:rFonts w:ascii="Arial" w:hAnsi="Arial" w:cs="Arial"/>
          <w:sz w:val="24"/>
          <w:szCs w:val="24"/>
        </w:rPr>
        <w:t xml:space="preserve">It is recommended that staff be directed to report back to Council </w:t>
      </w:r>
      <w:r>
        <w:rPr>
          <w:rFonts w:ascii="Arial" w:hAnsi="Arial" w:cs="Arial"/>
          <w:sz w:val="24"/>
          <w:szCs w:val="24"/>
        </w:rPr>
        <w:t>on the outcome of this process and when the Amendment is expected to take effect.</w:t>
      </w:r>
    </w:p>
    <w:p w14:paraId="79509EF1" w14:textId="77777777" w:rsidR="00AA5566" w:rsidRDefault="00AA5566" w:rsidP="00AA5566">
      <w:pPr>
        <w:pStyle w:val="Subtitle"/>
        <w:jc w:val="left"/>
        <w:rPr>
          <w:rFonts w:ascii="Arial" w:hAnsi="Arial" w:cs="Arial"/>
          <w:b/>
        </w:rPr>
      </w:pPr>
      <w:r>
        <w:rPr>
          <w:rFonts w:ascii="Arial" w:hAnsi="Arial" w:cs="Arial"/>
          <w:b/>
        </w:rPr>
        <w:lastRenderedPageBreak/>
        <w:t>RELATIONSHIP TO STRATEGIC PLAN:</w:t>
      </w:r>
    </w:p>
    <w:p w14:paraId="472D2B51" w14:textId="77777777" w:rsidR="002A3474" w:rsidRPr="003C342B" w:rsidRDefault="002A3474" w:rsidP="002A3474">
      <w:pPr>
        <w:spacing w:after="120" w:line="240" w:lineRule="auto"/>
        <w:rPr>
          <w:rFonts w:ascii="Arial" w:eastAsia="Times New Roman" w:hAnsi="Arial"/>
          <w:color w:val="000000"/>
          <w:sz w:val="24"/>
          <w:szCs w:val="20"/>
        </w:rPr>
      </w:pPr>
      <w:r w:rsidRPr="003C342B">
        <w:rPr>
          <w:rFonts w:ascii="Arial" w:eastAsia="Times New Roman" w:hAnsi="Arial"/>
          <w:color w:val="000000"/>
          <w:sz w:val="24"/>
          <w:szCs w:val="20"/>
        </w:rPr>
        <w:t>This report relates directly to the implementation of the entire Town Strategic Plan, but in particular Strategic Direction I: Provide Responsive, Effective Municipal Government, the Goal to provide strong leadership in the effective and efficient delivery of municipal services, and the following Strategic Objectives:</w:t>
      </w:r>
    </w:p>
    <w:p w14:paraId="2AE3A3E9" w14:textId="77777777" w:rsidR="002A3474" w:rsidRPr="003C342B" w:rsidRDefault="002A3474" w:rsidP="002A3474">
      <w:pPr>
        <w:spacing w:after="0" w:line="240" w:lineRule="auto"/>
        <w:ind w:left="1440" w:hanging="720"/>
        <w:rPr>
          <w:rFonts w:ascii="Arial" w:eastAsia="Times New Roman" w:hAnsi="Arial"/>
          <w:color w:val="000000"/>
          <w:sz w:val="24"/>
          <w:szCs w:val="20"/>
        </w:rPr>
      </w:pPr>
      <w:r w:rsidRPr="003C342B">
        <w:rPr>
          <w:rFonts w:ascii="Arial" w:eastAsia="Times New Roman" w:hAnsi="Arial"/>
          <w:color w:val="000000"/>
          <w:sz w:val="24"/>
          <w:szCs w:val="20"/>
        </w:rPr>
        <w:t xml:space="preserve">I.6 </w:t>
      </w:r>
      <w:r w:rsidRPr="003C342B">
        <w:rPr>
          <w:rFonts w:ascii="Arial" w:eastAsia="Times New Roman" w:hAnsi="Arial"/>
          <w:color w:val="000000"/>
          <w:sz w:val="24"/>
          <w:szCs w:val="20"/>
        </w:rPr>
        <w:tab/>
        <w:t>To participate fully in Region-wide initiatives to protect and promote the Town's objectives.</w:t>
      </w:r>
    </w:p>
    <w:p w14:paraId="7A13E12E" w14:textId="77777777" w:rsidR="002A3474" w:rsidRPr="003C342B" w:rsidRDefault="002A3474" w:rsidP="002A3474">
      <w:pPr>
        <w:spacing w:after="0" w:line="240" w:lineRule="auto"/>
        <w:ind w:left="1440" w:hanging="720"/>
        <w:contextualSpacing/>
        <w:rPr>
          <w:rFonts w:ascii="Arial" w:hAnsi="Arial" w:cs="Arial"/>
          <w:sz w:val="24"/>
          <w:szCs w:val="24"/>
        </w:rPr>
      </w:pPr>
      <w:r w:rsidRPr="003C342B">
        <w:rPr>
          <w:rFonts w:ascii="Arial" w:eastAsia="Times New Roman" w:hAnsi="Arial"/>
          <w:color w:val="000000"/>
          <w:sz w:val="24"/>
          <w:szCs w:val="20"/>
        </w:rPr>
        <w:t xml:space="preserve">I.7 </w:t>
      </w:r>
      <w:r w:rsidRPr="003C342B">
        <w:rPr>
          <w:rFonts w:ascii="Arial" w:eastAsia="Times New Roman" w:hAnsi="Arial"/>
          <w:color w:val="000000"/>
          <w:sz w:val="24"/>
          <w:szCs w:val="20"/>
        </w:rPr>
        <w:tab/>
        <w:t>To foster a greater understanding of the Town's roles and responsibilities and relationships with other orders of government.</w:t>
      </w:r>
    </w:p>
    <w:p w14:paraId="79509EF3" w14:textId="77777777" w:rsidR="00AA5566" w:rsidRDefault="00AA5566" w:rsidP="00AA5566">
      <w:pPr>
        <w:spacing w:after="0" w:line="240" w:lineRule="auto"/>
        <w:contextualSpacing/>
        <w:rPr>
          <w:rFonts w:ascii="Arial" w:hAnsi="Arial" w:cs="Arial"/>
          <w:sz w:val="24"/>
          <w:szCs w:val="24"/>
        </w:rPr>
      </w:pPr>
    </w:p>
    <w:p w14:paraId="79509EF4" w14:textId="77777777" w:rsidR="00AA5566" w:rsidRDefault="00AA5566" w:rsidP="00AA5566">
      <w:pPr>
        <w:pStyle w:val="Subtitle"/>
        <w:jc w:val="left"/>
        <w:rPr>
          <w:rFonts w:ascii="Arial" w:hAnsi="Arial" w:cs="Arial"/>
          <w:b/>
        </w:rPr>
      </w:pPr>
      <w:r>
        <w:rPr>
          <w:rFonts w:ascii="Arial" w:hAnsi="Arial" w:cs="Arial"/>
          <w:b/>
        </w:rPr>
        <w:t>FINANCIAL IMPACT:</w:t>
      </w:r>
    </w:p>
    <w:p w14:paraId="10B4B883" w14:textId="77777777" w:rsidR="002A3474" w:rsidRDefault="002A3474" w:rsidP="002A3474">
      <w:pPr>
        <w:spacing w:after="0" w:line="240" w:lineRule="auto"/>
        <w:contextualSpacing/>
        <w:rPr>
          <w:rFonts w:ascii="Arial" w:hAnsi="Arial" w:cs="Arial"/>
          <w:sz w:val="24"/>
          <w:szCs w:val="24"/>
        </w:rPr>
      </w:pPr>
      <w:r w:rsidRPr="003C342B">
        <w:rPr>
          <w:rFonts w:ascii="Arial" w:hAnsi="Arial" w:cs="Arial"/>
          <w:sz w:val="24"/>
          <w:szCs w:val="24"/>
        </w:rPr>
        <w:t>There is no financial impact associated with this report.</w:t>
      </w:r>
    </w:p>
    <w:p w14:paraId="79509EF6" w14:textId="77777777" w:rsidR="00AA5566" w:rsidRDefault="00AA5566" w:rsidP="00AA5566">
      <w:pPr>
        <w:spacing w:after="0" w:line="240" w:lineRule="auto"/>
        <w:contextualSpacing/>
        <w:rPr>
          <w:rFonts w:ascii="Arial" w:hAnsi="Arial" w:cs="Arial"/>
          <w:sz w:val="24"/>
          <w:szCs w:val="24"/>
        </w:rPr>
      </w:pPr>
    </w:p>
    <w:p w14:paraId="17F65BF0" w14:textId="77777777" w:rsidR="005202E1" w:rsidRDefault="005202E1" w:rsidP="00AA5566">
      <w:pPr>
        <w:spacing w:after="0" w:line="240" w:lineRule="auto"/>
        <w:contextualSpacing/>
        <w:rPr>
          <w:rFonts w:ascii="Arial" w:hAnsi="Arial" w:cs="Arial"/>
          <w:sz w:val="24"/>
          <w:szCs w:val="24"/>
        </w:rPr>
      </w:pPr>
    </w:p>
    <w:p w14:paraId="79509EF7" w14:textId="73943513" w:rsidR="00AA5566" w:rsidRDefault="00AA5566" w:rsidP="00AA5566">
      <w:pPr>
        <w:pStyle w:val="Subtitle"/>
        <w:jc w:val="left"/>
        <w:rPr>
          <w:rFonts w:ascii="Arial" w:hAnsi="Arial" w:cs="Arial"/>
          <w:b/>
        </w:rPr>
      </w:pPr>
      <w:r>
        <w:rPr>
          <w:rFonts w:ascii="Arial" w:hAnsi="Arial" w:cs="Arial"/>
          <w:b/>
        </w:rPr>
        <w:t>CONSULTATION:</w:t>
      </w:r>
    </w:p>
    <w:p w14:paraId="5B9290DC" w14:textId="77777777" w:rsidR="002A3474" w:rsidRDefault="002A3474" w:rsidP="002A3474">
      <w:pPr>
        <w:spacing w:after="0" w:line="240" w:lineRule="auto"/>
        <w:contextualSpacing/>
        <w:rPr>
          <w:rFonts w:ascii="Arial" w:hAnsi="Arial" w:cs="Arial"/>
          <w:sz w:val="24"/>
          <w:szCs w:val="24"/>
        </w:rPr>
      </w:pPr>
      <w:r w:rsidRPr="003C342B">
        <w:rPr>
          <w:rFonts w:ascii="Arial" w:hAnsi="Arial" w:cs="Arial"/>
          <w:sz w:val="24"/>
          <w:szCs w:val="24"/>
        </w:rPr>
        <w:t>The Halton Area Planning Partnership consisting of the Region of Halton, the four Local Municipalities, Credit Valley Conservation, Conservation Halton, and Grand River Conservation Authority participated in the preparation of the Joint Submission that is the subject of this report.</w:t>
      </w:r>
    </w:p>
    <w:p w14:paraId="79509EF9" w14:textId="77777777" w:rsidR="00AA5566" w:rsidRDefault="00AA5566" w:rsidP="00AA5566">
      <w:pPr>
        <w:spacing w:after="0" w:line="240" w:lineRule="auto"/>
        <w:contextualSpacing/>
        <w:rPr>
          <w:rFonts w:ascii="Arial" w:hAnsi="Arial" w:cs="Arial"/>
          <w:sz w:val="24"/>
          <w:szCs w:val="24"/>
        </w:rPr>
      </w:pPr>
    </w:p>
    <w:p w14:paraId="5A8C5545" w14:textId="77777777" w:rsidR="005202E1" w:rsidRDefault="005202E1" w:rsidP="00AA5566">
      <w:pPr>
        <w:spacing w:after="0" w:line="240" w:lineRule="auto"/>
        <w:contextualSpacing/>
        <w:rPr>
          <w:rFonts w:ascii="Arial" w:hAnsi="Arial" w:cs="Arial"/>
          <w:sz w:val="24"/>
          <w:szCs w:val="24"/>
        </w:rPr>
      </w:pPr>
    </w:p>
    <w:p w14:paraId="79509EFA" w14:textId="77777777" w:rsidR="00AA5566" w:rsidRDefault="00AA5566" w:rsidP="00AA5566">
      <w:pPr>
        <w:pStyle w:val="Subtitle"/>
        <w:jc w:val="left"/>
        <w:rPr>
          <w:rFonts w:ascii="Arial" w:hAnsi="Arial" w:cs="Arial"/>
          <w:b/>
        </w:rPr>
      </w:pPr>
      <w:r>
        <w:rPr>
          <w:rFonts w:ascii="Arial" w:hAnsi="Arial" w:cs="Arial"/>
          <w:b/>
        </w:rPr>
        <w:t>PUBLIC ENGAGEMENT:</w:t>
      </w:r>
    </w:p>
    <w:p w14:paraId="79509EFB" w14:textId="0BE42487" w:rsidR="00AA5566" w:rsidRDefault="002A3474" w:rsidP="00AA5566">
      <w:pPr>
        <w:spacing w:after="0" w:line="240" w:lineRule="auto"/>
        <w:contextualSpacing/>
        <w:rPr>
          <w:rFonts w:ascii="Arial" w:hAnsi="Arial" w:cs="Arial"/>
          <w:sz w:val="24"/>
          <w:szCs w:val="24"/>
        </w:rPr>
      </w:pPr>
      <w:r w:rsidRPr="003C342B">
        <w:rPr>
          <w:rFonts w:ascii="Arial" w:hAnsi="Arial" w:cs="Arial"/>
          <w:sz w:val="24"/>
          <w:szCs w:val="24"/>
        </w:rPr>
        <w:t>No public engagement was undertaken for this report.</w:t>
      </w:r>
    </w:p>
    <w:p w14:paraId="79509EFC" w14:textId="77777777" w:rsidR="00AA5566" w:rsidRDefault="00AA5566" w:rsidP="00AA5566">
      <w:pPr>
        <w:spacing w:after="0" w:line="240" w:lineRule="auto"/>
        <w:contextualSpacing/>
        <w:rPr>
          <w:rFonts w:ascii="Arial" w:hAnsi="Arial" w:cs="Arial"/>
          <w:sz w:val="24"/>
          <w:szCs w:val="24"/>
        </w:rPr>
      </w:pPr>
    </w:p>
    <w:p w14:paraId="0C1BEE84" w14:textId="77777777" w:rsidR="005202E1" w:rsidRDefault="005202E1" w:rsidP="00AA5566">
      <w:pPr>
        <w:spacing w:after="0" w:line="240" w:lineRule="auto"/>
        <w:contextualSpacing/>
        <w:rPr>
          <w:rFonts w:ascii="Arial" w:hAnsi="Arial" w:cs="Arial"/>
          <w:sz w:val="24"/>
          <w:szCs w:val="24"/>
        </w:rPr>
      </w:pPr>
    </w:p>
    <w:p w14:paraId="79509EFD" w14:textId="77777777" w:rsidR="00AA5566" w:rsidRDefault="00AA5566" w:rsidP="00AA5566">
      <w:pPr>
        <w:pStyle w:val="Subtitle"/>
        <w:jc w:val="left"/>
        <w:rPr>
          <w:rFonts w:ascii="Arial" w:hAnsi="Arial" w:cs="Arial"/>
          <w:b/>
        </w:rPr>
      </w:pPr>
      <w:r>
        <w:rPr>
          <w:rFonts w:ascii="Arial" w:hAnsi="Arial" w:cs="Arial"/>
          <w:b/>
        </w:rPr>
        <w:t>SUSTAINABILITY IMPLICATIONS:</w:t>
      </w:r>
    </w:p>
    <w:p w14:paraId="3694B3A6" w14:textId="77777777" w:rsidR="002A3474" w:rsidRPr="003C342B" w:rsidRDefault="002A3474" w:rsidP="002A3474">
      <w:pPr>
        <w:spacing w:after="0" w:line="240" w:lineRule="auto"/>
        <w:contextualSpacing/>
        <w:rPr>
          <w:rFonts w:ascii="Arial" w:hAnsi="Arial" w:cs="Arial"/>
          <w:sz w:val="24"/>
          <w:szCs w:val="24"/>
        </w:rPr>
      </w:pPr>
      <w:r w:rsidRPr="003C342B">
        <w:rPr>
          <w:rFonts w:ascii="Arial" w:hAnsi="Arial" w:cs="Arial"/>
          <w:sz w:val="24"/>
          <w:szCs w:val="24"/>
        </w:rPr>
        <w:t>The Town is committed to implementing our Community Sustainability Strategy, Imagine Halton Hills.  Doing so will lead to a higher quality of life.  The relationship between this report and the Strategy is summarized below:</w:t>
      </w:r>
    </w:p>
    <w:p w14:paraId="01BCADAB" w14:textId="77777777" w:rsidR="002A3474" w:rsidRPr="003C342B" w:rsidRDefault="002A3474" w:rsidP="002A3474">
      <w:pPr>
        <w:spacing w:after="0" w:line="240" w:lineRule="auto"/>
        <w:contextualSpacing/>
        <w:rPr>
          <w:rFonts w:ascii="Arial" w:hAnsi="Arial" w:cs="Arial"/>
          <w:sz w:val="24"/>
          <w:szCs w:val="24"/>
        </w:rPr>
      </w:pPr>
    </w:p>
    <w:p w14:paraId="3E5F1BBD" w14:textId="77777777" w:rsidR="002A3474" w:rsidRPr="003C342B" w:rsidRDefault="002A3474" w:rsidP="002A3474">
      <w:pPr>
        <w:spacing w:after="0" w:line="240" w:lineRule="auto"/>
        <w:contextualSpacing/>
        <w:rPr>
          <w:rFonts w:ascii="Arial" w:hAnsi="Arial" w:cs="Arial"/>
          <w:sz w:val="24"/>
          <w:szCs w:val="24"/>
        </w:rPr>
      </w:pPr>
      <w:r>
        <w:rPr>
          <w:rFonts w:ascii="Arial" w:hAnsi="Arial" w:cs="Arial"/>
          <w:sz w:val="24"/>
          <w:szCs w:val="24"/>
        </w:rPr>
        <w:t>The recommendations outlined in this report are linked to the Economic, Environmental and Social Pillars of Sustainability. In summary, the alignment of this report with the Community Sustainability Strategy is good.</w:t>
      </w:r>
    </w:p>
    <w:p w14:paraId="79509F03" w14:textId="77777777" w:rsidR="00AA5566" w:rsidRDefault="00AA5566" w:rsidP="00AA5566">
      <w:pPr>
        <w:spacing w:after="0" w:line="240" w:lineRule="auto"/>
        <w:contextualSpacing/>
        <w:rPr>
          <w:rFonts w:ascii="Arial" w:hAnsi="Arial" w:cs="Arial"/>
          <w:sz w:val="24"/>
          <w:szCs w:val="24"/>
        </w:rPr>
      </w:pPr>
    </w:p>
    <w:p w14:paraId="0E8B6DC6" w14:textId="77777777" w:rsidR="005202E1" w:rsidRDefault="005202E1" w:rsidP="00AA5566">
      <w:pPr>
        <w:spacing w:after="0" w:line="240" w:lineRule="auto"/>
        <w:contextualSpacing/>
        <w:rPr>
          <w:rFonts w:ascii="Arial" w:hAnsi="Arial" w:cs="Arial"/>
          <w:sz w:val="24"/>
          <w:szCs w:val="24"/>
        </w:rPr>
      </w:pPr>
    </w:p>
    <w:p w14:paraId="79509F04" w14:textId="77777777" w:rsidR="00AA5566" w:rsidRDefault="00AA5566" w:rsidP="00AA5566">
      <w:pPr>
        <w:pStyle w:val="Subtitle"/>
        <w:jc w:val="left"/>
        <w:rPr>
          <w:rFonts w:ascii="Arial" w:hAnsi="Arial" w:cs="Arial"/>
          <w:b/>
        </w:rPr>
      </w:pPr>
      <w:r>
        <w:rPr>
          <w:rFonts w:ascii="Arial" w:hAnsi="Arial" w:cs="Arial"/>
          <w:b/>
        </w:rPr>
        <w:t>COMMUNICATIONS:</w:t>
      </w:r>
    </w:p>
    <w:p w14:paraId="79509F05" w14:textId="79ACF904" w:rsidR="00AA5566" w:rsidRDefault="002A3474" w:rsidP="00AA5566">
      <w:pPr>
        <w:spacing w:after="0" w:line="240" w:lineRule="auto"/>
        <w:contextualSpacing/>
        <w:rPr>
          <w:rFonts w:ascii="Arial" w:hAnsi="Arial" w:cs="Arial"/>
          <w:sz w:val="24"/>
          <w:szCs w:val="24"/>
        </w:rPr>
      </w:pPr>
      <w:r w:rsidRPr="003C342B">
        <w:rPr>
          <w:rFonts w:ascii="Arial" w:hAnsi="Arial" w:cs="Arial"/>
          <w:sz w:val="24"/>
          <w:szCs w:val="24"/>
        </w:rPr>
        <w:t xml:space="preserve">A copy of this report will be forwarded to the Ministry of </w:t>
      </w:r>
      <w:r>
        <w:rPr>
          <w:rFonts w:ascii="Arial" w:hAnsi="Arial" w:cs="Arial"/>
          <w:sz w:val="24"/>
          <w:szCs w:val="24"/>
        </w:rPr>
        <w:t>Municipal Affairs and Housing</w:t>
      </w:r>
      <w:r w:rsidRPr="003C342B">
        <w:rPr>
          <w:rFonts w:ascii="Arial" w:hAnsi="Arial" w:cs="Arial"/>
          <w:sz w:val="24"/>
          <w:szCs w:val="24"/>
        </w:rPr>
        <w:t>, the Region of Halton, the Local Municipalities of Burlington, Milton and Oakville, Conservation Halton, Credit Valley Conservation and the Grand River Conservation Authority.</w:t>
      </w:r>
    </w:p>
    <w:p w14:paraId="79509F06" w14:textId="77777777" w:rsidR="00AA5566" w:rsidRDefault="00AA5566" w:rsidP="00AA5566">
      <w:pPr>
        <w:spacing w:after="0" w:line="240" w:lineRule="auto"/>
        <w:contextualSpacing/>
        <w:rPr>
          <w:rFonts w:ascii="Arial" w:hAnsi="Arial" w:cs="Arial"/>
          <w:sz w:val="24"/>
          <w:szCs w:val="24"/>
        </w:rPr>
      </w:pPr>
    </w:p>
    <w:p w14:paraId="5808113B" w14:textId="504577B4" w:rsidR="005202E1" w:rsidRDefault="005202E1" w:rsidP="00AA5566">
      <w:pPr>
        <w:spacing w:after="0" w:line="240" w:lineRule="auto"/>
        <w:contextualSpacing/>
        <w:rPr>
          <w:rFonts w:ascii="Arial" w:hAnsi="Arial" w:cs="Arial"/>
          <w:sz w:val="24"/>
          <w:szCs w:val="24"/>
        </w:rPr>
      </w:pPr>
    </w:p>
    <w:p w14:paraId="4EA5F8C5" w14:textId="77777777" w:rsidR="005202E1" w:rsidRDefault="005202E1" w:rsidP="00AA5566">
      <w:pPr>
        <w:spacing w:after="0" w:line="240" w:lineRule="auto"/>
        <w:contextualSpacing/>
        <w:rPr>
          <w:rFonts w:ascii="Arial" w:hAnsi="Arial" w:cs="Arial"/>
          <w:sz w:val="24"/>
          <w:szCs w:val="24"/>
        </w:rPr>
      </w:pPr>
    </w:p>
    <w:p w14:paraId="17990015" w14:textId="77777777" w:rsidR="005202E1" w:rsidRDefault="005202E1" w:rsidP="00AA5566">
      <w:pPr>
        <w:spacing w:after="0" w:line="240" w:lineRule="auto"/>
        <w:contextualSpacing/>
        <w:rPr>
          <w:rFonts w:ascii="Arial" w:hAnsi="Arial" w:cs="Arial"/>
          <w:sz w:val="24"/>
          <w:szCs w:val="24"/>
        </w:rPr>
      </w:pPr>
    </w:p>
    <w:p w14:paraId="79509F07" w14:textId="77777777" w:rsidR="00AA5566" w:rsidRDefault="00AA5566" w:rsidP="00AA5566">
      <w:pPr>
        <w:pStyle w:val="Subtitle"/>
        <w:jc w:val="left"/>
        <w:rPr>
          <w:rFonts w:ascii="Arial" w:hAnsi="Arial" w:cs="Arial"/>
          <w:b/>
        </w:rPr>
      </w:pPr>
      <w:r>
        <w:rPr>
          <w:rFonts w:ascii="Arial" w:hAnsi="Arial" w:cs="Arial"/>
          <w:b/>
        </w:rPr>
        <w:lastRenderedPageBreak/>
        <w:t>CONCLUSION:</w:t>
      </w:r>
    </w:p>
    <w:p w14:paraId="0B390D38" w14:textId="77777777" w:rsidR="002A3474" w:rsidRDefault="002A3474" w:rsidP="002A3474">
      <w:pPr>
        <w:spacing w:after="0" w:line="240" w:lineRule="auto"/>
        <w:contextualSpacing/>
        <w:rPr>
          <w:rFonts w:ascii="Arial" w:hAnsi="Arial" w:cs="Arial"/>
          <w:sz w:val="24"/>
          <w:szCs w:val="24"/>
        </w:rPr>
      </w:pPr>
      <w:r w:rsidRPr="00454605">
        <w:rPr>
          <w:rFonts w:ascii="Arial" w:hAnsi="Arial" w:cs="Arial"/>
          <w:sz w:val="24"/>
          <w:szCs w:val="24"/>
        </w:rPr>
        <w:t>This report has provided an overview of the contents of the Halton Area Planni</w:t>
      </w:r>
      <w:r>
        <w:rPr>
          <w:rFonts w:ascii="Arial" w:hAnsi="Arial" w:cs="Arial"/>
          <w:sz w:val="24"/>
          <w:szCs w:val="24"/>
        </w:rPr>
        <w:t>ng Partnership Joint Submission</w:t>
      </w:r>
      <w:r w:rsidRPr="00454605">
        <w:rPr>
          <w:rFonts w:ascii="Arial" w:hAnsi="Arial" w:cs="Arial"/>
          <w:sz w:val="24"/>
          <w:szCs w:val="24"/>
        </w:rPr>
        <w:t xml:space="preserve"> on the </w:t>
      </w:r>
      <w:r>
        <w:rPr>
          <w:rFonts w:ascii="Arial" w:hAnsi="Arial" w:cs="Arial"/>
          <w:sz w:val="24"/>
          <w:szCs w:val="24"/>
        </w:rPr>
        <w:t>Proposed Amendment 1 to the Growth Plan and Proposed Land Needs Methodology</w:t>
      </w:r>
      <w:r w:rsidRPr="00454605">
        <w:rPr>
          <w:rFonts w:ascii="Arial" w:hAnsi="Arial" w:cs="Arial"/>
          <w:sz w:val="24"/>
          <w:szCs w:val="24"/>
        </w:rPr>
        <w:t>. It is recommended that Council endorse the comments contained in</w:t>
      </w:r>
      <w:r>
        <w:rPr>
          <w:rFonts w:ascii="Arial" w:hAnsi="Arial" w:cs="Arial"/>
          <w:sz w:val="24"/>
          <w:szCs w:val="24"/>
        </w:rPr>
        <w:t xml:space="preserve"> this report, and support</w:t>
      </w:r>
      <w:r w:rsidRPr="00454605">
        <w:rPr>
          <w:rFonts w:ascii="Arial" w:hAnsi="Arial" w:cs="Arial"/>
          <w:sz w:val="24"/>
          <w:szCs w:val="24"/>
        </w:rPr>
        <w:t xml:space="preserve"> the Joint Submission </w:t>
      </w:r>
      <w:r>
        <w:rPr>
          <w:rFonts w:ascii="Arial" w:hAnsi="Arial" w:cs="Arial"/>
          <w:sz w:val="24"/>
          <w:szCs w:val="24"/>
        </w:rPr>
        <w:t>as endorsed by Regional Council on July 15, 2020</w:t>
      </w:r>
      <w:r w:rsidRPr="00454605">
        <w:rPr>
          <w:rFonts w:ascii="Arial" w:hAnsi="Arial" w:cs="Arial"/>
          <w:sz w:val="24"/>
          <w:szCs w:val="24"/>
        </w:rPr>
        <w:t>.</w:t>
      </w:r>
    </w:p>
    <w:p w14:paraId="79509F08" w14:textId="77777777" w:rsidR="00AA5566" w:rsidRDefault="00AA5566" w:rsidP="00AA5566">
      <w:pPr>
        <w:spacing w:after="0" w:line="240" w:lineRule="auto"/>
        <w:contextualSpacing/>
        <w:rPr>
          <w:rFonts w:ascii="Arial" w:hAnsi="Arial" w:cs="Arial"/>
          <w:sz w:val="24"/>
          <w:szCs w:val="24"/>
        </w:rPr>
      </w:pPr>
    </w:p>
    <w:p w14:paraId="79509F09" w14:textId="77777777" w:rsidR="00AA5566" w:rsidRDefault="00AA5566" w:rsidP="00AA5566">
      <w:pPr>
        <w:spacing w:after="0" w:line="240" w:lineRule="auto"/>
        <w:contextualSpacing/>
        <w:rPr>
          <w:rFonts w:ascii="Arial" w:hAnsi="Arial" w:cs="Arial"/>
          <w:sz w:val="24"/>
          <w:szCs w:val="24"/>
        </w:rPr>
      </w:pPr>
    </w:p>
    <w:p w14:paraId="79509F0A" w14:textId="6319D2E4" w:rsidR="00AA5566" w:rsidRPr="00A07F79" w:rsidRDefault="00AA3C67" w:rsidP="00A07F79">
      <w:pPr>
        <w:pStyle w:val="Subtitle"/>
        <w:jc w:val="left"/>
        <w:rPr>
          <w:rFonts w:ascii="Arial" w:hAnsi="Arial" w:cs="Arial"/>
        </w:rPr>
      </w:pPr>
      <w:r>
        <w:rPr>
          <w:rFonts w:ascii="Arial" w:hAnsi="Arial" w:cs="Arial"/>
        </w:rPr>
        <w:t>Reviewed and Approved by</w:t>
      </w:r>
      <w:r w:rsidR="00A07F79">
        <w:rPr>
          <w:rFonts w:ascii="Arial" w:hAnsi="Arial" w:cs="Arial"/>
        </w:rPr>
        <w:t>,</w:t>
      </w:r>
    </w:p>
    <w:sdt>
      <w:sdtPr>
        <w:rPr>
          <w:b w:val="0"/>
        </w:rPr>
        <w:alias w:val="Approval Signatures"/>
        <w:tag w:val="eSignaturePages"/>
        <w:id w:val="-506979850"/>
      </w:sdtPr>
      <w:sdtEndPr/>
      <w:sdtContent>
        <w:p w14:paraId="59B95A45" w14:textId="63A117DA" w:rsidR="00FF3BE3" w:rsidRDefault="00494DF1" w:rsidP="00236F47">
          <w:pPr>
            <w:pStyle w:val="Bold"/>
          </w:pPr>
          <w:r>
            <w:rPr>
              <w:noProof/>
            </w:rPr>
            <w:drawing>
              <wp:inline distT="0" distB="0" distL="0" distR="0" wp14:editId="50D07946">
                <wp:extent cx="1900000" cy="950000"/>
                <wp:effectExtent l="0" t="0" r="0" b="0"/>
                <wp:docPr id="1" name="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pic:cNvPicPr/>
                      </pic:nvPicPr>
                      <pic:blipFill>
                        <a:blip r:embed="rId14" cstate="print">
                          <a:extLst/>
                        </a:blip>
                        <a:stretch>
                          <a:fillRect/>
                        </a:stretch>
                      </pic:blipFill>
                      <pic:spPr>
                        <a:xfrm>
                          <a:off x="0" y="0"/>
                          <a:ext cx="1900000" cy="950000"/>
                        </a:xfrm>
                        <a:prstGeom prst="rect">
                          <a:avLst/>
                        </a:prstGeom>
                      </pic:spPr>
                    </pic:pic>
                  </a:graphicData>
                </a:graphic>
              </wp:inline>
            </w:drawing>
          </w:r>
        </w:p>
        <w:p w14:paraId="36C90034" w14:textId="77777777" w:rsidR="00FF3BE3" w:rsidRDefault="00494DF1">
          <w:pPr>
            <w:pStyle w:val="SignaturePage"/>
          </w:pPr>
          <w:r>
            <w:t>Bronwyn Parker, Director of Planning Policy</w:t>
          </w:r>
        </w:p>
        <w:p w14:paraId="58199D63" w14:textId="77777777" w:rsidR="00FF3BE3" w:rsidRDefault="00494DF1">
          <w:r>
            <w:rPr>
              <w:noProof/>
            </w:rPr>
            <w:drawing>
              <wp:inline distT="0" distB="0" distL="0" distR="0" wp14:editId="50D07946">
                <wp:extent cx="1900000" cy="950000"/>
                <wp:effectExtent l="0" t="0" r="0" b="0"/>
                <wp:docPr id="3" name="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pic:cNvPicPr/>
                      </pic:nvPicPr>
                      <pic:blipFill>
                        <a:blip r:embed="rId15" cstate="print">
                          <a:extLst/>
                        </a:blip>
                        <a:stretch>
                          <a:fillRect/>
                        </a:stretch>
                      </pic:blipFill>
                      <pic:spPr>
                        <a:xfrm>
                          <a:off x="0" y="0"/>
                          <a:ext cx="1900000" cy="950000"/>
                        </a:xfrm>
                        <a:prstGeom prst="rect">
                          <a:avLst/>
                        </a:prstGeom>
                      </pic:spPr>
                    </pic:pic>
                  </a:graphicData>
                </a:graphic>
              </wp:inline>
            </w:drawing>
          </w:r>
        </w:p>
        <w:p w14:paraId="69B7B847" w14:textId="77777777" w:rsidR="00FF3BE3" w:rsidRDefault="00494DF1">
          <w:pPr>
            <w:pStyle w:val="SignaturePage"/>
          </w:pPr>
          <w:r>
            <w:t>John Linhardt, Commissioner of Planning and Development</w:t>
          </w:r>
        </w:p>
        <w:p w14:paraId="3FEF8186" w14:textId="2E550B0A" w:rsidR="00236F47" w:rsidRPr="00236F47" w:rsidRDefault="00236F47" w:rsidP="00236F47">
          <w:r>
            <w:rPr>
              <w:noProof/>
            </w:rPr>
            <w:drawing>
              <wp:inline distT="0" distB="0" distL="0" distR="0" wp14:anchorId="177A5063" wp14:editId="7E340FF4">
                <wp:extent cx="2773680" cy="1059180"/>
                <wp:effectExtent l="0" t="0" r="7620" b="7620"/>
                <wp:docPr id="4" name="Picture 4" descr="U:\_Clerks\eSCRIBE\Signatures\Brent Marsh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_Clerks\eSCRIBE\Signatures\Brent Marshall.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73680" cy="1059180"/>
                        </a:xfrm>
                        <a:prstGeom prst="rect">
                          <a:avLst/>
                        </a:prstGeom>
                        <a:noFill/>
                        <a:ln>
                          <a:noFill/>
                        </a:ln>
                      </pic:spPr>
                    </pic:pic>
                  </a:graphicData>
                </a:graphic>
              </wp:inline>
            </w:drawing>
          </w:r>
        </w:p>
        <w:p w14:paraId="5E49D761" w14:textId="77777777" w:rsidR="00FF3BE3" w:rsidRDefault="00494DF1">
          <w:pPr>
            <w:pStyle w:val="SignaturePage"/>
          </w:pPr>
          <w:r>
            <w:t>Brent Marshall, Chief Administrative Officer</w:t>
          </w:r>
        </w:p>
      </w:sdtContent>
    </w:sdt>
    <w:sectPr w:rsidR="00FF3BE3" w:rsidSect="00AA5566">
      <w:headerReference w:type="default" r:id="rId17"/>
      <w:head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6C9E3C" w14:textId="77777777" w:rsidR="000D5FAD" w:rsidRDefault="000D5FAD" w:rsidP="00AA5566">
      <w:pPr>
        <w:spacing w:after="0" w:line="240" w:lineRule="auto"/>
      </w:pPr>
      <w:r>
        <w:separator/>
      </w:r>
    </w:p>
  </w:endnote>
  <w:endnote w:type="continuationSeparator" w:id="0">
    <w:p w14:paraId="34EC67E3" w14:textId="77777777" w:rsidR="000D5FAD" w:rsidRDefault="000D5FAD" w:rsidP="00AA5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4941BE" w14:textId="77777777" w:rsidR="000D5FAD" w:rsidRDefault="000D5FAD" w:rsidP="00AA5566">
      <w:pPr>
        <w:spacing w:after="0" w:line="240" w:lineRule="auto"/>
      </w:pPr>
      <w:r>
        <w:separator/>
      </w:r>
    </w:p>
  </w:footnote>
  <w:footnote w:type="continuationSeparator" w:id="0">
    <w:p w14:paraId="39B89026" w14:textId="77777777" w:rsidR="000D5FAD" w:rsidRDefault="000D5FAD" w:rsidP="00AA55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09F11" w14:textId="77777777" w:rsidR="00AA5566" w:rsidRDefault="00AA5566" w:rsidP="00AA5566">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09F12" w14:textId="352A05CB" w:rsidR="00AA5566" w:rsidRDefault="004C749B" w:rsidP="00AA5566">
    <w:pPr>
      <w:pStyle w:val="Header"/>
      <w:jc w:val="center"/>
    </w:pPr>
    <w:r>
      <w:rPr>
        <w:noProof/>
      </w:rPr>
      <w:drawing>
        <wp:inline distT="0" distB="0" distL="0" distR="0" wp14:anchorId="282CFC10" wp14:editId="75739959">
          <wp:extent cx="4565913" cy="685801"/>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wn Logo Reports and Minut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65913" cy="68580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3C59"/>
    <w:multiLevelType w:val="hybridMultilevel"/>
    <w:tmpl w:val="C534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6A3A13"/>
    <w:multiLevelType w:val="hybridMultilevel"/>
    <w:tmpl w:val="6CEAC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1C469C"/>
    <w:multiLevelType w:val="hybridMultilevel"/>
    <w:tmpl w:val="31D08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343945"/>
    <w:multiLevelType w:val="hybridMultilevel"/>
    <w:tmpl w:val="9B520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5F7314"/>
    <w:multiLevelType w:val="hybridMultilevel"/>
    <w:tmpl w:val="A9326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C261E3"/>
    <w:multiLevelType w:val="multilevel"/>
    <w:tmpl w:val="4030F61E"/>
    <w:lvl w:ilvl="0">
      <w:start w:val="1"/>
      <w:numFmt w:val="decimal"/>
      <w:lvlText w:val="%1.0"/>
      <w:lvlJc w:val="left"/>
      <w:pPr>
        <w:ind w:left="396" w:hanging="396"/>
      </w:pPr>
      <w:rPr>
        <w:rFonts w:hint="default"/>
      </w:rPr>
    </w:lvl>
    <w:lvl w:ilvl="1">
      <w:start w:val="1"/>
      <w:numFmt w:val="decimal"/>
      <w:lvlText w:val="%1.%2"/>
      <w:lvlJc w:val="left"/>
      <w:pPr>
        <w:ind w:left="1116" w:hanging="39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2BF46024"/>
    <w:multiLevelType w:val="hybridMultilevel"/>
    <w:tmpl w:val="1160C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0D51BA"/>
    <w:multiLevelType w:val="hybridMultilevel"/>
    <w:tmpl w:val="143EE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036717"/>
    <w:multiLevelType w:val="hybridMultilevel"/>
    <w:tmpl w:val="3B1047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74B34CCC"/>
    <w:multiLevelType w:val="hybridMultilevel"/>
    <w:tmpl w:val="CCFEE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6"/>
  </w:num>
  <w:num w:numId="4">
    <w:abstractNumId w:val="4"/>
  </w:num>
  <w:num w:numId="5">
    <w:abstractNumId w:val="2"/>
  </w:num>
  <w:num w:numId="6">
    <w:abstractNumId w:val="3"/>
  </w:num>
  <w:num w:numId="7">
    <w:abstractNumId w:val="1"/>
  </w:num>
  <w:num w:numId="8">
    <w:abstractNumId w:val="0"/>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566"/>
    <w:rsid w:val="000D5FAD"/>
    <w:rsid w:val="00140AEB"/>
    <w:rsid w:val="00184544"/>
    <w:rsid w:val="00210925"/>
    <w:rsid w:val="00236F47"/>
    <w:rsid w:val="002A3474"/>
    <w:rsid w:val="00315AA7"/>
    <w:rsid w:val="00341470"/>
    <w:rsid w:val="00345243"/>
    <w:rsid w:val="00390CF7"/>
    <w:rsid w:val="004058F6"/>
    <w:rsid w:val="00406B07"/>
    <w:rsid w:val="00494DF1"/>
    <w:rsid w:val="004C0A0C"/>
    <w:rsid w:val="004C749B"/>
    <w:rsid w:val="005202E1"/>
    <w:rsid w:val="005F6F13"/>
    <w:rsid w:val="00617A79"/>
    <w:rsid w:val="00662E48"/>
    <w:rsid w:val="006B485D"/>
    <w:rsid w:val="006D23F5"/>
    <w:rsid w:val="00767261"/>
    <w:rsid w:val="007B237F"/>
    <w:rsid w:val="008D171A"/>
    <w:rsid w:val="009B6648"/>
    <w:rsid w:val="009D6957"/>
    <w:rsid w:val="00A07F79"/>
    <w:rsid w:val="00A30D10"/>
    <w:rsid w:val="00A40008"/>
    <w:rsid w:val="00A61BF8"/>
    <w:rsid w:val="00AA3C67"/>
    <w:rsid w:val="00AA5566"/>
    <w:rsid w:val="00AF11C3"/>
    <w:rsid w:val="00B352F2"/>
    <w:rsid w:val="00B97B78"/>
    <w:rsid w:val="00BF395C"/>
    <w:rsid w:val="00C1572F"/>
    <w:rsid w:val="00CC270E"/>
    <w:rsid w:val="00CD3372"/>
    <w:rsid w:val="00CE1189"/>
    <w:rsid w:val="00D57F02"/>
    <w:rsid w:val="00D81293"/>
    <w:rsid w:val="00DC057A"/>
    <w:rsid w:val="00DD5853"/>
    <w:rsid w:val="00F06269"/>
    <w:rsid w:val="00F701EA"/>
    <w:rsid w:val="00FC3DF7"/>
    <w:rsid w:val="00FF3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9509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5566"/>
    <w:pPr>
      <w:tabs>
        <w:tab w:val="center" w:pos="4680"/>
        <w:tab w:val="right" w:pos="9360"/>
      </w:tabs>
    </w:pPr>
  </w:style>
  <w:style w:type="character" w:customStyle="1" w:styleId="HeaderChar">
    <w:name w:val="Header Char"/>
    <w:link w:val="Header"/>
    <w:uiPriority w:val="99"/>
    <w:rsid w:val="00AA5566"/>
    <w:rPr>
      <w:sz w:val="22"/>
      <w:szCs w:val="22"/>
    </w:rPr>
  </w:style>
  <w:style w:type="paragraph" w:styleId="Footer">
    <w:name w:val="footer"/>
    <w:basedOn w:val="Normal"/>
    <w:link w:val="FooterChar"/>
    <w:uiPriority w:val="99"/>
    <w:unhideWhenUsed/>
    <w:rsid w:val="00AA5566"/>
    <w:pPr>
      <w:tabs>
        <w:tab w:val="center" w:pos="4680"/>
        <w:tab w:val="right" w:pos="9360"/>
      </w:tabs>
    </w:pPr>
  </w:style>
  <w:style w:type="character" w:customStyle="1" w:styleId="FooterChar">
    <w:name w:val="Footer Char"/>
    <w:link w:val="Footer"/>
    <w:uiPriority w:val="99"/>
    <w:rsid w:val="00AA5566"/>
    <w:rPr>
      <w:sz w:val="22"/>
      <w:szCs w:val="22"/>
    </w:rPr>
  </w:style>
  <w:style w:type="table" w:styleId="TableGrid">
    <w:name w:val="Table Grid"/>
    <w:basedOn w:val="TableNormal"/>
    <w:uiPriority w:val="59"/>
    <w:rsid w:val="00AA5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AA5566"/>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AA5566"/>
    <w:rPr>
      <w:rFonts w:ascii="Cambria" w:eastAsia="Times New Roman" w:hAnsi="Cambria" w:cs="Times New Roman"/>
      <w:sz w:val="24"/>
      <w:szCs w:val="24"/>
    </w:rPr>
  </w:style>
  <w:style w:type="paragraph" w:styleId="BalloonText">
    <w:name w:val="Balloon Text"/>
    <w:basedOn w:val="Normal"/>
    <w:link w:val="BalloonTextChar"/>
    <w:uiPriority w:val="99"/>
    <w:semiHidden/>
    <w:unhideWhenUsed/>
    <w:rsid w:val="00C15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72F"/>
    <w:rPr>
      <w:rFonts w:ascii="Tahoma" w:hAnsi="Tahoma" w:cs="Tahoma"/>
      <w:sz w:val="16"/>
      <w:szCs w:val="16"/>
    </w:rPr>
  </w:style>
  <w:style w:type="character" w:styleId="PlaceholderText">
    <w:name w:val="Placeholder Text"/>
    <w:basedOn w:val="DefaultParagraphFont"/>
    <w:uiPriority w:val="99"/>
    <w:semiHidden/>
    <w:rsid w:val="00DD5853"/>
    <w:rPr>
      <w:color w:val="808080"/>
    </w:rPr>
  </w:style>
  <w:style w:type="paragraph" w:styleId="ListParagraph">
    <w:name w:val="List Paragraph"/>
    <w:basedOn w:val="Normal"/>
    <w:uiPriority w:val="34"/>
    <w:qFormat/>
    <w:rsid w:val="00D57F02"/>
    <w:pPr>
      <w:ind w:left="720"/>
      <w:contextualSpacing/>
    </w:pPr>
  </w:style>
  <w:style w:type="character" w:styleId="Hyperlink">
    <w:name w:val="Hyperlink"/>
    <w:basedOn w:val="DefaultParagraphFont"/>
    <w:uiPriority w:val="99"/>
    <w:unhideWhenUsed/>
    <w:rsid w:val="00D57F02"/>
    <w:rPr>
      <w:color w:val="0000FF" w:themeColor="hyperlink"/>
      <w:u w:val="single"/>
    </w:rPr>
  </w:style>
  <w:style w:type="table" w:customStyle="1" w:styleId="TableGrid1">
    <w:name w:val="Table Grid1"/>
    <w:basedOn w:val="TableNormal"/>
    <w:next w:val="TableGrid"/>
    <w:uiPriority w:val="59"/>
    <w:rsid w:val="00D57F0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gnaturePage">
    <w:name w:val="SignaturePage"/>
    <w:basedOn w:val="Normal"/>
    <w:next w:val="Normal"/>
    <w:pPr>
      <w:spacing w:after="240"/>
    </w:pPr>
    <w:rPr>
      <w:rFonts w:ascii="Arial" w:eastAsia="Arial" w:hAnsi="Arial" w:cs="Arial"/>
      <w:color w:val="000000"/>
      <w:sz w:val="24"/>
    </w:rPr>
  </w:style>
  <w:style w:type="paragraph" w:customStyle="1" w:styleId="Bold">
    <w:name w:val="Bold"/>
    <w:basedOn w:val="Normal"/>
    <w:next w:val="Normal"/>
    <w:pPr>
      <w:spacing w:after="240"/>
    </w:pPr>
    <w:rPr>
      <w:rFonts w:ascii="Arial" w:eastAsia="Arial" w:hAnsi="Arial" w:cs="Arial"/>
      <w:b/>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5566"/>
    <w:pPr>
      <w:tabs>
        <w:tab w:val="center" w:pos="4680"/>
        <w:tab w:val="right" w:pos="9360"/>
      </w:tabs>
    </w:pPr>
  </w:style>
  <w:style w:type="character" w:customStyle="1" w:styleId="HeaderChar">
    <w:name w:val="Header Char"/>
    <w:link w:val="Header"/>
    <w:uiPriority w:val="99"/>
    <w:rsid w:val="00AA5566"/>
    <w:rPr>
      <w:sz w:val="22"/>
      <w:szCs w:val="22"/>
    </w:rPr>
  </w:style>
  <w:style w:type="paragraph" w:styleId="Footer">
    <w:name w:val="footer"/>
    <w:basedOn w:val="Normal"/>
    <w:link w:val="FooterChar"/>
    <w:uiPriority w:val="99"/>
    <w:unhideWhenUsed/>
    <w:rsid w:val="00AA5566"/>
    <w:pPr>
      <w:tabs>
        <w:tab w:val="center" w:pos="4680"/>
        <w:tab w:val="right" w:pos="9360"/>
      </w:tabs>
    </w:pPr>
  </w:style>
  <w:style w:type="character" w:customStyle="1" w:styleId="FooterChar">
    <w:name w:val="Footer Char"/>
    <w:link w:val="Footer"/>
    <w:uiPriority w:val="99"/>
    <w:rsid w:val="00AA5566"/>
    <w:rPr>
      <w:sz w:val="22"/>
      <w:szCs w:val="22"/>
    </w:rPr>
  </w:style>
  <w:style w:type="table" w:styleId="TableGrid">
    <w:name w:val="Table Grid"/>
    <w:basedOn w:val="TableNormal"/>
    <w:uiPriority w:val="59"/>
    <w:rsid w:val="00AA5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AA5566"/>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AA5566"/>
    <w:rPr>
      <w:rFonts w:ascii="Cambria" w:eastAsia="Times New Roman" w:hAnsi="Cambria" w:cs="Times New Roman"/>
      <w:sz w:val="24"/>
      <w:szCs w:val="24"/>
    </w:rPr>
  </w:style>
  <w:style w:type="paragraph" w:styleId="BalloonText">
    <w:name w:val="Balloon Text"/>
    <w:basedOn w:val="Normal"/>
    <w:link w:val="BalloonTextChar"/>
    <w:uiPriority w:val="99"/>
    <w:semiHidden/>
    <w:unhideWhenUsed/>
    <w:rsid w:val="00C15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72F"/>
    <w:rPr>
      <w:rFonts w:ascii="Tahoma" w:hAnsi="Tahoma" w:cs="Tahoma"/>
      <w:sz w:val="16"/>
      <w:szCs w:val="16"/>
    </w:rPr>
  </w:style>
  <w:style w:type="character" w:styleId="PlaceholderText">
    <w:name w:val="Placeholder Text"/>
    <w:basedOn w:val="DefaultParagraphFont"/>
    <w:uiPriority w:val="99"/>
    <w:semiHidden/>
    <w:rsid w:val="00DD5853"/>
    <w:rPr>
      <w:color w:val="808080"/>
    </w:rPr>
  </w:style>
  <w:style w:type="paragraph" w:styleId="ListParagraph">
    <w:name w:val="List Paragraph"/>
    <w:basedOn w:val="Normal"/>
    <w:uiPriority w:val="34"/>
    <w:qFormat/>
    <w:rsid w:val="00D57F02"/>
    <w:pPr>
      <w:ind w:left="720"/>
      <w:contextualSpacing/>
    </w:pPr>
  </w:style>
  <w:style w:type="character" w:styleId="Hyperlink">
    <w:name w:val="Hyperlink"/>
    <w:basedOn w:val="DefaultParagraphFont"/>
    <w:uiPriority w:val="99"/>
    <w:unhideWhenUsed/>
    <w:rsid w:val="00D57F02"/>
    <w:rPr>
      <w:color w:val="0000FF" w:themeColor="hyperlink"/>
      <w:u w:val="single"/>
    </w:rPr>
  </w:style>
  <w:style w:type="table" w:customStyle="1" w:styleId="TableGrid1">
    <w:name w:val="Table Grid1"/>
    <w:basedOn w:val="TableNormal"/>
    <w:next w:val="TableGrid"/>
    <w:uiPriority w:val="59"/>
    <w:rsid w:val="00D57F0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gnaturePage">
    <w:name w:val="SignaturePage"/>
    <w:basedOn w:val="Normal"/>
    <w:next w:val="Normal"/>
    <w:pPr>
      <w:spacing w:after="240"/>
    </w:pPr>
    <w:rPr>
      <w:rFonts w:ascii="Arial" w:eastAsia="Arial" w:hAnsi="Arial" w:cs="Arial"/>
      <w:color w:val="000000"/>
      <w:sz w:val="24"/>
    </w:rPr>
  </w:style>
  <w:style w:type="paragraph" w:customStyle="1" w:styleId="Bold">
    <w:name w:val="Bold"/>
    <w:basedOn w:val="Normal"/>
    <w:next w:val="Normal"/>
    <w:pPr>
      <w:spacing w:after="240"/>
    </w:pPr>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mson.com/wp-content/uploads/2020/06/HEMSON-Schedule-3-Forecasts-FINAL-16JUN20.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ro.ontario.ca/notice/019-1679"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glossaryDocument" Target="glossary/document.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ero.ontario.ca/notice/019-1680" TargetMode="External"/><Relationship Id="rId5" Type="http://schemas.openxmlformats.org/officeDocument/2006/relationships/styles" Target="styles.xml"/><Relationship Id="rId15" Type="http://schemas.openxmlformats.org/officeDocument/2006/relationships/image" Target="media/image2.jp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4250ED5766E41ABACACEA261034124A"/>
        <w:category>
          <w:name w:val="General"/>
          <w:gallery w:val="placeholder"/>
        </w:category>
        <w:types>
          <w:type w:val="bbPlcHdr"/>
        </w:types>
        <w:behaviors>
          <w:behavior w:val="content"/>
        </w:behaviors>
        <w:guid w:val="{D48EFFE3-6B45-4F39-BB7B-FD52DFDB3EF6}"/>
      </w:docPartPr>
      <w:docPartBody>
        <w:p w14:paraId="6D7D4EC4" w14:textId="77777777" w:rsidR="004E2FEE" w:rsidRDefault="002664CE" w:rsidP="002664CE">
          <w:pPr>
            <w:pStyle w:val="94250ED5766E41ABACACEA261034124A2"/>
          </w:pPr>
          <w:r w:rsidRPr="00CC5969">
            <w:rPr>
              <w:rStyle w:val="PlaceholderText"/>
            </w:rPr>
            <w:t>[Recommendation]</w:t>
          </w:r>
        </w:p>
      </w:docPartBody>
    </w:docPart>
    <w:docPart>
      <w:docPartPr>
        <w:name w:val="7D3397D79D234C66A6937B34616A4383"/>
        <w:category>
          <w:name w:val="General"/>
          <w:gallery w:val="placeholder"/>
        </w:category>
        <w:types>
          <w:type w:val="bbPlcHdr"/>
        </w:types>
        <w:behaviors>
          <w:behavior w:val="content"/>
        </w:behaviors>
        <w:guid w:val="{136DB13F-A116-45F1-982D-A2228D95D51C}"/>
      </w:docPartPr>
      <w:docPartBody>
        <w:p w14:paraId="6D7D4EC5" w14:textId="77777777" w:rsidR="0031207F" w:rsidRDefault="002664CE" w:rsidP="002664CE">
          <w:pPr>
            <w:pStyle w:val="7D3397D79D234C66A6937B34616A43831"/>
          </w:pPr>
          <w:r w:rsidRPr="00CC5969">
            <w:rPr>
              <w:rStyle w:val="PlaceholderText"/>
            </w:rPr>
            <w:t>[</w:t>
          </w:r>
          <w:r>
            <w:rPr>
              <w:rStyle w:val="PlaceholderText"/>
            </w:rPr>
            <w:t>Document Description</w:t>
          </w:r>
          <w:r w:rsidRPr="00CC5969">
            <w:rPr>
              <w:rStyle w:val="PlaceholderText"/>
            </w:rPr>
            <w:t>]</w:t>
          </w:r>
        </w:p>
      </w:docPartBody>
    </w:docPart>
    <w:docPart>
      <w:docPartPr>
        <w:name w:val="2B0BE23B3E514102A7155DF8BB09065A"/>
        <w:category>
          <w:name w:val="General"/>
          <w:gallery w:val="placeholder"/>
        </w:category>
        <w:types>
          <w:type w:val="bbPlcHdr"/>
        </w:types>
        <w:behaviors>
          <w:behavior w:val="content"/>
        </w:behaviors>
        <w:guid w:val="{AEB69D55-1C65-480F-B59A-105B3F7A34CB}"/>
      </w:docPartPr>
      <w:docPartBody>
        <w:p w14:paraId="7ABB6BDE" w14:textId="6769719D" w:rsidR="00571C9B" w:rsidRDefault="00B652B3" w:rsidP="00B652B3">
          <w:pPr>
            <w:pStyle w:val="2B0BE23B3E514102A7155DF8BB09065A"/>
          </w:pPr>
          <w:r w:rsidRPr="00CC5969">
            <w:rPr>
              <w:rStyle w:val="PlaceholderText"/>
            </w:rPr>
            <w:t>[Recommendation]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F14"/>
    <w:rsid w:val="002664CE"/>
    <w:rsid w:val="0031207F"/>
    <w:rsid w:val="004D7824"/>
    <w:rsid w:val="004E2FEE"/>
    <w:rsid w:val="00571C9B"/>
    <w:rsid w:val="00595EA9"/>
    <w:rsid w:val="005C5A8F"/>
    <w:rsid w:val="007A7217"/>
    <w:rsid w:val="008B1F14"/>
    <w:rsid w:val="009F7EF9"/>
    <w:rsid w:val="00B652B3"/>
    <w:rsid w:val="00CA3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7D4EC4"/>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52B3"/>
    <w:rPr>
      <w:color w:val="808080"/>
    </w:rPr>
  </w:style>
  <w:style w:type="paragraph" w:customStyle="1" w:styleId="229DDB48109946E1BB7133E1815E2B76">
    <w:name w:val="229DDB48109946E1BB7133E1815E2B76"/>
    <w:rsid w:val="005C5A8F"/>
    <w:rPr>
      <w:rFonts w:ascii="Calibri" w:eastAsia="Calibri" w:hAnsi="Calibri" w:cs="Times New Roman"/>
    </w:rPr>
  </w:style>
  <w:style w:type="paragraph" w:customStyle="1" w:styleId="DE997073B58C4FBE8D8377B3CF966E3A">
    <w:name w:val="DE997073B58C4FBE8D8377B3CF966E3A"/>
    <w:rsid w:val="005C5A8F"/>
    <w:rPr>
      <w:rFonts w:ascii="Calibri" w:eastAsia="Calibri" w:hAnsi="Calibri" w:cs="Times New Roman"/>
    </w:rPr>
  </w:style>
  <w:style w:type="paragraph" w:customStyle="1" w:styleId="3E9F6694590B406BA2EF1CFE4B1F7A6D">
    <w:name w:val="3E9F6694590B406BA2EF1CFE4B1F7A6D"/>
    <w:rsid w:val="005C5A8F"/>
    <w:rPr>
      <w:rFonts w:ascii="Calibri" w:eastAsia="Calibri" w:hAnsi="Calibri" w:cs="Times New Roman"/>
    </w:rPr>
  </w:style>
  <w:style w:type="paragraph" w:customStyle="1" w:styleId="94250ED5766E41ABACACEA261034124A">
    <w:name w:val="94250ED5766E41ABACACEA261034124A"/>
    <w:rsid w:val="007A7217"/>
    <w:pPr>
      <w:spacing w:after="160" w:line="259" w:lineRule="auto"/>
    </w:pPr>
  </w:style>
  <w:style w:type="paragraph" w:customStyle="1" w:styleId="DE997073B58C4FBE8D8377B3CF966E3A1">
    <w:name w:val="DE997073B58C4FBE8D8377B3CF966E3A1"/>
    <w:rsid w:val="007A7217"/>
    <w:rPr>
      <w:rFonts w:ascii="Calibri" w:eastAsia="Calibri" w:hAnsi="Calibri" w:cs="Times New Roman"/>
    </w:rPr>
  </w:style>
  <w:style w:type="paragraph" w:customStyle="1" w:styleId="94250ED5766E41ABACACEA261034124A1">
    <w:name w:val="94250ED5766E41ABACACEA261034124A1"/>
    <w:rsid w:val="007A7217"/>
    <w:rPr>
      <w:rFonts w:ascii="Calibri" w:eastAsia="Calibri" w:hAnsi="Calibri" w:cs="Times New Roman"/>
    </w:rPr>
  </w:style>
  <w:style w:type="paragraph" w:customStyle="1" w:styleId="7D3397D79D234C66A6937B34616A4383">
    <w:name w:val="7D3397D79D234C66A6937B34616A4383"/>
    <w:rsid w:val="002664CE"/>
    <w:pPr>
      <w:spacing w:after="160" w:line="259" w:lineRule="auto"/>
    </w:pPr>
  </w:style>
  <w:style w:type="paragraph" w:customStyle="1" w:styleId="7D3397D79D234C66A6937B34616A43831">
    <w:name w:val="7D3397D79D234C66A6937B34616A43831"/>
    <w:rsid w:val="002664CE"/>
    <w:rPr>
      <w:rFonts w:ascii="Calibri" w:eastAsia="Calibri" w:hAnsi="Calibri" w:cs="Times New Roman"/>
    </w:rPr>
  </w:style>
  <w:style w:type="paragraph" w:customStyle="1" w:styleId="94250ED5766E41ABACACEA261034124A2">
    <w:name w:val="94250ED5766E41ABACACEA261034124A2"/>
    <w:rsid w:val="002664CE"/>
    <w:rPr>
      <w:rFonts w:ascii="Calibri" w:eastAsia="Calibri" w:hAnsi="Calibri" w:cs="Times New Roman"/>
    </w:rPr>
  </w:style>
  <w:style w:type="paragraph" w:customStyle="1" w:styleId="2B0BE23B3E514102A7155DF8BB09065A">
    <w:name w:val="2B0BE23B3E514102A7155DF8BB09065A"/>
    <w:rsid w:val="00B652B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52B3"/>
    <w:rPr>
      <w:color w:val="808080"/>
    </w:rPr>
  </w:style>
  <w:style w:type="paragraph" w:customStyle="1" w:styleId="229DDB48109946E1BB7133E1815E2B76">
    <w:name w:val="229DDB48109946E1BB7133E1815E2B76"/>
    <w:rsid w:val="005C5A8F"/>
    <w:rPr>
      <w:rFonts w:ascii="Calibri" w:eastAsia="Calibri" w:hAnsi="Calibri" w:cs="Times New Roman"/>
    </w:rPr>
  </w:style>
  <w:style w:type="paragraph" w:customStyle="1" w:styleId="DE997073B58C4FBE8D8377B3CF966E3A">
    <w:name w:val="DE997073B58C4FBE8D8377B3CF966E3A"/>
    <w:rsid w:val="005C5A8F"/>
    <w:rPr>
      <w:rFonts w:ascii="Calibri" w:eastAsia="Calibri" w:hAnsi="Calibri" w:cs="Times New Roman"/>
    </w:rPr>
  </w:style>
  <w:style w:type="paragraph" w:customStyle="1" w:styleId="3E9F6694590B406BA2EF1CFE4B1F7A6D">
    <w:name w:val="3E9F6694590B406BA2EF1CFE4B1F7A6D"/>
    <w:rsid w:val="005C5A8F"/>
    <w:rPr>
      <w:rFonts w:ascii="Calibri" w:eastAsia="Calibri" w:hAnsi="Calibri" w:cs="Times New Roman"/>
    </w:rPr>
  </w:style>
  <w:style w:type="paragraph" w:customStyle="1" w:styleId="94250ED5766E41ABACACEA261034124A">
    <w:name w:val="94250ED5766E41ABACACEA261034124A"/>
    <w:rsid w:val="007A7217"/>
    <w:pPr>
      <w:spacing w:after="160" w:line="259" w:lineRule="auto"/>
    </w:pPr>
  </w:style>
  <w:style w:type="paragraph" w:customStyle="1" w:styleId="DE997073B58C4FBE8D8377B3CF966E3A1">
    <w:name w:val="DE997073B58C4FBE8D8377B3CF966E3A1"/>
    <w:rsid w:val="007A7217"/>
    <w:rPr>
      <w:rFonts w:ascii="Calibri" w:eastAsia="Calibri" w:hAnsi="Calibri" w:cs="Times New Roman"/>
    </w:rPr>
  </w:style>
  <w:style w:type="paragraph" w:customStyle="1" w:styleId="94250ED5766E41ABACACEA261034124A1">
    <w:name w:val="94250ED5766E41ABACACEA261034124A1"/>
    <w:rsid w:val="007A7217"/>
    <w:rPr>
      <w:rFonts w:ascii="Calibri" w:eastAsia="Calibri" w:hAnsi="Calibri" w:cs="Times New Roman"/>
    </w:rPr>
  </w:style>
  <w:style w:type="paragraph" w:customStyle="1" w:styleId="7D3397D79D234C66A6937B34616A4383">
    <w:name w:val="7D3397D79D234C66A6937B34616A4383"/>
    <w:rsid w:val="002664CE"/>
    <w:pPr>
      <w:spacing w:after="160" w:line="259" w:lineRule="auto"/>
    </w:pPr>
  </w:style>
  <w:style w:type="paragraph" w:customStyle="1" w:styleId="7D3397D79D234C66A6937B34616A43831">
    <w:name w:val="7D3397D79D234C66A6937B34616A43831"/>
    <w:rsid w:val="002664CE"/>
    <w:rPr>
      <w:rFonts w:ascii="Calibri" w:eastAsia="Calibri" w:hAnsi="Calibri" w:cs="Times New Roman"/>
    </w:rPr>
  </w:style>
  <w:style w:type="paragraph" w:customStyle="1" w:styleId="94250ED5766E41ABACACEA261034124A2">
    <w:name w:val="94250ED5766E41ABACACEA261034124A2"/>
    <w:rsid w:val="002664CE"/>
    <w:rPr>
      <w:rFonts w:ascii="Calibri" w:eastAsia="Calibri" w:hAnsi="Calibri" w:cs="Times New Roman"/>
    </w:rPr>
  </w:style>
  <w:style w:type="paragraph" w:customStyle="1" w:styleId="2B0BE23B3E514102A7155DF8BB09065A">
    <w:name w:val="2B0BE23B3E514102A7155DF8BB09065A"/>
    <w:rsid w:val="00B652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waiting_x0020_Attachments xmlns="http://schemas.microsoft.com/sharepoint/v3">false</Awaiting_x0020_Attachments>
    <Recommendation_x0020_FR xmlns="http://schemas.microsoft.com/sharepoint/v3" xsi:nil="true"/>
    <Report_x0020_Number xmlns="http://schemas.microsoft.com/sharepoint/v3" xsi:nil="true"/>
    <SignaturesRequired xmlns="http://schemas.microsoft.com/sharepoint/v3" xsi:nil="true"/>
    <FamilyId xmlns="http://schemas.microsoft.com/sharepoint/v3">b6dd2ff3-9531-4162-a80b-4de4d848a760</FamilyId>
    <Closed_x0020_Description xmlns="http://schemas.microsoft.com/sharepoint/v3" xsi:nil="true"/>
    <LegislativeItem xmlns="http://schemas.microsoft.com/sharepoint/v3" xsi:nil="true"/>
    <Sponsor xmlns="http://schemas.microsoft.com/sharepoint/v3">
      <UserInfo>
        <DisplayName>Bronwyn Parker, Director of Planning Policy;#42;#John Linhardt, Commissioner of Planning and Development;#40;#Brent Marshall, Chief Administrative Officer</DisplayName>
        <AccountId>125</AccountId>
        <AccountType/>
      </UserInfo>
    </Sponsor>
    <Document_x0020_Description_x0020_FR xmlns="http://schemas.microsoft.com/sharepoint/v3" xsi:nil="true"/>
    <RequestedBy xmlns="http://schemas.microsoft.com/sharepoint/v3" xsi:nil="true"/>
    <CustomPermissions xmlns="http://schemas.microsoft.com/sharepoint/v3" xsi:nil="true"/>
    <MapParcelOwner xmlns="http://schemas.microsoft.com/sharepoint/v3" xsi:nil="true"/>
    <Recommendation xmlns="http://schemas.microsoft.com/sharepoint/v3" xsi:nil="true"/>
    <Status xmlns="551e773c-9c5b-41cf-bd47-ccda7f4599fe">Added</Status>
    <LegislativeSponsors xmlns="http://schemas.microsoft.com/sharepoint/v3">
      <UserInfo>
        <DisplayName/>
        <AccountId xsi:nil="true"/>
        <AccountType/>
      </UserInfo>
    </LegislativeSponsors>
    <Closed_x0020_Description_x0020_FR xmlns="http://schemas.microsoft.com/sharepoint/v3" xsi:nil="true"/>
    <Document_x0020_Description xmlns="http://schemas.microsoft.com/sharepoint/v3" xsi:nil="true"/>
    <Pending_x0020_Late_x0020_Approval xmlns="http://schemas.microsoft.com/sharepoint/v3">false</Pending_x0020_Late_x0020_Approval>
    <ConfidentialReasons xmlns="http://schemas.microsoft.com/sharepoint/v3" xsi:nil="true"/>
    <eSCRIBE_x0020_Department xmlns="http://schemas.microsoft.com/sharepoint/v3">30</eSCRIBE_x0020_Department>
    <eSCRIBE_x0020_Meeting_x0020_Type xmlns="http://schemas.microsoft.com/sharepoint/v3">7</eSCRIBE_x0020_Meeting_x0020_Type>
  </documentManagement>
</p:properties>
</file>

<file path=customXml/item2.xml><?xml version="1.0" encoding="utf-8"?>
<ct:contentTypeSchema xmlns:ct="http://schemas.microsoft.com/office/2006/metadata/contentType" xmlns:ma="http://schemas.microsoft.com/office/2006/metadata/properties/metaAttributes" ct:_="" ma:_="" ma:contentTypeName="Staff Report" ma:contentTypeID="0x010100658619C53A8A417DAE26FD517B363A2F00712DA47FC2FE90439EFAFA11C8097BE70024DE5619364611459DCAF4F3B4D181D0" ma:contentTypeVersion="22" ma:contentTypeDescription="use this template to create staff reports" ma:contentTypeScope="" ma:versionID="f514f4afc69a3780eecf8fab728ac2ac">
  <xsd:schema xmlns:xsd="http://www.w3.org/2001/XMLSchema" xmlns:xs="http://www.w3.org/2001/XMLSchema" xmlns:p="http://schemas.microsoft.com/office/2006/metadata/properties" xmlns:ns1="http://schemas.microsoft.com/sharepoint/v3" xmlns:ns2="551e773c-9c5b-41cf-bd47-ccda7f4599fe" targetNamespace="http://schemas.microsoft.com/office/2006/metadata/properties" ma:root="true" ma:fieldsID="1e6f7fd655d0978a8c48585d5b825a2a" ns1:_="" ns2:_="">
    <xsd:import namespace="http://schemas.microsoft.com/sharepoint/v3"/>
    <xsd:import namespace="551e773c-9c5b-41cf-bd47-ccda7f4599fe"/>
    <xsd:element name="properties">
      <xsd:complexType>
        <xsd:sequence>
          <xsd:element name="documentManagement">
            <xsd:complexType>
              <xsd:all>
                <xsd:element ref="ns2:Status" minOccurs="0"/>
                <xsd:element ref="ns1:Sponsor" minOccurs="0"/>
                <xsd:element ref="ns1:Document_x0020_Description" minOccurs="0"/>
                <xsd:element ref="ns1:Document_x0020_Description_x0020_FR" minOccurs="0"/>
                <xsd:element ref="ns1:Recommendation" minOccurs="0"/>
                <xsd:element ref="ns1:Recommendation_x0020_FR" minOccurs="0"/>
                <xsd:element ref="ns1:Report_x0020_Number" minOccurs="0"/>
                <xsd:element ref="ns1:Awaiting_x0020_Attachments" minOccurs="0"/>
                <xsd:element ref="ns1:ConfidentialReasons" minOccurs="0"/>
                <xsd:element ref="ns1:LegislativeItem" minOccurs="0"/>
                <xsd:element ref="ns1:LegislativeSponsors" minOccurs="0"/>
                <xsd:element ref="ns1:SignaturesRequired" minOccurs="0"/>
                <xsd:element ref="ns1:MapParcelOwner" minOccurs="0"/>
                <xsd:element ref="ns1:RequestedBy" minOccurs="0"/>
                <xsd:element ref="ns1:FamilyId" minOccurs="0"/>
                <xsd:element ref="ns1:CustomPermissions" minOccurs="0"/>
                <xsd:element ref="ns1:Pending_x0020_Late_x0020_Approval" minOccurs="0"/>
                <xsd:element ref="ns1:Closed_x0020_Description" minOccurs="0"/>
                <xsd:element ref="ns1:Closed_x0020_Description_x0020_FR" minOccurs="0"/>
                <xsd:element ref="ns1:eSCRIBE_x0020_Meeting_x0020_Type" minOccurs="0"/>
                <xsd:element ref="ns1:eSCRIBE_x0020_Depart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ponsor" ma:index="2" nillable="true" ma:displayName="Sponsor" ma:description="" ma:list="UserInfo" ma:internalName="Spons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Description" ma:index="3" nillable="true" ma:displayName="Document Description" ma:internalName="Document_x0020_Description">
      <xsd:simpleType>
        <xsd:restriction base="dms:Note"/>
      </xsd:simpleType>
    </xsd:element>
    <xsd:element name="Document_x0020_Description_x0020_FR" ma:index="4" nillable="true" ma:displayName="Document Description FR" ma:hidden="true" ma:internalName="Document_x0020_Description_x0020_FR">
      <xsd:simpleType>
        <xsd:restriction base="dms:Note"/>
      </xsd:simpleType>
    </xsd:element>
    <xsd:element name="Recommendation" ma:index="5" nillable="true" ma:displayName="Recommendation" ma:internalName="Recommendation">
      <xsd:simpleType>
        <xsd:restriction base="dms:Note"/>
      </xsd:simpleType>
    </xsd:element>
    <xsd:element name="Recommendation_x0020_FR" ma:index="6" nillable="true" ma:displayName="Recommendation FR" ma:hidden="true" ma:internalName="Recommendation_x0020_FR">
      <xsd:simpleType>
        <xsd:restriction base="dms:Note"/>
      </xsd:simpleType>
    </xsd:element>
    <xsd:element name="Report_x0020_Number" ma:index="7" nillable="true" ma:displayName="Report Number" ma:internalName="Report_x0020_Number">
      <xsd:simpleType>
        <xsd:restriction base="dms:Text"/>
      </xsd:simpleType>
    </xsd:element>
    <xsd:element name="Awaiting_x0020_Attachments" ma:index="8" nillable="true" ma:displayName="Awaiting Attachments" ma:description="Is this Report waiting for attachments?" ma:internalName="Awaiting_x0020_Attachments">
      <xsd:simpleType>
        <xsd:restriction base="dms:Boolean"/>
      </xsd:simpleType>
    </xsd:element>
    <xsd:element name="ConfidentialReasons" ma:index="9" nillable="true" ma:displayName="ConfidentialReasons" ma:hidden="true" ma:internalName="ConfidentialReasons">
      <xsd:simpleType>
        <xsd:restriction base="dms:Text"/>
      </xsd:simpleType>
    </xsd:element>
    <xsd:element name="LegislativeItem" ma:index="10" nillable="true" ma:displayName="LegislativeItem" ma:description="Is this Report a Legislative Item?" ma:internalName="LegislativeItem">
      <xsd:simpleType>
        <xsd:restriction base="dms:Boolean"/>
      </xsd:simpleType>
    </xsd:element>
    <xsd:element name="LegislativeSponsors" ma:index="11" nillable="true" ma:displayName="LegislativeSponsors" ma:description="" ma:list="UserInfo" ma:internalName="LegislativeSponsor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ignaturesRequired" ma:index="12" nillable="true" ma:displayName="SignaturesRequired" ma:description="Are signatures required?" ma:internalName="SignaturesRequired">
      <xsd:simpleType>
        <xsd:restriction base="dms:Boolean"/>
      </xsd:simpleType>
    </xsd:element>
    <xsd:element name="MapParcelOwner" ma:index="13" nillable="true" ma:displayName="Map and Parcel No. / Owner" ma:internalName="MapParcelOwner">
      <xsd:simpleType>
        <xsd:restriction base="dms:Note"/>
      </xsd:simpleType>
    </xsd:element>
    <xsd:element name="RequestedBy" ma:index="14" nillable="true" ma:displayName="RequestedBy" ma:internalName="RequestedBy">
      <xsd:simpleType>
        <xsd:restriction base="dms:Note"/>
      </xsd:simpleType>
    </xsd:element>
    <xsd:element name="FamilyId" ma:index="15" nillable="true" ma:displayName="FamilyId" ma:internalName="FamilyId">
      <xsd:simpleType>
        <xsd:restriction base="dms:Unknown"/>
      </xsd:simpleType>
    </xsd:element>
    <xsd:element name="CustomPermissions" ma:index="16" nillable="true" ma:displayName="CustomPermissions" ma:internalName="CustomPermissions">
      <xsd:simpleType>
        <xsd:restriction base="dms:Note"/>
      </xsd:simpleType>
    </xsd:element>
    <xsd:element name="Pending_x0020_Late_x0020_Approval" ma:index="17" nillable="true" ma:displayName="Pending Late Approval" ma:internalName="Pending_x0020_Late_x0020_Approval">
      <xsd:simpleType>
        <xsd:restriction base="dms:Boolean"/>
      </xsd:simpleType>
    </xsd:element>
    <xsd:element name="Closed_x0020_Description" ma:index="18" nillable="true" ma:displayName="Closed Description" ma:internalName="Closed_x0020_Description">
      <xsd:simpleType>
        <xsd:restriction base="dms:Note"/>
      </xsd:simpleType>
    </xsd:element>
    <xsd:element name="Closed_x0020_Description_x0020_FR" ma:index="19" nillable="true" ma:displayName="Closed Description FR" ma:internalName="Closed_x0020_Description_x0020_FR">
      <xsd:simpleType>
        <xsd:restriction base="dms:Note"/>
      </xsd:simpleType>
    </xsd:element>
    <xsd:element name="eSCRIBE_x0020_Meeting_x0020_Type" ma:index="20" nillable="true" ma:displayName="eSCRIBE Meeting Type" ma:hidden="true" ma:list="{BACE5090-CA27-4798-84F3-92162A2C101D}" ma:internalName="eSCRIBE_x0020_Meeting_x0020_Type" ma:readOnly="false" ma:showField="MeetingType" ma:web="{551e773c-9c5b-41cf-bd47-ccda7f4599fe}">
      <xsd:simpleType>
        <xsd:restriction base="dms:Lookup"/>
      </xsd:simpleType>
    </xsd:element>
    <xsd:element name="eSCRIBE_x0020_Department" ma:index="21" nillable="true" ma:displayName="eSCRIBE Department" ma:hidden="true" ma:list="{5DFEA942-B817-4850-9DFC-3EB3F5741BF8}" ma:internalName="eSCRIBE_x0020_Department" ma:readOnly="false" ma:showField="Title" ma:web="{551e773c-9c5b-41cf-bd47-ccda7f4599f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551e773c-9c5b-41cf-bd47-ccda7f4599fe" elementFormDefault="qualified">
    <xsd:import namespace="http://schemas.microsoft.com/office/2006/documentManagement/types"/>
    <xsd:import namespace="http://schemas.microsoft.com/office/infopath/2007/PartnerControls"/>
    <xsd:element name="Status" ma:index="1" nillable="true" ma:displayName="Status" ma:default="Pending" ma:format="Dropdown" ma:hidden="true" ma:internalName="Status">
      <xsd:simpleType>
        <xsd:restriction base="dms:Choice">
          <xsd:enumeration value="Invalid"/>
          <xsd:enumeration value="Pre-Submission"/>
          <xsd:enumeration value="Draft"/>
          <xsd:enumeration value="ReviewStarted"/>
          <xsd:enumeration value="Reviewed"/>
          <xsd:enumeration value="ApprovalStarted"/>
          <xsd:enumeration value="ApprovedToSubReports"/>
          <xsd:enumeration value="Pending"/>
          <xsd:enumeration value="Approved"/>
          <xsd:enumeration value="Rejected"/>
          <xsd:enumeration value="Added"/>
          <xsd:enumeration value="PendingMeetingAssignment"/>
          <xsd:enumeration value="PendingMeetingApproval"/>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BBCA3-5955-4784-86B4-C1C9773B1505}">
  <ds:schemaRefs>
    <ds:schemaRef ds:uri="http://schemas.microsoft.com/sharepoint/v3"/>
    <ds:schemaRef ds:uri="http://purl.org/dc/elements/1.1/"/>
    <ds:schemaRef ds:uri="551e773c-9c5b-41cf-bd47-ccda7f4599fe"/>
    <ds:schemaRef ds:uri="http://www.w3.org/XML/1998/namespac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D8CC70F-1D44-41EB-884A-63FB79049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1e773c-9c5b-41cf-bd47-ccda7f459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DB97AF-3EB9-4CA6-9338-73B3E6D57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2576</Words>
  <Characters>14685</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2020-07-29T19:14:00Z</dcterms:created>
  <dcterms:modified xsi:type="dcterms:W3CDTF">2020-07-29T19:14:00Z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0x010100658619C53A8A417DAE26FD517B363A2F00712DA47FC2FE90439EFAFA11C8097BE70024DE5619364611459DCAF4F3B4D181D0</vt:lpwstr>
  </property>
  <property fmtid="{D5CDD505-2E9C-101B-9397-08002B2CF9AE}" pid="3" name="Is Confidential">
    <vt:bool>false</vt:bool>
  </property>
  <property fmtid="{D5CDD505-2E9C-101B-9397-08002B2CF9AE}" pid="4" name="Contributor Comments">
    <vt:lpwstr>No Comments</vt:lpwstr>
  </property>
  <property fmtid="{D5CDD505-2E9C-101B-9397-08002B2CF9AE}" pid="5" name="eSCRIBE Meeting Date">
    <vt:lpwstr>Special Council_Jul27_2020</vt:lpwstr>
  </property>
  <property fmtid="{D5CDD505-2E9C-101B-9397-08002B2CF9AE}" pid="6" name="SupportingDocuments">
    <vt:bool>true</vt:bool>
  </property>
  <property fmtid="{D5CDD505-2E9C-101B-9397-08002B2CF9AE}" pid="7" name="eSCRIBE Document Status">
    <vt:lpwstr>Added</vt:lpwstr>
  </property>
  <property fmtid="{D5CDD505-2E9C-101B-9397-08002B2CF9AE}" pid="8" name="SignaturePages">
    <vt:bool>true</vt:bool>
  </property>
</Properties>
</file>