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00756070"/>
        <w:docPartObj>
          <w:docPartGallery w:val="Cover Pages"/>
          <w:docPartUnique/>
        </w:docPartObj>
      </w:sdtPr>
      <w:sdtEnd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proofErr w:type="spellStart"/>
          <w:r w:rsidR="0083010E" w:rsidRPr="00D905CD">
            <w:rPr>
              <w:rFonts w:ascii="Arial" w:hAnsi="Arial" w:cs="Arial"/>
              <w:sz w:val="48"/>
            </w:rPr>
            <w:t>Forcemains</w:t>
          </w:r>
          <w:proofErr w:type="spellEnd"/>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D61392">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D61392">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D61392">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D61392">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D61392">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D61392">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D61392">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D61392">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D61392">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D61392">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1" w:name="_Toc28002600"/>
      <w:bookmarkStart w:id="2" w:name="_Toc28079623"/>
      <w:r w:rsidRPr="00D905CD">
        <w:rPr>
          <w:rFonts w:cs="Arial"/>
          <w:sz w:val="28"/>
        </w:rPr>
        <w:lastRenderedPageBreak/>
        <w:t>Preface</w:t>
      </w:r>
      <w:bookmarkEnd w:id="1"/>
      <w:bookmarkEnd w:id="2"/>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w:t>
      </w:r>
      <w:proofErr w:type="spellStart"/>
      <w:r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w:t>
      </w:r>
      <w:proofErr w:type="spellStart"/>
      <w:r w:rsidR="00696A51" w:rsidRPr="0034063F">
        <w:rPr>
          <w:rFonts w:ascii="Arial" w:eastAsia="Arial" w:hAnsi="Arial"/>
          <w:sz w:val="24"/>
          <w:szCs w:val="24"/>
        </w:rPr>
        <w:t>forcemains</w:t>
      </w:r>
      <w:proofErr w:type="spellEnd"/>
      <w:r w:rsidR="00696A51" w:rsidRPr="0034063F">
        <w:rPr>
          <w:rFonts w:ascii="Arial" w:eastAsia="Arial" w:hAnsi="Arial"/>
          <w:sz w:val="24"/>
          <w:szCs w:val="24"/>
        </w:rPr>
        <w:t xml:space="preserve">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w:t>
      </w:r>
      <w:proofErr w:type="spellStart"/>
      <w:r w:rsidRPr="0034063F">
        <w:rPr>
          <w:rFonts w:ascii="Arial" w:eastAsia="Arial" w:hAnsi="Arial"/>
          <w:sz w:val="24"/>
          <w:szCs w:val="24"/>
        </w:rPr>
        <w:t>Forcemain</w:t>
      </w:r>
      <w:proofErr w:type="spellEnd"/>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in order to conform to any future changes to the provincial policy, regulation or legislation that apply to sanitary sewers, </w:t>
      </w:r>
      <w:proofErr w:type="spellStart"/>
      <w:r w:rsidR="00E56BDC" w:rsidRPr="0034063F">
        <w:rPr>
          <w:rFonts w:ascii="Arial" w:eastAsia="Arial" w:hAnsi="Arial"/>
          <w:sz w:val="24"/>
          <w:szCs w:val="24"/>
        </w:rPr>
        <w:t>forcemains</w:t>
      </w:r>
      <w:proofErr w:type="spellEnd"/>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3" w:name="_Toc28002601"/>
      <w:bookmarkStart w:id="4" w:name="_Toc28079624"/>
      <w:r w:rsidRPr="00D905CD">
        <w:rPr>
          <w:rFonts w:cs="Arial"/>
          <w:sz w:val="28"/>
        </w:rPr>
        <w:lastRenderedPageBreak/>
        <w:t>Definitions</w:t>
      </w:r>
      <w:bookmarkEnd w:id="3"/>
      <w:bookmarkEnd w:id="4"/>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commentRangeStart w:id="5"/>
      <w:r w:rsidR="00BC79E0" w:rsidRPr="00D905CD">
        <w:rPr>
          <w:rFonts w:ascii="Arial" w:eastAsia="Times New Roman" w:hAnsi="Arial" w:cs="Arial"/>
          <w:sz w:val="24"/>
          <w:szCs w:val="24"/>
          <w:lang w:val="en-CA" w:eastAsia="en-CA"/>
        </w:rPr>
        <w:t>SDWA 2002</w:t>
      </w:r>
      <w:commentRangeEnd w:id="5"/>
      <w:r w:rsidR="00B15B01">
        <w:rPr>
          <w:rStyle w:val="CommentReference"/>
        </w:rPr>
        <w:commentReference w:id="5"/>
      </w:r>
      <w:r w:rsidR="00BC79E0" w:rsidRPr="00D905CD">
        <w:rPr>
          <w:rFonts w:ascii="Arial" w:eastAsia="Times New Roman" w:hAnsi="Arial" w:cs="Arial"/>
          <w:sz w:val="24"/>
          <w:szCs w:val="24"/>
          <w:lang w:val="en-CA" w:eastAsia="en-CA"/>
        </w:rPr>
        <w:t>.</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other minor accessory part </w:t>
      </w:r>
      <w:commentRangeStart w:id="6"/>
      <w:r w:rsidRPr="00D905CD">
        <w:rPr>
          <w:rFonts w:ascii="Arial" w:eastAsia="Times New Roman" w:hAnsi="Arial" w:cs="Arial"/>
          <w:sz w:val="24"/>
          <w:szCs w:val="24"/>
          <w:lang w:val="en-CA" w:eastAsia="en-CA"/>
        </w:rPr>
        <w:t>of a sewer;</w:t>
      </w:r>
      <w:commentRangeEnd w:id="6"/>
      <w:r w:rsidR="00B15B01">
        <w:rPr>
          <w:rStyle w:val="CommentReference"/>
        </w:rPr>
        <w:commentReference w:id="6"/>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means pipes that collect and convey both wastewater from residential, commercial, institutional and industrial buildings and facilities and stormwater runoff through a single-pipe system, but do not include Nominally Separate Sewers;</w:t>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 xml:space="preserve">Design Criteria for Sanitary Sewers, Storm Sewers and </w:t>
      </w:r>
      <w:proofErr w:type="spellStart"/>
      <w:r w:rsidR="00057989" w:rsidRPr="00D905CD">
        <w:rPr>
          <w:rFonts w:ascii="Arial" w:eastAsia="Times New Roman" w:hAnsi="Arial" w:cs="Arial"/>
          <w:sz w:val="24"/>
          <w:szCs w:val="24"/>
          <w:lang w:val="en-CA" w:eastAsia="en-CA"/>
        </w:rPr>
        <w:t>Forcemains</w:t>
      </w:r>
      <w:proofErr w:type="spellEnd"/>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"Emergency Situation"</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w:t>
      </w:r>
      <w:proofErr w:type="spellStart"/>
      <w:r w:rsidRPr="00D905CD">
        <w:rPr>
          <w:rFonts w:ascii="Arial" w:eastAsia="Times New Roman" w:hAnsi="Arial" w:cs="Arial"/>
          <w:sz w:val="24"/>
          <w:szCs w:val="24"/>
          <w:lang w:val="en-CA" w:eastAsia="en-CA"/>
        </w:rPr>
        <w:t>O.Reg</w:t>
      </w:r>
      <w:proofErr w:type="spellEnd"/>
      <w:r w:rsidRPr="00D905CD">
        <w:rPr>
          <w:rFonts w:ascii="Arial" w:eastAsia="Times New Roman" w:hAnsi="Arial" w:cs="Arial"/>
          <w:sz w:val="24"/>
          <w:szCs w:val="24"/>
          <w:lang w:val="en-CA" w:eastAsia="en-CA"/>
        </w:rPr>
        <w:t>.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for the purpose of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w:t>
      </w:r>
      <w:proofErr w:type="spellStart"/>
      <w:r w:rsidRPr="00D905CD">
        <w:rPr>
          <w:rFonts w:ascii="Arial" w:eastAsia="Times New Roman" w:hAnsi="Arial" w:cs="Arial"/>
          <w:b/>
          <w:sz w:val="24"/>
          <w:szCs w:val="24"/>
          <w:lang w:val="en-CA" w:eastAsia="en-CA"/>
        </w:rPr>
        <w:t>ies</w:t>
      </w:r>
      <w:proofErr w:type="spellEnd"/>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8" w:name="_Toc28079625"/>
      <w:r w:rsidRPr="00D905CD">
        <w:rPr>
          <w:rFonts w:ascii="Arial" w:hAnsi="Arial" w:cs="Arial"/>
          <w:b/>
          <w:sz w:val="24"/>
        </w:rPr>
        <w:lastRenderedPageBreak/>
        <w:t>Introduction</w:t>
      </w:r>
      <w:bookmarkEnd w:id="8"/>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w:t>
      </w:r>
      <w:proofErr w:type="spellStart"/>
      <w:r w:rsidR="00BC6242" w:rsidRPr="00D905CD">
        <w:rPr>
          <w:rFonts w:ascii="Arial" w:hAnsi="Arial" w:cs="Arial"/>
          <w:sz w:val="24"/>
        </w:rPr>
        <w:t>forcemains</w:t>
      </w:r>
      <w:proofErr w:type="spellEnd"/>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9" w:name="_Toc28002603"/>
      <w:bookmarkStart w:id="10" w:name="_Toc28079626"/>
      <w:r w:rsidRPr="00D905CD">
        <w:rPr>
          <w:rFonts w:ascii="Arial" w:hAnsi="Arial" w:cs="Arial"/>
          <w:b/>
          <w:sz w:val="24"/>
        </w:rPr>
        <w:t>General Requirements</w:t>
      </w:r>
      <w:bookmarkEnd w:id="9"/>
      <w:bookmarkEnd w:id="10"/>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F120B7" w:rsidRPr="00D905CD">
        <w:rPr>
          <w:rFonts w:ascii="Arial" w:hAnsi="Arial" w:cs="Arial"/>
          <w:sz w:val="24"/>
          <w:szCs w:val="24"/>
        </w:rPr>
        <w:t>force</w:t>
      </w:r>
      <w:r w:rsidR="003F67CB" w:rsidRPr="00D905CD">
        <w:rPr>
          <w:rFonts w:ascii="Arial" w:hAnsi="Arial" w:cs="Arial"/>
          <w:sz w:val="24"/>
          <w:szCs w:val="24"/>
        </w:rPr>
        <w:t>mains</w:t>
      </w:r>
      <w:proofErr w:type="spellEnd"/>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11" w:name="_Hlk19048780"/>
      <w:r w:rsidRPr="00D905CD">
        <w:rPr>
          <w:rFonts w:ascii="Arial" w:hAnsi="Arial" w:cs="Arial"/>
          <w:sz w:val="24"/>
          <w:szCs w:val="24"/>
        </w:rPr>
        <w:t xml:space="preserve">adversely </w:t>
      </w:r>
      <w:r w:rsidR="007961B7" w:rsidRPr="00D905CD">
        <w:rPr>
          <w:rFonts w:ascii="Arial" w:hAnsi="Arial" w:cs="Arial"/>
          <w:sz w:val="24"/>
          <w:szCs w:val="24"/>
        </w:rPr>
        <w:t>impacts the</w:t>
      </w:r>
      <w:r w:rsidRPr="00D905CD">
        <w:rPr>
          <w:rFonts w:ascii="Arial" w:hAnsi="Arial" w:cs="Arial"/>
          <w:sz w:val="24"/>
          <w:szCs w:val="24"/>
        </w:rPr>
        <w:t xml:space="preserve"> approved effluent quality of stormwater works</w:t>
      </w:r>
      <w:bookmarkEnd w:id="11"/>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proofErr w:type="spellStart"/>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proofErr w:type="spellEnd"/>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xml:space="preserve">, </w:t>
      </w:r>
      <w:proofErr w:type="spellStart"/>
      <w:r w:rsidR="00A20847" w:rsidRPr="00D905CD">
        <w:rPr>
          <w:rFonts w:ascii="Arial" w:hAnsi="Arial" w:cs="Arial"/>
          <w:sz w:val="24"/>
          <w:szCs w:val="24"/>
        </w:rPr>
        <w:t>forcemain</w:t>
      </w:r>
      <w:r w:rsidR="00B353E2" w:rsidRPr="00D905CD">
        <w:rPr>
          <w:rFonts w:ascii="Arial" w:hAnsi="Arial" w:cs="Arial"/>
          <w:sz w:val="24"/>
          <w:szCs w:val="24"/>
        </w:rPr>
        <w:t>s</w:t>
      </w:r>
      <w:proofErr w:type="spellEnd"/>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calculations for the downstream </w:t>
      </w:r>
      <w:proofErr w:type="spellStart"/>
      <w:r w:rsidR="006227E0" w:rsidRPr="00D905CD">
        <w:rPr>
          <w:rFonts w:ascii="Arial" w:hAnsi="Arial" w:cs="Arial"/>
          <w:i/>
          <w:sz w:val="24"/>
          <w:szCs w:val="24"/>
        </w:rPr>
        <w:t>sewege</w:t>
      </w:r>
      <w:proofErr w:type="spellEnd"/>
      <w:r w:rsidR="006227E0" w:rsidRPr="00D905CD">
        <w:rPr>
          <w:rFonts w:ascii="Arial" w:hAnsi="Arial" w:cs="Arial"/>
          <w:i/>
          <w:sz w:val="24"/>
          <w:szCs w:val="24"/>
        </w:rPr>
        <w:t xml:space="preserv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p>
    <w:p w14:paraId="2C745F64" w14:textId="54A042A9" w:rsidR="008028FD" w:rsidRPr="00D905CD" w:rsidRDefault="007961B7" w:rsidP="00FC7186">
      <w:pPr>
        <w:pStyle w:val="ListParagraph"/>
        <w:numPr>
          <w:ilvl w:val="3"/>
          <w:numId w:val="3"/>
        </w:numPr>
        <w:spacing w:after="120"/>
        <w:ind w:left="1276"/>
        <w:rPr>
          <w:sz w:val="24"/>
          <w:szCs w:val="24"/>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accommodated.</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existing stormwater system may be altered by adding, modifying, replacing or extending existing storm sewers,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r w:rsidR="004250C1" w:rsidRPr="00D905CD">
        <w:rPr>
          <w:rFonts w:ascii="Arial" w:hAnsi="Arial" w:cs="Arial"/>
          <w:sz w:val="24"/>
          <w:szCs w:val="24"/>
        </w:rPr>
        <w:t xml:space="preserve">Provincial </w:t>
      </w:r>
      <w:r w:rsidR="00EF32AF" w:rsidRPr="00D905CD">
        <w:rPr>
          <w:rFonts w:ascii="Arial" w:hAnsi="Arial" w:cs="Arial"/>
          <w:sz w:val="24"/>
          <w:szCs w:val="24"/>
        </w:rPr>
        <w:t xml:space="preserve">Water Management: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12" w:name="_Toc28002604"/>
      <w:bookmarkStart w:id="13"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12"/>
      <w:bookmarkEnd w:id="13"/>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proofErr w:type="spellStart"/>
      <w:r w:rsidRPr="00D905CD">
        <w:rPr>
          <w:sz w:val="24"/>
          <w:szCs w:val="24"/>
        </w:rPr>
        <w:t>forcemains</w:t>
      </w:r>
      <w:proofErr w:type="spellEnd"/>
      <w:r w:rsidRPr="00D905CD">
        <w:rPr>
          <w:sz w:val="24"/>
          <w:szCs w:val="24"/>
        </w:rPr>
        <w:t xml:space="preserve">,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all relevant soil and hydrogeological conditions as identified by the geotechnical professional</w:t>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w:t>
      </w:r>
      <w:proofErr w:type="spellStart"/>
      <w:r w:rsidR="001365FB" w:rsidRPr="00D905CD">
        <w:rPr>
          <w:sz w:val="24"/>
          <w:szCs w:val="24"/>
        </w:rPr>
        <w:t>Labour</w:t>
      </w:r>
      <w:proofErr w:type="spellEnd"/>
      <w:r w:rsidR="001365FB" w:rsidRPr="00D905CD">
        <w:rPr>
          <w:sz w:val="24"/>
          <w:szCs w:val="24"/>
        </w:rPr>
        <w:t xml:space="preserve">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D905CD" w:rsidRDefault="00E94BEA" w:rsidP="00794997">
      <w:pPr>
        <w:pStyle w:val="BodyText"/>
        <w:numPr>
          <w:ilvl w:val="2"/>
          <w:numId w:val="1"/>
        </w:numPr>
        <w:spacing w:after="120"/>
        <w:ind w:left="994" w:hanging="1008"/>
        <w:rPr>
          <w:sz w:val="24"/>
          <w:szCs w:val="24"/>
        </w:rPr>
      </w:pPr>
      <w:r w:rsidRPr="00D905CD">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shall be avoided in areas subject to flooding or in areas of high groundwater (regular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are located in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lastRenderedPageBreak/>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14"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15" w:name="_Toc28002605"/>
      <w:bookmarkStart w:id="16" w:name="_Toc28079628"/>
      <w:bookmarkEnd w:id="14"/>
      <w:r w:rsidRPr="00D905CD">
        <w:rPr>
          <w:rFonts w:ascii="Arial" w:hAnsi="Arial" w:cs="Arial"/>
          <w:b/>
          <w:sz w:val="24"/>
          <w:szCs w:val="24"/>
        </w:rPr>
        <w:t>Protection of Water Supplies</w:t>
      </w:r>
      <w:bookmarkEnd w:id="15"/>
      <w:bookmarkEnd w:id="16"/>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proofErr w:type="spellStart"/>
      <w:r w:rsidR="00E56BDC" w:rsidRPr="00D905CD">
        <w:rPr>
          <w:rFonts w:ascii="Arial" w:hAnsi="Arial" w:cs="Arial"/>
          <w:sz w:val="24"/>
          <w:szCs w:val="24"/>
        </w:rPr>
        <w:t>forcemains</w:t>
      </w:r>
      <w:proofErr w:type="spellEnd"/>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MECP’s Watermain </w:t>
      </w:r>
      <w:r w:rsidRPr="00D905CD">
        <w:rPr>
          <w:rFonts w:ascii="Arial" w:hAnsi="Arial" w:cs="Arial"/>
          <w:i/>
          <w:sz w:val="24"/>
          <w:szCs w:val="24"/>
        </w:rPr>
        <w:t>Design Criteria</w:t>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17" w:name="_Toc28002606"/>
      <w:bookmarkStart w:id="18"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17"/>
      <w:bookmarkEnd w:id="18"/>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19" w:name="_Toc28002607"/>
      <w:bookmarkStart w:id="20" w:name="_Toc28079630"/>
      <w:r w:rsidRPr="00D905CD">
        <w:rPr>
          <w:rFonts w:ascii="Arial" w:hAnsi="Arial" w:cs="Arial"/>
          <w:b/>
          <w:sz w:val="24"/>
          <w:szCs w:val="24"/>
        </w:rPr>
        <w:t>Design Flows</w:t>
      </w:r>
      <w:bookmarkEnd w:id="19"/>
      <w:bookmarkEnd w:id="20"/>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21"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21"/>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22"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r w:rsidR="00D545BB" w:rsidRPr="00D905CD">
              <w:rPr>
                <w:rFonts w:ascii="Arial" w:eastAsia="Arial" w:hAnsi="Arial" w:cs="Arial"/>
                <w:b/>
                <w:sz w:val="24"/>
                <w:szCs w:val="24"/>
              </w:rPr>
              <w:t xml:space="preserve">  (</w:t>
            </w:r>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22"/>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w:t>
            </w:r>
            <w:proofErr w:type="spellStart"/>
            <w:r w:rsidRPr="00D905CD">
              <w:rPr>
                <w:rFonts w:ascii="Arial" w:hAnsi="Arial" w:cs="Arial"/>
                <w:sz w:val="24"/>
                <w:szCs w:val="24"/>
              </w:rPr>
              <w:t>indiv</w:t>
            </w:r>
            <w:proofErr w:type="spellEnd"/>
            <w:r w:rsidRPr="00D905CD">
              <w:rPr>
                <w:rFonts w:ascii="Arial" w:hAnsi="Arial" w:cs="Arial"/>
                <w:sz w:val="24"/>
                <w:szCs w:val="24"/>
              </w:rPr>
              <w:t>.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23" w:name="_Toc28002608"/>
      <w:bookmarkStart w:id="24" w:name="_Toc28079631"/>
      <w:r w:rsidRPr="00D905CD">
        <w:rPr>
          <w:rFonts w:ascii="Arial" w:hAnsi="Arial" w:cs="Arial"/>
          <w:b/>
          <w:sz w:val="24"/>
          <w:szCs w:val="24"/>
        </w:rPr>
        <w:t>Pipe Diameters</w:t>
      </w:r>
      <w:bookmarkEnd w:id="23"/>
      <w:bookmarkEnd w:id="24"/>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demonstrated that there is no risk of clogging 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5" w:name="_Toc28002609"/>
      <w:bookmarkStart w:id="26" w:name="_Toc28079632"/>
      <w:r w:rsidRPr="00D905CD">
        <w:rPr>
          <w:rFonts w:ascii="Arial" w:hAnsi="Arial" w:cs="Arial"/>
          <w:b/>
          <w:sz w:val="24"/>
          <w:szCs w:val="24"/>
        </w:rPr>
        <w:t>Friction Factors</w:t>
      </w:r>
      <w:bookmarkEnd w:id="25"/>
      <w:bookmarkEnd w:id="26"/>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 xml:space="preserve">- </w:t>
      </w:r>
      <w:proofErr w:type="spellStart"/>
      <w:r w:rsidR="004E7B9E" w:rsidRPr="00D905CD">
        <w:rPr>
          <w:rFonts w:ascii="Arial" w:hAnsi="Arial" w:cs="Arial"/>
          <w:sz w:val="24"/>
          <w:szCs w:val="24"/>
        </w:rPr>
        <w:t>Kutter</w:t>
      </w:r>
      <w:proofErr w:type="spellEnd"/>
      <w:r w:rsidR="002E6B81" w:rsidRPr="00D905CD">
        <w:rPr>
          <w:rFonts w:ascii="Arial" w:hAnsi="Arial" w:cs="Arial"/>
          <w:sz w:val="24"/>
          <w:szCs w:val="24"/>
        </w:rPr>
        <w:t xml:space="preserve">, Darcy </w:t>
      </w:r>
      <w:proofErr w:type="spellStart"/>
      <w:r w:rsidR="002E6B81" w:rsidRPr="00D905CD">
        <w:rPr>
          <w:rFonts w:ascii="Arial" w:hAnsi="Arial" w:cs="Arial"/>
          <w:sz w:val="24"/>
          <w:szCs w:val="24"/>
        </w:rPr>
        <w:t>Weisbach</w:t>
      </w:r>
      <w:proofErr w:type="spellEnd"/>
      <w:r w:rsidR="004E7B9E" w:rsidRPr="00D905CD">
        <w:rPr>
          <w:rFonts w:ascii="Arial" w:hAnsi="Arial" w:cs="Arial"/>
          <w:sz w:val="24"/>
          <w:szCs w:val="24"/>
        </w:rPr>
        <w:t xml:space="preserve"> or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27" w:name="_Toc28002610"/>
      <w:bookmarkStart w:id="28" w:name="_Toc28079633"/>
      <w:r w:rsidRPr="00D905CD">
        <w:rPr>
          <w:rFonts w:ascii="Arial" w:hAnsi="Arial" w:cs="Arial"/>
          <w:b/>
          <w:sz w:val="24"/>
          <w:szCs w:val="24"/>
        </w:rPr>
        <w:t>Flow Velocity</w:t>
      </w:r>
      <w:bookmarkEnd w:id="27"/>
      <w:bookmarkEnd w:id="28"/>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29" w:name="_Toc28002611"/>
      <w:bookmarkStart w:id="30" w:name="_Toc28079634"/>
      <w:r w:rsidRPr="00D905CD">
        <w:rPr>
          <w:rFonts w:ascii="Arial" w:hAnsi="Arial" w:cs="Arial"/>
          <w:b/>
          <w:sz w:val="24"/>
          <w:szCs w:val="24"/>
        </w:rPr>
        <w:t>Anchors/Restraints</w:t>
      </w:r>
      <w:bookmarkEnd w:id="29"/>
      <w:bookmarkEnd w:id="30"/>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31" w:name="_Toc28002612"/>
      <w:bookmarkStart w:id="32"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31"/>
      <w:bookmarkEnd w:id="32"/>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33" w:name="_Toc28002613"/>
      <w:bookmarkStart w:id="34" w:name="_Toc28079636"/>
      <w:r w:rsidRPr="00D905CD">
        <w:rPr>
          <w:rFonts w:ascii="Arial" w:hAnsi="Arial" w:cs="Arial"/>
          <w:b/>
          <w:sz w:val="24"/>
          <w:szCs w:val="24"/>
        </w:rPr>
        <w:t>Pipe Strength</w:t>
      </w:r>
      <w:bookmarkEnd w:id="33"/>
      <w:bookmarkEnd w:id="34"/>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sanitary sewer pipe material selected for a particular application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35" w:name="_Toc28002614"/>
      <w:bookmarkStart w:id="36" w:name="_Toc28079637"/>
      <w:r w:rsidRPr="00D905CD">
        <w:rPr>
          <w:rFonts w:ascii="Arial" w:hAnsi="Arial" w:cs="Arial"/>
          <w:b/>
          <w:sz w:val="24"/>
          <w:szCs w:val="24"/>
        </w:rPr>
        <w:t>Pipe Cover and Frost Protection</w:t>
      </w:r>
      <w:bookmarkEnd w:id="35"/>
      <w:bookmarkEnd w:id="36"/>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37" w:name="_Toc28002615"/>
      <w:bookmarkStart w:id="38" w:name="_Toc2807963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below Seasonally High Groundwater Table</w:t>
      </w:r>
      <w:bookmarkEnd w:id="37"/>
      <w:bookmarkEnd w:id="38"/>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pipe shall be designed to </w:t>
      </w:r>
      <w:proofErr w:type="spellStart"/>
      <w:r w:rsidR="000C44D3" w:rsidRPr="00D905CD">
        <w:rPr>
          <w:rFonts w:ascii="Arial" w:hAnsi="Arial" w:cs="Arial"/>
          <w:sz w:val="24"/>
          <w:szCs w:val="24"/>
        </w:rPr>
        <w:t>forcemain</w:t>
      </w:r>
      <w:proofErr w:type="spellEnd"/>
      <w:r w:rsidR="000C44D3" w:rsidRPr="00D905CD">
        <w:rPr>
          <w:rFonts w:ascii="Arial" w:hAnsi="Arial" w:cs="Arial"/>
          <w:sz w:val="24"/>
          <w:szCs w:val="24"/>
        </w:rPr>
        <w:t xml:space="preserve">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 The use of HDPE pipe or equivalent may be appropriate. M</w:t>
      </w:r>
      <w:r w:rsidR="000C44D3" w:rsidRPr="00D905CD">
        <w:rPr>
          <w:rFonts w:ascii="Arial" w:hAnsi="Arial" w:cs="Arial"/>
          <w:sz w:val="24"/>
          <w:szCs w:val="24"/>
        </w:rPr>
        <w:t>aintenance hole s</w:t>
      </w:r>
      <w:r w:rsidRPr="00D905CD">
        <w:rPr>
          <w:rFonts w:ascii="Arial" w:hAnsi="Arial" w:cs="Arial"/>
          <w:sz w:val="24"/>
          <w:szCs w:val="24"/>
        </w:rPr>
        <w:t>pacing shall be maximized 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39" w:name="_Toc28002616"/>
      <w:bookmarkStart w:id="40" w:name="_Toc28079639"/>
      <w:r w:rsidRPr="00D905CD">
        <w:rPr>
          <w:rFonts w:ascii="Arial" w:hAnsi="Arial" w:cs="Arial"/>
          <w:b/>
          <w:sz w:val="24"/>
          <w:szCs w:val="24"/>
        </w:rPr>
        <w:t>Maintenance holes</w:t>
      </w:r>
      <w:bookmarkEnd w:id="39"/>
      <w:bookmarkEnd w:id="40"/>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intersections and/or at a distance not greater </w:t>
      </w:r>
      <w:r w:rsidRPr="00D905CD">
        <w:rPr>
          <w:rFonts w:ascii="Arial" w:hAnsi="Arial" w:cs="Arial"/>
          <w:sz w:val="24"/>
          <w:szCs w:val="24"/>
        </w:rPr>
        <w:lastRenderedPageBreak/>
        <w:t>than 120 m for sewers up to 375 mm in diameter, and 150 m for sewers between 450 mm to 750 mm in diameter.</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circumstances where maintenance holes cannot be provided, an upstream maintenance hole at a distance of 30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drop across maintenance holes shall be 25 mm for straight runs and 50 mm for 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a smaller diameter sewer line joins a larger one, the invert of the larger sewer shall be lowered to maintain the same energy gradient,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located away from any overland flow route or ponding area. Grading around maintenance holes shall be benched so as to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Frost straps (internal or external) shall be provided to hold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Joints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inlet and outlet pipes, shall be sealed with gasketed flexible watertight connections.  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41" w:name="_Toc28002617"/>
      <w:bookmarkStart w:id="42" w:name="_Toc28079640"/>
      <w:bookmarkStart w:id="43" w:name="_Hlk6344189"/>
      <w:r w:rsidRPr="00D905CD">
        <w:rPr>
          <w:rFonts w:ascii="Arial" w:hAnsi="Arial" w:cs="Arial"/>
          <w:b/>
          <w:sz w:val="24"/>
          <w:szCs w:val="24"/>
        </w:rPr>
        <w:t>Inverted Siphons</w:t>
      </w:r>
      <w:bookmarkEnd w:id="41"/>
      <w:bookmarkEnd w:id="42"/>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44" w:name="_Toc28002618"/>
      <w:bookmarkStart w:id="45" w:name="_Toc28079641"/>
      <w:r w:rsidRPr="00D905CD">
        <w:rPr>
          <w:rFonts w:ascii="Arial" w:hAnsi="Arial" w:cs="Arial"/>
          <w:b/>
          <w:sz w:val="24"/>
          <w:szCs w:val="24"/>
        </w:rPr>
        <w:t>Service Connections (Service Laterals)</w:t>
      </w:r>
      <w:bookmarkEnd w:id="44"/>
      <w:bookmarkEnd w:id="45"/>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w:t>
      </w:r>
      <w:proofErr w:type="spellStart"/>
      <w:r w:rsidRPr="00D905CD">
        <w:rPr>
          <w:rFonts w:ascii="Arial" w:hAnsi="Arial" w:cs="Arial"/>
          <w:sz w:val="24"/>
          <w:szCs w:val="24"/>
        </w:rPr>
        <w:t>colour</w:t>
      </w:r>
      <w:proofErr w:type="spellEnd"/>
      <w:r w:rsidRPr="00D905CD">
        <w:rPr>
          <w:rFonts w:ascii="Arial" w:hAnsi="Arial" w:cs="Arial"/>
          <w:sz w:val="24"/>
          <w:szCs w:val="24"/>
        </w:rPr>
        <w:t xml:space="preserve">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E958F1"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Cleanouts sh</w:t>
      </w:r>
      <w:r w:rsidR="00FE72CE" w:rsidRPr="00D905CD">
        <w:rPr>
          <w:rFonts w:ascii="Arial" w:hAnsi="Arial" w:cs="Arial"/>
          <w:sz w:val="24"/>
          <w:szCs w:val="24"/>
        </w:rPr>
        <w:t>ould</w:t>
      </w:r>
      <w:r w:rsidRPr="00D905CD">
        <w:rPr>
          <w:rFonts w:ascii="Arial" w:hAnsi="Arial" w:cs="Arial"/>
          <w:sz w:val="24"/>
          <w:szCs w:val="24"/>
        </w:rPr>
        <w:t xml:space="preserve"> be installed at or near the property line to facilitate inspection and cleaning.</w:t>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46" w:name="_Toc28002619"/>
      <w:bookmarkStart w:id="47" w:name="_Toc28079642"/>
      <w:bookmarkEnd w:id="43"/>
      <w:r w:rsidRPr="00D905CD">
        <w:rPr>
          <w:rFonts w:ascii="Arial" w:hAnsi="Arial" w:cs="Arial"/>
          <w:b/>
          <w:sz w:val="24"/>
          <w:szCs w:val="24"/>
        </w:rPr>
        <w:t>D</w:t>
      </w:r>
      <w:r w:rsidR="00E6020F">
        <w:rPr>
          <w:rFonts w:ascii="Arial" w:hAnsi="Arial" w:cs="Arial"/>
          <w:b/>
          <w:sz w:val="24"/>
          <w:szCs w:val="24"/>
        </w:rPr>
        <w:t xml:space="preserve">esign of </w:t>
      </w:r>
      <w:proofErr w:type="spellStart"/>
      <w:r w:rsidR="00E6020F">
        <w:rPr>
          <w:rFonts w:ascii="Arial" w:hAnsi="Arial" w:cs="Arial"/>
          <w:b/>
          <w:sz w:val="24"/>
          <w:szCs w:val="24"/>
        </w:rPr>
        <w:t>Forcemains</w:t>
      </w:r>
      <w:bookmarkEnd w:id="46"/>
      <w:bookmarkEnd w:id="47"/>
      <w:proofErr w:type="spellEnd"/>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48" w:name="_Toc28002620"/>
      <w:bookmarkStart w:id="49" w:name="_Toc28079643"/>
      <w:r w:rsidRPr="00D905CD">
        <w:rPr>
          <w:rFonts w:ascii="Arial" w:hAnsi="Arial" w:cs="Arial"/>
          <w:b/>
          <w:sz w:val="24"/>
          <w:szCs w:val="24"/>
        </w:rPr>
        <w:t>Pipe Diameters</w:t>
      </w:r>
      <w:bookmarkEnd w:id="48"/>
      <w:bookmarkEnd w:id="49"/>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for a sewage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w:t>
      </w:r>
      <w:proofErr w:type="spellStart"/>
      <w:r w:rsidR="00B40234" w:rsidRPr="00D905CD">
        <w:rPr>
          <w:rFonts w:ascii="Arial" w:hAnsi="Arial" w:cs="Arial"/>
          <w:sz w:val="24"/>
          <w:szCs w:val="24"/>
        </w:rPr>
        <w:t>forcemain</w:t>
      </w:r>
      <w:proofErr w:type="spellEnd"/>
      <w:r w:rsidR="00B40234" w:rsidRPr="00D905CD">
        <w:rPr>
          <w:rFonts w:ascii="Arial" w:hAnsi="Arial" w:cs="Arial"/>
          <w:sz w:val="24"/>
          <w:szCs w:val="24"/>
        </w:rPr>
        <w:t xml:space="preserve">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50" w:name="_Toc28002621"/>
      <w:bookmarkStart w:id="51" w:name="_Toc28079644"/>
      <w:r w:rsidRPr="00D905CD">
        <w:rPr>
          <w:rFonts w:ascii="Arial" w:hAnsi="Arial" w:cs="Arial"/>
          <w:b/>
          <w:sz w:val="24"/>
          <w:szCs w:val="24"/>
        </w:rPr>
        <w:t>Friction Factors</w:t>
      </w:r>
      <w:bookmarkEnd w:id="50"/>
      <w:bookmarkEnd w:id="51"/>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Hazen-</w:t>
      </w:r>
      <w:proofErr w:type="spellStart"/>
      <w:r w:rsidRPr="00D905CD">
        <w:rPr>
          <w:rFonts w:ascii="Arial" w:hAnsi="Arial" w:cs="Arial"/>
          <w:sz w:val="24"/>
          <w:szCs w:val="24"/>
        </w:rPr>
        <w:t>Willams</w:t>
      </w:r>
      <w:proofErr w:type="spellEnd"/>
      <w:r w:rsidRPr="00D905CD">
        <w:rPr>
          <w:rFonts w:ascii="Arial" w:hAnsi="Arial" w:cs="Arial"/>
          <w:sz w:val="24"/>
          <w:szCs w:val="24"/>
        </w:rPr>
        <w:t xml:space="preserve"> formula or Darcy -</w:t>
      </w:r>
      <w:proofErr w:type="spellStart"/>
      <w:r w:rsidRPr="00D905CD">
        <w:rPr>
          <w:rFonts w:ascii="Arial" w:hAnsi="Arial" w:cs="Arial"/>
          <w:sz w:val="24"/>
          <w:szCs w:val="24"/>
        </w:rPr>
        <w:t>Weisbach</w:t>
      </w:r>
      <w:proofErr w:type="spellEnd"/>
      <w:r w:rsidRPr="00D905CD">
        <w:rPr>
          <w:rFonts w:ascii="Arial" w:hAnsi="Arial" w:cs="Arial"/>
          <w:sz w:val="24"/>
          <w:szCs w:val="24"/>
        </w:rPr>
        <w:t xml:space="preserve"> equation. Hazen-</w:t>
      </w:r>
      <w:proofErr w:type="spellStart"/>
      <w:r w:rsidRPr="00D905CD">
        <w:rPr>
          <w:rFonts w:ascii="Arial" w:hAnsi="Arial" w:cs="Arial"/>
          <w:sz w:val="24"/>
          <w:szCs w:val="24"/>
        </w:rPr>
        <w:t>Willims</w:t>
      </w:r>
      <w:proofErr w:type="spellEnd"/>
      <w:r w:rsidRPr="00D905CD">
        <w:rPr>
          <w:rFonts w:ascii="Arial" w:hAnsi="Arial" w:cs="Arial"/>
          <w:sz w:val="24"/>
          <w:szCs w:val="24"/>
        </w:rPr>
        <w:t xml:space="preserve"> formula is recommended for design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Where data are not available,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52" w:name="_Toc25147741"/>
      <w:r w:rsidRPr="00D905CD">
        <w:rPr>
          <w:rFonts w:ascii="Arial" w:hAnsi="Arial" w:cs="Arial"/>
          <w:color w:val="auto"/>
          <w:sz w:val="24"/>
          <w:szCs w:val="24"/>
        </w:rPr>
        <w:t>Table 2 - Hazen-Williams C-Factors</w:t>
      </w:r>
      <w:bookmarkEnd w:id="52"/>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53"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53"/>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54" w:name="_Toc28002622"/>
      <w:bookmarkStart w:id="55" w:name="_Toc28079645"/>
      <w:r w:rsidRPr="00D905CD">
        <w:rPr>
          <w:rFonts w:ascii="Arial" w:hAnsi="Arial" w:cs="Arial"/>
          <w:b/>
          <w:sz w:val="24"/>
          <w:szCs w:val="24"/>
        </w:rPr>
        <w:t>Flow Velocity</w:t>
      </w:r>
      <w:bookmarkEnd w:id="54"/>
      <w:bookmarkEnd w:id="55"/>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56" w:name="_Toc28002623"/>
      <w:bookmarkStart w:id="57" w:name="_Toc28079646"/>
      <w:r w:rsidRPr="00D905CD">
        <w:rPr>
          <w:rFonts w:ascii="Arial" w:hAnsi="Arial" w:cs="Arial"/>
          <w:b/>
          <w:sz w:val="24"/>
          <w:szCs w:val="24"/>
        </w:rPr>
        <w:t>Anchors/Restraints</w:t>
      </w:r>
      <w:bookmarkEnd w:id="56"/>
      <w:bookmarkEnd w:id="57"/>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and connections for all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58" w:name="_Toc28002624"/>
      <w:bookmarkStart w:id="59" w:name="_Toc28079647"/>
      <w:r w:rsidRPr="00D905CD">
        <w:rPr>
          <w:rFonts w:ascii="Arial" w:hAnsi="Arial" w:cs="Arial"/>
          <w:b/>
          <w:sz w:val="24"/>
          <w:szCs w:val="24"/>
        </w:rPr>
        <w:t>Pipe Material</w:t>
      </w:r>
      <w:bookmarkEnd w:id="58"/>
      <w:bookmarkEnd w:id="59"/>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hAnsi="Arial" w:cs="Arial"/>
          <w:sz w:val="24"/>
          <w:szCs w:val="24"/>
        </w:rPr>
        <w:t>Forcemain</w:t>
      </w:r>
      <w:proofErr w:type="spellEnd"/>
      <w:r w:rsidRPr="00D905CD">
        <w:rPr>
          <w:rFonts w:ascii="Arial" w:hAnsi="Arial" w:cs="Arial"/>
          <w:sz w:val="24"/>
          <w:szCs w:val="24"/>
        </w:rPr>
        <w:t xml:space="preserve">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Prior to specifying pipe material, soils shall be assessed for contamination.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0" w:name="_Toc28002625"/>
      <w:bookmarkStart w:id="61" w:name="_Toc28079648"/>
      <w:r w:rsidRPr="00D905CD">
        <w:rPr>
          <w:rFonts w:ascii="Arial" w:hAnsi="Arial" w:cs="Arial"/>
          <w:b/>
          <w:sz w:val="24"/>
          <w:szCs w:val="24"/>
        </w:rPr>
        <w:t>Pipe Strength</w:t>
      </w:r>
      <w:bookmarkEnd w:id="60"/>
      <w:bookmarkEnd w:id="61"/>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pipe material selected for a particular application shall be able to withstand, with a margin of safety, all the combinations of loading conditions to which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2" w:name="_Toc28002626"/>
      <w:bookmarkStart w:id="63" w:name="_Toc28079649"/>
      <w:r w:rsidRPr="00D905CD">
        <w:rPr>
          <w:rFonts w:ascii="Arial" w:hAnsi="Arial" w:cs="Arial"/>
          <w:b/>
          <w:sz w:val="24"/>
          <w:szCs w:val="24"/>
        </w:rPr>
        <w:t>Pipe Cover and Frost Protection</w:t>
      </w:r>
      <w:bookmarkEnd w:id="62"/>
      <w:bookmarkEnd w:id="63"/>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For </w:t>
      </w:r>
      <w:proofErr w:type="spellStart"/>
      <w:r w:rsidRPr="00D905CD">
        <w:rPr>
          <w:rFonts w:ascii="Arial" w:eastAsia="Arial" w:hAnsi="Arial" w:cs="Arial"/>
          <w:sz w:val="24"/>
          <w:szCs w:val="24"/>
        </w:rPr>
        <w:t>forcemains</w:t>
      </w:r>
      <w:proofErr w:type="spellEnd"/>
      <w:r w:rsidRPr="00D905CD">
        <w:rPr>
          <w:rFonts w:ascii="Arial" w:eastAsia="Arial" w:hAnsi="Arial" w:cs="Arial"/>
          <w:sz w:val="24"/>
          <w:szCs w:val="24"/>
        </w:rPr>
        <w:t xml:space="preserv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64" w:name="_Toc28002627"/>
      <w:bookmarkStart w:id="65" w:name="_Toc28079650"/>
      <w:r w:rsidRPr="00D905CD">
        <w:rPr>
          <w:rFonts w:ascii="Arial" w:hAnsi="Arial" w:cs="Arial"/>
          <w:b/>
          <w:sz w:val="24"/>
          <w:szCs w:val="24"/>
        </w:rPr>
        <w:t>Termination</w:t>
      </w:r>
      <w:bookmarkEnd w:id="64"/>
      <w:bookmarkEnd w:id="65"/>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For flows greater than 30 L/s, transition maintenance holes shall be provided at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66"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67" w:name="_Toc28002628"/>
      <w:bookmarkStart w:id="68" w:name="_Toc28079651"/>
      <w:r w:rsidRPr="00D905CD">
        <w:rPr>
          <w:rFonts w:ascii="Arial" w:hAnsi="Arial" w:cs="Arial"/>
          <w:b/>
          <w:sz w:val="24"/>
          <w:szCs w:val="24"/>
        </w:rPr>
        <w:lastRenderedPageBreak/>
        <w:t>Identification</w:t>
      </w:r>
      <w:bookmarkEnd w:id="67"/>
      <w:bookmarkEnd w:id="68"/>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 Tracer Wire shall be installed for all non-metallic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69" w:name="_Toc28002629"/>
      <w:bookmarkStart w:id="70" w:name="_Toc28079652"/>
      <w:bookmarkEnd w:id="66"/>
      <w:r w:rsidRPr="00D905CD">
        <w:rPr>
          <w:rFonts w:ascii="Arial" w:hAnsi="Arial" w:cs="Arial"/>
          <w:b/>
          <w:sz w:val="24"/>
          <w:szCs w:val="24"/>
        </w:rPr>
        <w:t>Maintenance</w:t>
      </w:r>
      <w:bookmarkEnd w:id="69"/>
      <w:bookmarkEnd w:id="70"/>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 xml:space="preserve">when </w:t>
      </w:r>
      <w:proofErr w:type="spellStart"/>
      <w:r w:rsidRPr="00D905CD">
        <w:rPr>
          <w:rFonts w:ascii="Arial" w:hAnsi="Arial" w:cs="Arial"/>
          <w:sz w:val="24"/>
          <w:szCs w:val="24"/>
        </w:rPr>
        <w:t>forcem</w:t>
      </w:r>
      <w:r w:rsidR="000B1492" w:rsidRPr="00D905CD">
        <w:rPr>
          <w:rFonts w:ascii="Arial" w:hAnsi="Arial" w:cs="Arial"/>
          <w:sz w:val="24"/>
          <w:szCs w:val="24"/>
        </w:rPr>
        <w:t>a</w:t>
      </w:r>
      <w:r w:rsidRPr="00D905CD">
        <w:rPr>
          <w:rFonts w:ascii="Arial" w:hAnsi="Arial" w:cs="Arial"/>
          <w:sz w:val="24"/>
          <w:szCs w:val="24"/>
        </w:rPr>
        <w:t>ins</w:t>
      </w:r>
      <w:proofErr w:type="spellEnd"/>
      <w:r w:rsidRPr="00D905CD">
        <w:rPr>
          <w:rFonts w:ascii="Arial" w:hAnsi="Arial" w:cs="Arial"/>
          <w:sz w:val="24"/>
          <w:szCs w:val="24"/>
        </w:rPr>
        <w:t xml:space="preserve"> are connecting into a common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Cleanouts/drain chambers shall be provided at low points of a </w:t>
      </w:r>
      <w:proofErr w:type="spellStart"/>
      <w:r w:rsidRPr="00D905CD">
        <w:rPr>
          <w:rFonts w:ascii="Arial" w:hAnsi="Arial" w:cs="Arial"/>
          <w:sz w:val="24"/>
          <w:szCs w:val="24"/>
        </w:rPr>
        <w:t>forcemain</w:t>
      </w:r>
      <w:proofErr w:type="spellEnd"/>
      <w:r w:rsidRPr="00D905CD">
        <w:rPr>
          <w:rFonts w:ascii="Arial" w:hAnsi="Arial" w:cs="Arial"/>
          <w:sz w:val="24"/>
          <w:szCs w:val="24"/>
        </w:rPr>
        <w:t>.</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1" w:name="_Toc28002630"/>
      <w:bookmarkStart w:id="72" w:name="_Toc28079653"/>
      <w:r w:rsidRPr="00D905CD">
        <w:rPr>
          <w:rFonts w:ascii="Arial" w:hAnsi="Arial" w:cs="Arial"/>
          <w:b/>
          <w:sz w:val="24"/>
          <w:szCs w:val="24"/>
        </w:rPr>
        <w:t>Transient Pressures</w:t>
      </w:r>
      <w:bookmarkEnd w:id="71"/>
      <w:bookmarkEnd w:id="72"/>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hydraulic transient analysis shall be undertaken as part of the design process considering the worst-case failure scenario involving the most critical pump and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-in-service combination. The analysis shall be completed using hydraulic models based on the final sizes and layout of pumps and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including locations of air/vacuum release valves. Based on the hydraulic transient analysis, provide devices, if necessary, to protect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proofErr w:type="spellStart"/>
      <w:r w:rsidRPr="00D905CD">
        <w:rPr>
          <w:rFonts w:ascii="Arial" w:hAnsi="Arial" w:cs="Arial"/>
          <w:sz w:val="24"/>
          <w:szCs w:val="24"/>
        </w:rPr>
        <w:t>forcemains</w:t>
      </w:r>
      <w:proofErr w:type="spellEnd"/>
      <w:r w:rsidRPr="00D905CD">
        <w:rPr>
          <w:rFonts w:ascii="Arial" w:hAnsi="Arial" w:cs="Arial"/>
          <w:sz w:val="24"/>
          <w:szCs w:val="24"/>
        </w:rPr>
        <w:t xml:space="preserve">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proofErr w:type="spellStart"/>
      <w:r w:rsidR="000739D0" w:rsidRPr="00D905CD">
        <w:rPr>
          <w:rFonts w:ascii="Arial" w:hAnsi="Arial" w:cs="Arial"/>
          <w:sz w:val="24"/>
          <w:szCs w:val="24"/>
        </w:rPr>
        <w:t>forcemains</w:t>
      </w:r>
      <w:proofErr w:type="spellEnd"/>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3" w:name="_Toc28002631"/>
      <w:bookmarkStart w:id="74" w:name="_Toc28079654"/>
      <w:r w:rsidRPr="00D905CD">
        <w:rPr>
          <w:rFonts w:ascii="Arial" w:hAnsi="Arial" w:cs="Arial"/>
          <w:b/>
          <w:sz w:val="24"/>
          <w:szCs w:val="24"/>
        </w:rPr>
        <w:t>Air and Vacuum Relief Valves</w:t>
      </w:r>
      <w:bookmarkEnd w:id="73"/>
      <w:bookmarkEnd w:id="74"/>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 combination of sewage air and vacuum relief valves shall be placed at all high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relieve air locking and to relieve negative pressures on </w:t>
      </w:r>
      <w:proofErr w:type="spellStart"/>
      <w:r w:rsidRPr="00D905CD">
        <w:rPr>
          <w:rFonts w:ascii="Arial" w:hAnsi="Arial" w:cs="Arial"/>
          <w:sz w:val="24"/>
          <w:szCs w:val="24"/>
        </w:rPr>
        <w:t>forcemains</w:t>
      </w:r>
      <w:proofErr w:type="spellEnd"/>
      <w:r w:rsidRPr="00D905CD">
        <w:rPr>
          <w:rFonts w:ascii="Arial" w:hAnsi="Arial" w:cs="Arial"/>
          <w:sz w:val="24"/>
          <w:szCs w:val="24"/>
        </w:rPr>
        <w:t>.</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75" w:name="_Toc28002632"/>
      <w:bookmarkStart w:id="76" w:name="_Toc28079655"/>
      <w:r w:rsidRPr="00D905CD">
        <w:rPr>
          <w:rFonts w:ascii="Arial" w:hAnsi="Arial" w:cs="Arial"/>
          <w:b/>
          <w:sz w:val="24"/>
          <w:szCs w:val="24"/>
        </w:rPr>
        <w:t>Drain Valves</w:t>
      </w:r>
      <w:bookmarkEnd w:id="75"/>
      <w:bookmarkEnd w:id="76"/>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shall be placed at all low points in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77" w:name="_Toc28002633"/>
      <w:bookmarkStart w:id="78" w:name="_Toc28079656"/>
      <w:r w:rsidRPr="00D905CD">
        <w:rPr>
          <w:rFonts w:ascii="Arial" w:hAnsi="Arial" w:cs="Arial"/>
          <w:b/>
          <w:sz w:val="24"/>
          <w:szCs w:val="24"/>
        </w:rPr>
        <w:lastRenderedPageBreak/>
        <w:t>Service Connections</w:t>
      </w:r>
      <w:bookmarkEnd w:id="77"/>
      <w:bookmarkEnd w:id="78"/>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Minimum diameter of a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w:t>
      </w:r>
      <w:proofErr w:type="spellStart"/>
      <w:r w:rsidRPr="00D905CD">
        <w:rPr>
          <w:rFonts w:ascii="Arial" w:hAnsi="Arial" w:cs="Arial"/>
          <w:sz w:val="24"/>
          <w:szCs w:val="24"/>
        </w:rPr>
        <w:t>forcemain</w:t>
      </w:r>
      <w:proofErr w:type="spellEnd"/>
      <w:r w:rsidRPr="00D905CD">
        <w:rPr>
          <w:rFonts w:ascii="Arial" w:hAnsi="Arial" w:cs="Arial"/>
          <w:sz w:val="24"/>
          <w:szCs w:val="24"/>
        </w:rPr>
        <w:t xml:space="preserve"> is less than 100mm in diameter but not less than 75mm.</w:t>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79" w:name="_Toc28002634"/>
      <w:bookmarkStart w:id="80" w:name="_Toc28079657"/>
      <w:r w:rsidRPr="00D905CD">
        <w:rPr>
          <w:rFonts w:ascii="Arial" w:hAnsi="Arial" w:cs="Arial"/>
          <w:b/>
          <w:sz w:val="24"/>
          <w:szCs w:val="24"/>
        </w:rPr>
        <w:t>C</w:t>
      </w:r>
      <w:r w:rsidR="00E6020F">
        <w:rPr>
          <w:rFonts w:ascii="Arial" w:hAnsi="Arial" w:cs="Arial"/>
          <w:b/>
          <w:sz w:val="24"/>
          <w:szCs w:val="24"/>
        </w:rPr>
        <w:t>ombined Sewers</w:t>
      </w:r>
      <w:bookmarkEnd w:id="79"/>
      <w:bookmarkEnd w:id="80"/>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81" w:name="_Toc28002635"/>
      <w:bookmarkStart w:id="82"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81"/>
      <w:bookmarkEnd w:id="82"/>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instrumentation and controls that are installed for the purpose of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83" w:name="_Toc28002636"/>
      <w:bookmarkStart w:id="84" w:name="_Toc28079659"/>
      <w:r w:rsidRPr="00D905CD">
        <w:rPr>
          <w:rFonts w:ascii="Arial" w:hAnsi="Arial" w:cs="Arial"/>
          <w:b/>
          <w:sz w:val="24"/>
          <w:szCs w:val="24"/>
        </w:rPr>
        <w:t>CSO Detention Facilities</w:t>
      </w:r>
      <w:bookmarkEnd w:id="83"/>
      <w:bookmarkEnd w:id="84"/>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for the purpose of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85" w:name="_Toc28002637"/>
      <w:bookmarkStart w:id="86" w:name="_Toc28079660"/>
      <w:r w:rsidRPr="00D905CD">
        <w:rPr>
          <w:rFonts w:ascii="Arial" w:hAnsi="Arial" w:cs="Arial"/>
          <w:b/>
          <w:sz w:val="24"/>
          <w:szCs w:val="24"/>
        </w:rPr>
        <w:t>S</w:t>
      </w:r>
      <w:r w:rsidR="00E20BF5">
        <w:rPr>
          <w:rFonts w:ascii="Arial" w:hAnsi="Arial" w:cs="Arial"/>
          <w:b/>
          <w:sz w:val="24"/>
          <w:szCs w:val="24"/>
        </w:rPr>
        <w:t>torm Sewers</w:t>
      </w:r>
      <w:bookmarkEnd w:id="85"/>
      <w:bookmarkEnd w:id="86"/>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87" w:name="_Toc28002638"/>
      <w:bookmarkStart w:id="88" w:name="_Toc28079661"/>
      <w:r w:rsidRPr="00D905CD">
        <w:rPr>
          <w:rFonts w:ascii="Arial" w:hAnsi="Arial" w:cs="Arial"/>
          <w:b/>
          <w:sz w:val="24"/>
          <w:szCs w:val="24"/>
        </w:rPr>
        <w:lastRenderedPageBreak/>
        <w:t>Design Consideration</w:t>
      </w:r>
      <w:bookmarkEnd w:id="87"/>
      <w:bookmarkEnd w:id="88"/>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commentRangeStart w:id="89"/>
      <w:r w:rsidRPr="00D905CD">
        <w:rPr>
          <w:rFonts w:ascii="Arial" w:hAnsi="Arial" w:cs="Arial"/>
          <w:sz w:val="24"/>
          <w:szCs w:val="24"/>
        </w:rPr>
        <w:t xml:space="preserve">Stormwater Management </w:t>
      </w:r>
      <w:commentRangeEnd w:id="89"/>
      <w:r w:rsidR="00E1740D">
        <w:rPr>
          <w:rStyle w:val="CommentReference"/>
        </w:rPr>
        <w:commentReference w:id="89"/>
      </w:r>
      <w:r w:rsidRPr="00D905CD">
        <w:rPr>
          <w:rFonts w:ascii="Arial" w:hAnsi="Arial" w:cs="Arial"/>
          <w:sz w:val="24"/>
          <w:szCs w:val="24"/>
        </w:rPr>
        <w:t xml:space="preserve">shall be designed using </w:t>
      </w:r>
      <w:r w:rsidR="001478A6" w:rsidRPr="00D905CD">
        <w:rPr>
          <w:rFonts w:ascii="Arial" w:hAnsi="Arial" w:cs="Arial"/>
          <w:sz w:val="24"/>
          <w:szCs w:val="24"/>
        </w:rPr>
        <w:t>an</w:t>
      </w:r>
      <w:r w:rsidRPr="00D905CD">
        <w:rPr>
          <w:rFonts w:ascii="Arial" w:hAnsi="Arial" w:cs="Arial"/>
          <w:sz w:val="24"/>
          <w:szCs w:val="24"/>
        </w:rPr>
        <w:t xml:space="preserve"> integrated treatment train approach used to minimize stormwater management flows and reliance on end of pipe controls through measures including source controls, lot level controls and conveyance techniques.</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recent </w:t>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Inlet times shall be calculated based upon the overland flow route under fully developed system conditions.</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90" w:name="_Toc28002639"/>
      <w:bookmarkStart w:id="91" w:name="_Toc28079662"/>
      <w:r w:rsidRPr="00D905CD">
        <w:rPr>
          <w:rFonts w:ascii="Arial" w:hAnsi="Arial" w:cs="Arial"/>
          <w:b/>
          <w:sz w:val="24"/>
          <w:szCs w:val="24"/>
        </w:rPr>
        <w:t>Runoff Calculations</w:t>
      </w:r>
      <w:bookmarkEnd w:id="90"/>
      <w:bookmarkEnd w:id="91"/>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The peak rate of runoff from an area may be calculated using the using the 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Where Q is the Peak flow in liters per second, A is the area in hectares, C is run-off coefficient (dimensionless) and I is average rainfall in mm per hour for a duration equal to the time of concentration for a particular storm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commentRangeStart w:id="92"/>
      <w:r w:rsidRPr="00D905CD">
        <w:rPr>
          <w:rFonts w:ascii="Arial" w:hAnsi="Arial" w:cs="Arial"/>
          <w:b/>
          <w:sz w:val="24"/>
          <w:szCs w:val="24"/>
        </w:rPr>
        <w:t>Table 3 - Runoff Coefficients</w:t>
      </w:r>
      <w:commentRangeEnd w:id="92"/>
      <w:r w:rsidR="00E1740D">
        <w:rPr>
          <w:rStyle w:val="CommentReference"/>
        </w:rPr>
        <w:commentReference w:id="92"/>
      </w:r>
    </w:p>
    <w:tbl>
      <w:tblPr>
        <w:tblStyle w:val="TableGrid"/>
        <w:tblW w:w="0" w:type="auto"/>
        <w:tblLook w:val="04A0" w:firstRow="1" w:lastRow="0" w:firstColumn="1" w:lastColumn="0" w:noHBand="0" w:noVBand="1"/>
      </w:tblPr>
      <w:tblGrid>
        <w:gridCol w:w="4988"/>
        <w:gridCol w:w="3517"/>
        <w:tblGridChange w:id="93">
          <w:tblGrid>
            <w:gridCol w:w="4988"/>
            <w:gridCol w:w="3517"/>
          </w:tblGrid>
        </w:tblGridChange>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94"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94"/>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646287EE"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Gravel </w:t>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r w:rsidR="00D85CF3" w:rsidRPr="00D905CD" w14:paraId="4A9EA5D1" w14:textId="77777777" w:rsidTr="002E5417">
        <w:trPr>
          <w:ins w:id="95" w:author="ABL_CD_2020" w:date="2020-09-05T20:39:00Z"/>
        </w:trPr>
        <w:tc>
          <w:tcPr>
            <w:tcW w:w="4988" w:type="dxa"/>
          </w:tcPr>
          <w:p w14:paraId="2AFE0399" w14:textId="4458254E" w:rsidR="00D85CF3" w:rsidRPr="00D905CD" w:rsidRDefault="00D85CF3" w:rsidP="002E5417">
            <w:pPr>
              <w:rPr>
                <w:ins w:id="96" w:author="ABL_CD_2020" w:date="2020-09-05T20:39:00Z"/>
                <w:rFonts w:ascii="Arial" w:hAnsi="Arial" w:cs="Arial"/>
                <w:bCs/>
                <w:sz w:val="24"/>
                <w:szCs w:val="24"/>
              </w:rPr>
            </w:pPr>
            <w:ins w:id="97" w:author="ABL_CD_2020" w:date="2020-09-05T20:39:00Z">
              <w:r w:rsidRPr="005D3A96">
                <w:rPr>
                  <w:rFonts w:ascii="Arial Narrow" w:hAnsi="Arial Narrow"/>
                </w:rPr>
                <w:t>forest</w:t>
              </w:r>
              <w:r w:rsidRPr="005D3A96">
                <w:rPr>
                  <w:rFonts w:ascii="Arial Narrow" w:hAnsi="Arial Narrow"/>
                  <w:spacing w:val="-5"/>
                </w:rPr>
                <w:t xml:space="preserve"> </w:t>
              </w:r>
              <w:r w:rsidRPr="005D3A96">
                <w:rPr>
                  <w:rFonts w:ascii="Arial Narrow" w:hAnsi="Arial Narrow"/>
                </w:rPr>
                <w:t>and</w:t>
              </w:r>
              <w:r w:rsidRPr="005D3A96">
                <w:rPr>
                  <w:rFonts w:ascii="Arial Narrow" w:hAnsi="Arial Narrow"/>
                  <w:spacing w:val="-6"/>
                </w:rPr>
                <w:t xml:space="preserve"> </w:t>
              </w:r>
              <w:r w:rsidRPr="005D3A96">
                <w:rPr>
                  <w:rFonts w:ascii="Arial Narrow" w:hAnsi="Arial Narrow"/>
                </w:rPr>
                <w:t>dense</w:t>
              </w:r>
              <w:r w:rsidRPr="005D3A96">
                <w:rPr>
                  <w:rFonts w:ascii="Arial Narrow" w:hAnsi="Arial Narrow"/>
                  <w:spacing w:val="-5"/>
                </w:rPr>
                <w:t xml:space="preserve"> </w:t>
              </w:r>
              <w:r w:rsidRPr="005D3A96">
                <w:rPr>
                  <w:rFonts w:ascii="Arial Narrow" w:hAnsi="Arial Narrow"/>
                  <w:spacing w:val="-1"/>
                </w:rPr>
                <w:t>wooded</w:t>
              </w:r>
              <w:r w:rsidRPr="005D3A96">
                <w:rPr>
                  <w:rFonts w:ascii="Arial Narrow" w:hAnsi="Arial Narrow"/>
                  <w:spacing w:val="-5"/>
                </w:rPr>
                <w:t xml:space="preserve"> </w:t>
              </w:r>
              <w:r w:rsidRPr="005D3A96">
                <w:rPr>
                  <w:rFonts w:ascii="Arial Narrow" w:hAnsi="Arial Narrow"/>
                </w:rPr>
                <w:t>areas</w:t>
              </w:r>
            </w:ins>
          </w:p>
        </w:tc>
        <w:tc>
          <w:tcPr>
            <w:tcW w:w="3517" w:type="dxa"/>
          </w:tcPr>
          <w:p w14:paraId="6DDCCC83" w14:textId="67DAE19B" w:rsidR="00D85CF3" w:rsidRPr="00D905CD" w:rsidRDefault="00D85CF3" w:rsidP="002E5417">
            <w:pPr>
              <w:rPr>
                <w:ins w:id="98" w:author="ABL_CD_2020" w:date="2020-09-05T20:39:00Z"/>
                <w:rFonts w:ascii="Arial" w:hAnsi="Arial" w:cs="Arial"/>
                <w:bCs/>
                <w:sz w:val="24"/>
                <w:szCs w:val="24"/>
              </w:rPr>
            </w:pPr>
            <w:ins w:id="99" w:author="ABL_CD_2020" w:date="2020-09-05T20:39:00Z">
              <w:r w:rsidRPr="005D3A96">
                <w:rPr>
                  <w:rFonts w:ascii="Arial Narrow" w:hAnsi="Arial Narrow"/>
                </w:rPr>
                <w:t>0.10–0.25</w:t>
              </w:r>
            </w:ins>
          </w:p>
        </w:tc>
      </w:tr>
      <w:tr w:rsidR="00D85CF3" w:rsidRPr="00D905CD" w14:paraId="417A4F99" w14:textId="77777777" w:rsidTr="0012618E">
        <w:tblPrEx>
          <w:tblW w:w="0" w:type="auto"/>
          <w:tblPrExChange w:id="100" w:author="ABL_CD_2020" w:date="2020-09-05T20:39:00Z">
            <w:tblPrEx>
              <w:tblW w:w="0" w:type="auto"/>
            </w:tblPrEx>
          </w:tblPrExChange>
        </w:tblPrEx>
        <w:trPr>
          <w:ins w:id="101" w:author="ABL_CD_2020" w:date="2020-09-05T20:39:00Z"/>
        </w:trPr>
        <w:tc>
          <w:tcPr>
            <w:tcW w:w="4988" w:type="dxa"/>
            <w:tcPrChange w:id="102" w:author="ABL_CD_2020" w:date="2020-09-05T20:39:00Z">
              <w:tcPr>
                <w:tcW w:w="4988" w:type="dxa"/>
              </w:tcPr>
            </w:tcPrChange>
          </w:tcPr>
          <w:p w14:paraId="1708B56A" w14:textId="489A7960" w:rsidR="00D85CF3" w:rsidRPr="00D905CD" w:rsidRDefault="00D85CF3" w:rsidP="00D85CF3">
            <w:pPr>
              <w:rPr>
                <w:ins w:id="103" w:author="ABL_CD_2020" w:date="2020-09-05T20:39:00Z"/>
                <w:rFonts w:ascii="Arial" w:hAnsi="Arial" w:cs="Arial"/>
                <w:bCs/>
                <w:sz w:val="24"/>
                <w:szCs w:val="24"/>
              </w:rPr>
            </w:pPr>
            <w:ins w:id="104" w:author="ABL_CD_2020" w:date="2020-09-05T20:39:00Z">
              <w:r w:rsidRPr="005D3A96">
                <w:rPr>
                  <w:rFonts w:ascii="Arial Narrow" w:hAnsi="Arial Narrow"/>
                </w:rPr>
                <w:t>Permeable pavements</w:t>
              </w:r>
            </w:ins>
          </w:p>
        </w:tc>
        <w:tc>
          <w:tcPr>
            <w:tcW w:w="3517" w:type="dxa"/>
            <w:vAlign w:val="center"/>
            <w:tcPrChange w:id="105" w:author="ABL_CD_2020" w:date="2020-09-05T20:39:00Z">
              <w:tcPr>
                <w:tcW w:w="3517" w:type="dxa"/>
              </w:tcPr>
            </w:tcPrChange>
          </w:tcPr>
          <w:p w14:paraId="44245915" w14:textId="692F281F" w:rsidR="00D85CF3" w:rsidRPr="00D905CD" w:rsidRDefault="00D85CF3" w:rsidP="00D85CF3">
            <w:pPr>
              <w:rPr>
                <w:ins w:id="106" w:author="ABL_CD_2020" w:date="2020-09-05T20:39:00Z"/>
                <w:rFonts w:ascii="Arial" w:hAnsi="Arial" w:cs="Arial"/>
                <w:bCs/>
                <w:sz w:val="24"/>
                <w:szCs w:val="24"/>
              </w:rPr>
            </w:pPr>
            <w:ins w:id="107" w:author="ABL_CD_2020" w:date="2020-09-05T20:39:00Z">
              <w:r w:rsidRPr="005D3A96">
                <w:rPr>
                  <w:rFonts w:ascii="Arial Narrow" w:hAnsi="Arial Narrow"/>
                </w:rPr>
                <w:t>0.15 to 0.25</w:t>
              </w:r>
            </w:ins>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For calculating runoff for less frequent, high intensity storms for particular type of area </w:t>
      </w:r>
      <w:commentRangeStart w:id="108"/>
      <w:r w:rsidRPr="00D905CD">
        <w:rPr>
          <w:rFonts w:ascii="Arial" w:hAnsi="Arial" w:cs="Arial"/>
          <w:sz w:val="24"/>
          <w:szCs w:val="24"/>
        </w:rPr>
        <w:t>in Table 2</w:t>
      </w:r>
      <w:commentRangeEnd w:id="108"/>
      <w:r w:rsidR="00E1740D">
        <w:rPr>
          <w:rStyle w:val="CommentReference"/>
        </w:rPr>
        <w:commentReference w:id="108"/>
      </w:r>
      <w:r w:rsidRPr="00D905CD">
        <w:rPr>
          <w:rFonts w:ascii="Arial" w:hAnsi="Arial" w:cs="Arial"/>
          <w:sz w:val="24"/>
          <w:szCs w:val="24"/>
        </w:rPr>
        <w:t xml:space="preserve">, upper values of the range shall be used. The lower value of the </w:t>
      </w:r>
      <w:r w:rsidRPr="00D905CD">
        <w:rPr>
          <w:rFonts w:ascii="Arial" w:hAnsi="Arial" w:cs="Arial"/>
          <w:sz w:val="24"/>
          <w:szCs w:val="24"/>
        </w:rPr>
        <w:lastRenderedPageBreak/>
        <w:t>range may be used for shorter recurrence interval storms under conditions of moderate to flat slopes</w:t>
      </w:r>
      <w:r w:rsidR="00D965E9" w:rsidRPr="00D905CD">
        <w:rPr>
          <w:rFonts w:ascii="Arial" w:hAnsi="Arial" w:cs="Arial"/>
          <w:sz w:val="24"/>
          <w:szCs w:val="24"/>
        </w:rPr>
        <w:t>.</w:t>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09" w:name="_Toc28002640"/>
      <w:bookmarkStart w:id="110" w:name="_Toc28079663"/>
      <w:r w:rsidRPr="00D905CD">
        <w:rPr>
          <w:rFonts w:ascii="Arial" w:hAnsi="Arial" w:cs="Arial"/>
          <w:b/>
          <w:sz w:val="24"/>
          <w:szCs w:val="24"/>
        </w:rPr>
        <w:t>Pipe Size</w:t>
      </w:r>
      <w:bookmarkEnd w:id="109"/>
      <w:bookmarkEnd w:id="110"/>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11"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11"/>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12"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12"/>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commentRangeStart w:id="113"/>
      <w:r w:rsidRPr="00D905CD">
        <w:rPr>
          <w:rFonts w:ascii="Arial" w:hAnsi="Arial" w:cs="Arial"/>
          <w:sz w:val="24"/>
          <w:szCs w:val="24"/>
        </w:rPr>
        <w:t>The minimum size of the storm sewer shall be 250 mm</w:t>
      </w:r>
      <w:commentRangeEnd w:id="113"/>
      <w:r w:rsidR="00E1740D">
        <w:rPr>
          <w:rStyle w:val="CommentReference"/>
        </w:rPr>
        <w:commentReference w:id="113"/>
      </w:r>
      <w:r w:rsidRPr="00D905CD">
        <w:rPr>
          <w:rFonts w:ascii="Arial" w:hAnsi="Arial" w:cs="Arial"/>
          <w:sz w:val="24"/>
          <w:szCs w:val="24"/>
        </w:rPr>
        <w:t xml:space="preserve">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4" w:name="_Toc28002641"/>
      <w:bookmarkStart w:id="115" w:name="_Toc28079664"/>
      <w:r w:rsidRPr="00D905CD">
        <w:rPr>
          <w:rFonts w:ascii="Arial" w:hAnsi="Arial" w:cs="Arial"/>
          <w:b/>
          <w:sz w:val="24"/>
          <w:szCs w:val="24"/>
        </w:rPr>
        <w:t>Flow Velocity</w:t>
      </w:r>
      <w:bookmarkEnd w:id="114"/>
      <w:bookmarkEnd w:id="115"/>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commentRangeStart w:id="116"/>
      <w:r w:rsidRPr="00D905CD">
        <w:rPr>
          <w:rFonts w:ascii="Arial" w:hAnsi="Arial" w:cs="Arial"/>
          <w:sz w:val="24"/>
          <w:szCs w:val="24"/>
        </w:rPr>
        <w:t>The storm sewers shall be placed at a minimum slope of 1%</w:t>
      </w:r>
      <w:r w:rsidR="00D702DF" w:rsidRPr="00D905CD">
        <w:rPr>
          <w:rFonts w:ascii="Arial" w:hAnsi="Arial" w:cs="Arial"/>
          <w:sz w:val="24"/>
          <w:szCs w:val="24"/>
        </w:rPr>
        <w:t xml:space="preserve"> on first leg of the system</w:t>
      </w:r>
      <w:r w:rsidRPr="00D905CD">
        <w:rPr>
          <w:rFonts w:ascii="Arial" w:hAnsi="Arial" w:cs="Arial"/>
          <w:sz w:val="24"/>
          <w:szCs w:val="24"/>
        </w:rPr>
        <w:t>.</w:t>
      </w:r>
      <w:commentRangeEnd w:id="116"/>
      <w:r w:rsidR="00E1740D">
        <w:rPr>
          <w:rStyle w:val="CommentReference"/>
        </w:rPr>
        <w:commentReference w:id="116"/>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17" w:name="_Toc28002642"/>
      <w:bookmarkStart w:id="118" w:name="_Toc28079665"/>
      <w:r w:rsidRPr="00D905CD">
        <w:rPr>
          <w:rFonts w:ascii="Arial" w:hAnsi="Arial" w:cs="Arial"/>
          <w:b/>
          <w:sz w:val="24"/>
          <w:szCs w:val="24"/>
        </w:rPr>
        <w:t>Pipe Material</w:t>
      </w:r>
      <w:bookmarkEnd w:id="117"/>
      <w:bookmarkEnd w:id="118"/>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19" w:name="_Toc28002643"/>
      <w:bookmarkStart w:id="120"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19"/>
      <w:bookmarkEnd w:id="120"/>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w:t>
      </w:r>
      <w:r w:rsidRPr="00D905CD">
        <w:rPr>
          <w:rFonts w:ascii="Arial" w:eastAsia="Arial" w:hAnsi="Arial" w:cs="Arial"/>
          <w:sz w:val="24"/>
          <w:szCs w:val="24"/>
        </w:rPr>
        <w:lastRenderedPageBreak/>
        <w:t>Highway Bridge Design Code (for vehicular traffic), Railway Safety Act, and Transport Canada Act. Appropriate structural support must be provided to the 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21" w:name="_Toc28002644"/>
      <w:bookmarkStart w:id="122" w:name="_Toc28079667"/>
      <w:r w:rsidRPr="00D905CD">
        <w:rPr>
          <w:rFonts w:ascii="Arial" w:hAnsi="Arial" w:cs="Arial"/>
          <w:b/>
          <w:sz w:val="24"/>
          <w:szCs w:val="24"/>
        </w:rPr>
        <w:t>Maintenance Holes</w:t>
      </w:r>
      <w:bookmarkEnd w:id="121"/>
      <w:bookmarkEnd w:id="122"/>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a distance of 30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23"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23"/>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24"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24"/>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25" w:name="_Toc28002645"/>
      <w:bookmarkStart w:id="126" w:name="_Toc28079668"/>
      <w:r w:rsidRPr="00D905CD">
        <w:rPr>
          <w:rFonts w:ascii="Arial" w:hAnsi="Arial" w:cs="Arial"/>
          <w:b/>
          <w:sz w:val="24"/>
          <w:szCs w:val="24"/>
        </w:rPr>
        <w:t>Catch Basins</w:t>
      </w:r>
      <w:bookmarkEnd w:id="125"/>
      <w:bookmarkEnd w:id="126"/>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27"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27"/>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28"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28"/>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29" w:name="_Toc28002646"/>
      <w:bookmarkStart w:id="130" w:name="_Toc28079669"/>
      <w:r w:rsidRPr="00D905CD">
        <w:rPr>
          <w:rFonts w:ascii="Arial" w:hAnsi="Arial" w:cs="Arial"/>
          <w:b/>
          <w:sz w:val="24"/>
          <w:szCs w:val="24"/>
        </w:rPr>
        <w:t>Inverted Siphons</w:t>
      </w:r>
      <w:bookmarkEnd w:id="129"/>
      <w:bookmarkEnd w:id="130"/>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31" w:name="_Toc28002647"/>
      <w:bookmarkStart w:id="132" w:name="_Toc28079670"/>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31"/>
      <w:bookmarkEnd w:id="132"/>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discharge collection system shall be designed to collected water only from the foundation drains.</w:t>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0B233F1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minim 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33" w:name="_Toc28002648"/>
      <w:bookmarkStart w:id="134" w:name="_Toc28079671"/>
      <w:r w:rsidRPr="00D905CD">
        <w:rPr>
          <w:rFonts w:ascii="Arial" w:hAnsi="Arial" w:cs="Arial"/>
          <w:b/>
          <w:sz w:val="24"/>
          <w:szCs w:val="24"/>
        </w:rPr>
        <w:t>Documentation</w:t>
      </w:r>
      <w:bookmarkEnd w:id="133"/>
      <w:bookmarkEnd w:id="134"/>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5"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35" w:name="_Toc28079672"/>
      <w:r w:rsidRPr="008E553A">
        <w:rPr>
          <w:sz w:val="28"/>
          <w:szCs w:val="28"/>
        </w:rPr>
        <w:lastRenderedPageBreak/>
        <w:t xml:space="preserve">Appendix A: </w:t>
      </w:r>
      <w:r w:rsidR="00B07159" w:rsidRPr="008E553A">
        <w:rPr>
          <w:sz w:val="28"/>
          <w:szCs w:val="28"/>
        </w:rPr>
        <w:t>Inspection and Testing</w:t>
      </w:r>
      <w:bookmarkEnd w:id="135"/>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36" w:name="_Toc531968495"/>
      <w:r w:rsidRPr="00D905CD">
        <w:rPr>
          <w:rFonts w:ascii="Arial" w:hAnsi="Arial" w:cs="Arial"/>
          <w:b/>
          <w:sz w:val="24"/>
        </w:rPr>
        <w:t xml:space="preserve">Inspection and Testing Requirements for Sanitary Sewers and </w:t>
      </w:r>
      <w:proofErr w:type="spellStart"/>
      <w:r w:rsidRPr="00D905CD">
        <w:rPr>
          <w:rFonts w:ascii="Arial" w:hAnsi="Arial" w:cs="Arial"/>
          <w:b/>
          <w:sz w:val="24"/>
        </w:rPr>
        <w:t>Forcemains</w:t>
      </w:r>
      <w:proofErr w:type="spellEnd"/>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36"/>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All new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37" w:name="_Toc531968496"/>
      <w:r w:rsidRPr="00D905CD">
        <w:rPr>
          <w:rFonts w:ascii="Arial" w:hAnsi="Arial" w:cs="Arial"/>
          <w:b/>
          <w:sz w:val="24"/>
        </w:rPr>
        <w:t>Sanitary Sewer</w:t>
      </w:r>
      <w:bookmarkEnd w:id="137"/>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circumstances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 xml:space="preserve">for additional inspection and testing requirements for sanitary sewers,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Prior to leakage testing potential risks and hazards shall be identified and appropriate safety measure shall be taken. The procedure shall conform to all applicable health and safety requirements, including, but not limited to; Occupational Health and Safety Act, Ministry of </w:t>
      </w:r>
      <w:proofErr w:type="spellStart"/>
      <w:r w:rsidRPr="00685881">
        <w:rPr>
          <w:rFonts w:ascii="Arial" w:hAnsi="Arial" w:cs="Arial"/>
          <w:sz w:val="24"/>
          <w:szCs w:val="24"/>
        </w:rPr>
        <w:t>Labour</w:t>
      </w:r>
      <w:proofErr w:type="spellEnd"/>
      <w:r w:rsidRPr="00685881">
        <w:rPr>
          <w:rFonts w:ascii="Arial" w:hAnsi="Arial" w:cs="Arial"/>
          <w:sz w:val="24"/>
          <w:szCs w:val="24"/>
        </w:rPr>
        <w:t xml:space="preserve">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Water (Hydrostatic) Test</w:t>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day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proofErr w:type="spellStart"/>
      <w:r w:rsidRPr="00685881">
        <w:rPr>
          <w:rFonts w:ascii="Arial" w:hAnsi="Arial" w:cs="Arial"/>
          <w:b/>
          <w:sz w:val="24"/>
          <w:szCs w:val="24"/>
        </w:rPr>
        <w:t>Forcemains</w:t>
      </w:r>
      <w:proofErr w:type="spellEnd"/>
      <w:r w:rsidRPr="00685881">
        <w:rPr>
          <w:rFonts w:ascii="Arial" w:hAnsi="Arial" w:cs="Arial"/>
          <w:b/>
          <w:sz w:val="24"/>
          <w:szCs w:val="24"/>
        </w:rPr>
        <w:t xml:space="preserve">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Hydrostatic testing shall be performed to all new and rehabilitated/repaired </w:t>
      </w:r>
      <w:proofErr w:type="spellStart"/>
      <w:r w:rsidRPr="00685881">
        <w:rPr>
          <w:rFonts w:ascii="Arial" w:hAnsi="Arial" w:cs="Arial"/>
          <w:sz w:val="24"/>
          <w:szCs w:val="24"/>
        </w:rPr>
        <w:t>forcemains</w:t>
      </w:r>
      <w:proofErr w:type="spellEnd"/>
      <w:r w:rsidRPr="00685881">
        <w:rPr>
          <w:rFonts w:ascii="Arial" w:hAnsi="Arial" w:cs="Arial"/>
          <w:sz w:val="24"/>
          <w:szCs w:val="24"/>
        </w:rPr>
        <w:t xml:space="preserve">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38" w:name="_Toc28079673"/>
      <w:r w:rsidRPr="004A4996">
        <w:rPr>
          <w:sz w:val="28"/>
          <w:szCs w:val="28"/>
        </w:rPr>
        <w:lastRenderedPageBreak/>
        <w:t>Appendix B: Understanding Risk to Sources of Drinking Water</w:t>
      </w:r>
      <w:bookmarkEnd w:id="138"/>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in order to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39"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39"/>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6"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7"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If the sewage works are located in an area where they may pose a significant threat to drinking water sources (WHPAs, IPZs, ICAs or EBAs), source protection plan policy may apply.</w:t>
      </w:r>
    </w:p>
    <w:p w14:paraId="27492C76" w14:textId="2E1AD3EC" w:rsidR="00991DBF" w:rsidRPr="00685881" w:rsidRDefault="00991DBF" w:rsidP="00991DBF">
      <w:pPr>
        <w:pStyle w:val="ListParagraph"/>
        <w:numPr>
          <w:ilvl w:val="1"/>
          <w:numId w:val="27"/>
        </w:numPr>
        <w:spacing w:after="120"/>
        <w:rPr>
          <w:rFonts w:ascii="Arial" w:hAnsi="Arial" w:cs="Arial"/>
          <w:sz w:val="24"/>
          <w:szCs w:val="24"/>
        </w:rPr>
      </w:pPr>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p>
    <w:sectPr w:rsidR="00991DBF" w:rsidRPr="00685881" w:rsidSect="000C3A95">
      <w:headerReference w:type="default" r:id="rId18"/>
      <w:footerReference w:type="default" r:id="rId19"/>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BL_CD_2020" w:date="2020-09-04T16:07:00Z" w:initials="A">
    <w:p w14:paraId="1340F877" w14:textId="7DE5B5B4" w:rsidR="00A81055" w:rsidRDefault="00A81055">
      <w:pPr>
        <w:pStyle w:val="CommentText"/>
      </w:pPr>
      <w:r>
        <w:rPr>
          <w:rStyle w:val="CommentReference"/>
        </w:rPr>
        <w:annotationRef/>
      </w:r>
      <w:r w:rsidR="00F74D72">
        <w:t xml:space="preserve">Definition from SDWA </w:t>
      </w:r>
      <w:r>
        <w:t>should be included here</w:t>
      </w:r>
      <w:r w:rsidR="00F74D72">
        <w:t xml:space="preserve"> as should all other definitions referenced from other documents, acts, policies or regulation. </w:t>
      </w:r>
    </w:p>
  </w:comment>
  <w:comment w:id="6" w:author="ABL_CD_2020" w:date="2020-09-04T16:08:00Z" w:initials="A">
    <w:p w14:paraId="131242A3" w14:textId="449D7C5B" w:rsidR="00A81055" w:rsidRDefault="00A81055">
      <w:pPr>
        <w:pStyle w:val="CommentText"/>
      </w:pPr>
      <w:r>
        <w:rPr>
          <w:rStyle w:val="CommentReference"/>
        </w:rPr>
        <w:annotationRef/>
      </w:r>
      <w:bookmarkStart w:id="7" w:name="_GoBack"/>
      <w:r w:rsidR="002220CA">
        <w:t>Recommend that</w:t>
      </w:r>
      <w:r>
        <w:t xml:space="preserve"> splitter and proprietary treatment units such as OGS</w:t>
      </w:r>
      <w:r w:rsidR="002220CA">
        <w:t xml:space="preserve"> units </w:t>
      </w:r>
      <w:proofErr w:type="spellStart"/>
      <w:r w:rsidR="002220CA">
        <w:t>etc</w:t>
      </w:r>
      <w:proofErr w:type="spellEnd"/>
      <w:r w:rsidR="002220CA">
        <w:t xml:space="preserve"> be included</w:t>
      </w:r>
      <w:bookmarkEnd w:id="7"/>
    </w:p>
  </w:comment>
  <w:comment w:id="89" w:author="ABL_CD_2020" w:date="2020-09-04T16:20:00Z" w:initials="A">
    <w:p w14:paraId="0E170403" w14:textId="293081DA" w:rsidR="00A81055" w:rsidRDefault="00A81055">
      <w:pPr>
        <w:pStyle w:val="CommentText"/>
      </w:pPr>
      <w:r>
        <w:rPr>
          <w:rStyle w:val="CommentReference"/>
        </w:rPr>
        <w:annotationRef/>
      </w:r>
      <w:r>
        <w:t xml:space="preserve">Should this read “Stormwater management systems” </w:t>
      </w:r>
    </w:p>
  </w:comment>
  <w:comment w:id="92" w:author="ABL_CD_2020" w:date="2020-09-04T16:21:00Z" w:initials="A">
    <w:p w14:paraId="784D7CD9" w14:textId="38A697F9" w:rsidR="00A81055" w:rsidRDefault="00A81055">
      <w:pPr>
        <w:pStyle w:val="CommentText"/>
      </w:pPr>
      <w:r>
        <w:rPr>
          <w:rStyle w:val="CommentReference"/>
        </w:rPr>
        <w:annotationRef/>
      </w:r>
      <w:r>
        <w:t xml:space="preserve">This list of runoff coefficients should be expanded.  </w:t>
      </w:r>
    </w:p>
  </w:comment>
  <w:comment w:id="108" w:author="ABL_CD_2020" w:date="2020-09-04T16:22:00Z" w:initials="A">
    <w:p w14:paraId="3FE57E3A" w14:textId="5EFCA168" w:rsidR="00A81055" w:rsidRDefault="00A81055">
      <w:pPr>
        <w:pStyle w:val="CommentText"/>
      </w:pPr>
      <w:r>
        <w:rPr>
          <w:rStyle w:val="CommentReference"/>
        </w:rPr>
        <w:annotationRef/>
      </w:r>
      <w:r w:rsidR="003E7195">
        <w:rPr>
          <w:rStyle w:val="CommentReference"/>
        </w:rPr>
        <w:t>This reference should be to Table 3</w:t>
      </w:r>
    </w:p>
  </w:comment>
  <w:comment w:id="113" w:author="ABL_CD_2020" w:date="2020-09-04T16:23:00Z" w:initials="A">
    <w:p w14:paraId="1A232BC6" w14:textId="2E33936F" w:rsidR="00A81055" w:rsidRDefault="00A81055">
      <w:pPr>
        <w:pStyle w:val="CommentText"/>
      </w:pPr>
      <w:r>
        <w:rPr>
          <w:rStyle w:val="CommentReference"/>
        </w:rPr>
        <w:annotationRef/>
      </w:r>
      <w:r w:rsidR="00DF7270">
        <w:t xml:space="preserve">Perforated pipe systems </w:t>
      </w:r>
      <w:proofErr w:type="gramStart"/>
      <w:r w:rsidR="00DF7270">
        <w:t>can  routinely</w:t>
      </w:r>
      <w:proofErr w:type="gramEnd"/>
      <w:r w:rsidR="00DF7270">
        <w:t xml:space="preserve"> be less than 250mm.</w:t>
      </w:r>
      <w:r>
        <w:t xml:space="preserve"> </w:t>
      </w:r>
    </w:p>
  </w:comment>
  <w:comment w:id="116" w:author="ABL_CD_2020" w:date="2020-09-04T16:23:00Z" w:initials="A">
    <w:p w14:paraId="61739314" w14:textId="0A55E5C7" w:rsidR="00A81055" w:rsidRDefault="00A81055">
      <w:pPr>
        <w:pStyle w:val="CommentText"/>
      </w:pPr>
      <w:r>
        <w:rPr>
          <w:rStyle w:val="CommentReference"/>
        </w:rPr>
        <w:annotationRef/>
      </w:r>
      <w:r>
        <w:t>Perforated pipes are desig</w:t>
      </w:r>
      <w:r w:rsidR="00AF5F49">
        <w:t>ned with slopes of less than 1%. Should this be added as note or exception?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0F877" w15:done="0"/>
  <w15:commentEx w15:paraId="131242A3" w15:done="0"/>
  <w15:commentEx w15:paraId="0E170403" w15:done="0"/>
  <w15:commentEx w15:paraId="784D7CD9" w15:done="0"/>
  <w15:commentEx w15:paraId="3FE57E3A" w15:done="0"/>
  <w15:commentEx w15:paraId="1A232BC6" w15:done="0"/>
  <w15:commentEx w15:paraId="617393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368E" w14:textId="77777777" w:rsidR="00D61392" w:rsidRDefault="00D61392">
      <w:r>
        <w:separator/>
      </w:r>
    </w:p>
  </w:endnote>
  <w:endnote w:type="continuationSeparator" w:id="0">
    <w:p w14:paraId="3A4C4191" w14:textId="77777777" w:rsidR="00D61392" w:rsidRDefault="00D61392">
      <w:r>
        <w:continuationSeparator/>
      </w:r>
    </w:p>
  </w:endnote>
  <w:endnote w:type="continuationNotice" w:id="1">
    <w:p w14:paraId="26A1A7DD" w14:textId="77777777" w:rsidR="00D61392" w:rsidRDefault="00D61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8497"/>
      <w:docPartObj>
        <w:docPartGallery w:val="Page Numbers (Bottom of Page)"/>
        <w:docPartUnique/>
      </w:docPartObj>
    </w:sdtPr>
    <w:sdtEndPr>
      <w:rPr>
        <w:noProof/>
      </w:rPr>
    </w:sdtEndPr>
    <w:sdtContent>
      <w:p w14:paraId="2534A852" w14:textId="3B7636DF" w:rsidR="00A81055" w:rsidRPr="00CD2262" w:rsidRDefault="00A81055" w:rsidP="00CD2262">
        <w:pPr>
          <w:pStyle w:val="Footer"/>
          <w:jc w:val="right"/>
        </w:pPr>
        <w:r>
          <w:fldChar w:fldCharType="begin"/>
        </w:r>
        <w:r>
          <w:instrText xml:space="preserve"> PAGE   \* MERGEFORMAT </w:instrText>
        </w:r>
        <w:r>
          <w:fldChar w:fldCharType="separate"/>
        </w:r>
        <w:r w:rsidR="002220CA">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54289"/>
      <w:docPartObj>
        <w:docPartGallery w:val="Page Numbers (Bottom of Page)"/>
        <w:docPartUnique/>
      </w:docPartObj>
    </w:sdtPr>
    <w:sdtEndPr>
      <w:rPr>
        <w:noProof/>
      </w:rPr>
    </w:sdtEndPr>
    <w:sdtContent>
      <w:p w14:paraId="7F2FBA08" w14:textId="6A97B7F9" w:rsidR="00A81055" w:rsidRPr="00CD2262" w:rsidRDefault="00A81055" w:rsidP="00CD2262">
        <w:pPr>
          <w:pStyle w:val="Footer"/>
          <w:jc w:val="right"/>
        </w:pPr>
        <w:r>
          <w:fldChar w:fldCharType="begin"/>
        </w:r>
        <w:r>
          <w:instrText xml:space="preserve"> PAGE   \* MERGEFORMAT </w:instrText>
        </w:r>
        <w:r>
          <w:fldChar w:fldCharType="separate"/>
        </w:r>
        <w:r w:rsidR="002220CA">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5525" w14:textId="77777777" w:rsidR="00D61392" w:rsidRDefault="00D61392">
      <w:r>
        <w:separator/>
      </w:r>
    </w:p>
  </w:footnote>
  <w:footnote w:type="continuationSeparator" w:id="0">
    <w:p w14:paraId="5051D0DE" w14:textId="77777777" w:rsidR="00D61392" w:rsidRDefault="00D61392">
      <w:r>
        <w:continuationSeparator/>
      </w:r>
    </w:p>
  </w:footnote>
  <w:footnote w:type="continuationNotice" w:id="1">
    <w:p w14:paraId="7B995223" w14:textId="77777777" w:rsidR="00D61392" w:rsidRDefault="00D613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840D" w14:textId="18DEB91A" w:rsidR="00A81055" w:rsidRPr="000A6113" w:rsidRDefault="00A81055" w:rsidP="001A020B">
    <w:pPr>
      <w:pStyle w:val="BodyText"/>
      <w:spacing w:line="225" w:lineRule="exact"/>
      <w:ind w:left="0" w:firstLine="0"/>
      <w:rPr>
        <w:sz w:val="24"/>
      </w:rPr>
    </w:pPr>
    <w:bookmarkStart w:id="0" w:name="_Hlk28336746"/>
    <w:r w:rsidRPr="000A6113">
      <w:rPr>
        <w:sz w:val="24"/>
      </w:rPr>
      <w:t xml:space="preserve"> Design Criteria for Sewers and </w:t>
    </w:r>
    <w:proofErr w:type="spellStart"/>
    <w:r w:rsidRPr="000A6113">
      <w:rPr>
        <w:sz w:val="24"/>
      </w:rPr>
      <w:t>Forcemains</w:t>
    </w:r>
    <w:bookmarkEnd w:id="0"/>
    <w:proofErr w:type="spellEnd"/>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A81055" w:rsidRPr="002C4D50" w:rsidRDefault="00A81055">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CE8F" w14:textId="707B0927" w:rsidR="00A81055" w:rsidRPr="008515DF" w:rsidRDefault="00A81055" w:rsidP="008515DF">
    <w:pPr>
      <w:pStyle w:val="Header"/>
      <w:rPr>
        <w:rFonts w:ascii="Arial" w:hAnsi="Arial" w:cs="Arial"/>
        <w:sz w:val="24"/>
      </w:rPr>
    </w:pPr>
    <w:r w:rsidRPr="008515DF">
      <w:rPr>
        <w:rFonts w:ascii="Arial" w:hAnsi="Arial" w:cs="Arial"/>
        <w:sz w:val="24"/>
      </w:rPr>
      <w:t xml:space="preserve">Design Criteria for Sewers and </w:t>
    </w:r>
    <w:proofErr w:type="spellStart"/>
    <w:r w:rsidRPr="008515DF">
      <w:rPr>
        <w:rFonts w:ascii="Arial" w:hAnsi="Arial" w:cs="Arial"/>
        <w:sz w:val="24"/>
      </w:rPr>
      <w:t>Forcemains</w:t>
    </w:r>
    <w:proofErr w:type="spellEnd"/>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L_CD_2020">
    <w15:presenceInfo w15:providerId="None" w15:userId="ABL_CD_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1A24"/>
    <w:rsid w:val="00032E66"/>
    <w:rsid w:val="0003394D"/>
    <w:rsid w:val="00033983"/>
    <w:rsid w:val="00034347"/>
    <w:rsid w:val="00034D8A"/>
    <w:rsid w:val="00037FFB"/>
    <w:rsid w:val="000416EB"/>
    <w:rsid w:val="0004271A"/>
    <w:rsid w:val="00043F00"/>
    <w:rsid w:val="00044546"/>
    <w:rsid w:val="000453DE"/>
    <w:rsid w:val="00045C47"/>
    <w:rsid w:val="00047A77"/>
    <w:rsid w:val="00051479"/>
    <w:rsid w:val="0005474B"/>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216C1"/>
    <w:rsid w:val="002220CA"/>
    <w:rsid w:val="0022229D"/>
    <w:rsid w:val="00222442"/>
    <w:rsid w:val="002244FC"/>
    <w:rsid w:val="00224975"/>
    <w:rsid w:val="00224F1E"/>
    <w:rsid w:val="00227906"/>
    <w:rsid w:val="002301A1"/>
    <w:rsid w:val="0023033F"/>
    <w:rsid w:val="00231722"/>
    <w:rsid w:val="0023232C"/>
    <w:rsid w:val="00232D44"/>
    <w:rsid w:val="0023423D"/>
    <w:rsid w:val="00234FCB"/>
    <w:rsid w:val="002379C1"/>
    <w:rsid w:val="00237A4C"/>
    <w:rsid w:val="00237CE6"/>
    <w:rsid w:val="00241254"/>
    <w:rsid w:val="002445CE"/>
    <w:rsid w:val="00244A1E"/>
    <w:rsid w:val="00245CAB"/>
    <w:rsid w:val="00246915"/>
    <w:rsid w:val="002478AE"/>
    <w:rsid w:val="00250E28"/>
    <w:rsid w:val="00255B40"/>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E7195"/>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413A8"/>
    <w:rsid w:val="004414E3"/>
    <w:rsid w:val="00441D16"/>
    <w:rsid w:val="00443979"/>
    <w:rsid w:val="00444A84"/>
    <w:rsid w:val="00445C99"/>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6C2"/>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C7B"/>
    <w:rsid w:val="005271F5"/>
    <w:rsid w:val="00527460"/>
    <w:rsid w:val="00527B26"/>
    <w:rsid w:val="00530BDA"/>
    <w:rsid w:val="00532DBF"/>
    <w:rsid w:val="00535B18"/>
    <w:rsid w:val="00536209"/>
    <w:rsid w:val="0053660E"/>
    <w:rsid w:val="0054090A"/>
    <w:rsid w:val="00541541"/>
    <w:rsid w:val="00542C0E"/>
    <w:rsid w:val="005443E9"/>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7BF"/>
    <w:rsid w:val="0061100D"/>
    <w:rsid w:val="00611F61"/>
    <w:rsid w:val="0061217D"/>
    <w:rsid w:val="00615D74"/>
    <w:rsid w:val="006227E0"/>
    <w:rsid w:val="0062284E"/>
    <w:rsid w:val="00622989"/>
    <w:rsid w:val="00625635"/>
    <w:rsid w:val="00625936"/>
    <w:rsid w:val="00626C0F"/>
    <w:rsid w:val="0063003A"/>
    <w:rsid w:val="00630460"/>
    <w:rsid w:val="006307D1"/>
    <w:rsid w:val="00632DE8"/>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BF9"/>
    <w:rsid w:val="00694DB0"/>
    <w:rsid w:val="00695CF2"/>
    <w:rsid w:val="00695DC5"/>
    <w:rsid w:val="00696A51"/>
    <w:rsid w:val="00696F65"/>
    <w:rsid w:val="006977B3"/>
    <w:rsid w:val="006A39EA"/>
    <w:rsid w:val="006A78C1"/>
    <w:rsid w:val="006A7F1E"/>
    <w:rsid w:val="006B0168"/>
    <w:rsid w:val="006B0B7B"/>
    <w:rsid w:val="006B2A89"/>
    <w:rsid w:val="006B2CA9"/>
    <w:rsid w:val="006B5249"/>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9A7"/>
    <w:rsid w:val="0079433E"/>
    <w:rsid w:val="00794997"/>
    <w:rsid w:val="00795274"/>
    <w:rsid w:val="007961B7"/>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453D"/>
    <w:rsid w:val="007F556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6A75"/>
    <w:rsid w:val="008B7CBF"/>
    <w:rsid w:val="008C0B42"/>
    <w:rsid w:val="008C0CFE"/>
    <w:rsid w:val="008C10F3"/>
    <w:rsid w:val="008C26E9"/>
    <w:rsid w:val="008C460D"/>
    <w:rsid w:val="008C495A"/>
    <w:rsid w:val="008C4C72"/>
    <w:rsid w:val="008C5A1D"/>
    <w:rsid w:val="008C75EF"/>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405B"/>
    <w:rsid w:val="00A04934"/>
    <w:rsid w:val="00A05533"/>
    <w:rsid w:val="00A06528"/>
    <w:rsid w:val="00A0708A"/>
    <w:rsid w:val="00A07950"/>
    <w:rsid w:val="00A07E14"/>
    <w:rsid w:val="00A20847"/>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24EE"/>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1055"/>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F49"/>
    <w:rsid w:val="00AF5F49"/>
    <w:rsid w:val="00B024A1"/>
    <w:rsid w:val="00B02D77"/>
    <w:rsid w:val="00B033D2"/>
    <w:rsid w:val="00B0687D"/>
    <w:rsid w:val="00B07159"/>
    <w:rsid w:val="00B102B3"/>
    <w:rsid w:val="00B110A1"/>
    <w:rsid w:val="00B11EA5"/>
    <w:rsid w:val="00B12116"/>
    <w:rsid w:val="00B13B05"/>
    <w:rsid w:val="00B15B01"/>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4D0"/>
    <w:rsid w:val="00B8141F"/>
    <w:rsid w:val="00B817B9"/>
    <w:rsid w:val="00B82170"/>
    <w:rsid w:val="00B82EDA"/>
    <w:rsid w:val="00B84B97"/>
    <w:rsid w:val="00B86BA1"/>
    <w:rsid w:val="00B92487"/>
    <w:rsid w:val="00B9263F"/>
    <w:rsid w:val="00B9517F"/>
    <w:rsid w:val="00B9542C"/>
    <w:rsid w:val="00B96BF8"/>
    <w:rsid w:val="00BA19A2"/>
    <w:rsid w:val="00BA4498"/>
    <w:rsid w:val="00BA55AA"/>
    <w:rsid w:val="00BA5E0E"/>
    <w:rsid w:val="00BB04A6"/>
    <w:rsid w:val="00BB43AC"/>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819"/>
    <w:rsid w:val="00C443DD"/>
    <w:rsid w:val="00C51EEC"/>
    <w:rsid w:val="00C520C0"/>
    <w:rsid w:val="00C52769"/>
    <w:rsid w:val="00C52BAB"/>
    <w:rsid w:val="00C56455"/>
    <w:rsid w:val="00C610CA"/>
    <w:rsid w:val="00C614B3"/>
    <w:rsid w:val="00C617ED"/>
    <w:rsid w:val="00C679B9"/>
    <w:rsid w:val="00C67C93"/>
    <w:rsid w:val="00C7152A"/>
    <w:rsid w:val="00C73B26"/>
    <w:rsid w:val="00C74121"/>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392"/>
    <w:rsid w:val="00D61663"/>
    <w:rsid w:val="00D63FBA"/>
    <w:rsid w:val="00D6682E"/>
    <w:rsid w:val="00D702DF"/>
    <w:rsid w:val="00D70E45"/>
    <w:rsid w:val="00D71C28"/>
    <w:rsid w:val="00D73165"/>
    <w:rsid w:val="00D73502"/>
    <w:rsid w:val="00D74329"/>
    <w:rsid w:val="00D75AE8"/>
    <w:rsid w:val="00D7770A"/>
    <w:rsid w:val="00D77ED6"/>
    <w:rsid w:val="00D85CF3"/>
    <w:rsid w:val="00D87683"/>
    <w:rsid w:val="00D905CD"/>
    <w:rsid w:val="00D92484"/>
    <w:rsid w:val="00D94A72"/>
    <w:rsid w:val="00D94C2A"/>
    <w:rsid w:val="00D965E9"/>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E0370"/>
    <w:rsid w:val="00DE05A3"/>
    <w:rsid w:val="00DE2316"/>
    <w:rsid w:val="00DE34B1"/>
    <w:rsid w:val="00DE50F6"/>
    <w:rsid w:val="00DE5AF7"/>
    <w:rsid w:val="00DE600F"/>
    <w:rsid w:val="00DF0476"/>
    <w:rsid w:val="00DF3096"/>
    <w:rsid w:val="00DF326A"/>
    <w:rsid w:val="00DF64CF"/>
    <w:rsid w:val="00DF7270"/>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40D"/>
    <w:rsid w:val="00E1798F"/>
    <w:rsid w:val="00E20BF5"/>
    <w:rsid w:val="00E21749"/>
    <w:rsid w:val="00E21E86"/>
    <w:rsid w:val="00E231CF"/>
    <w:rsid w:val="00E23844"/>
    <w:rsid w:val="00E24004"/>
    <w:rsid w:val="00E2632F"/>
    <w:rsid w:val="00E301FB"/>
    <w:rsid w:val="00E30B0B"/>
    <w:rsid w:val="00E319A3"/>
    <w:rsid w:val="00E33103"/>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1"/>
    <w:rsid w:val="00E61D69"/>
    <w:rsid w:val="00E62347"/>
    <w:rsid w:val="00E62625"/>
    <w:rsid w:val="00E63FFB"/>
    <w:rsid w:val="00E70823"/>
    <w:rsid w:val="00E71B9D"/>
    <w:rsid w:val="00E72B5B"/>
    <w:rsid w:val="00E7591E"/>
    <w:rsid w:val="00E75C23"/>
    <w:rsid w:val="00E80189"/>
    <w:rsid w:val="00E81E33"/>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4D72"/>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6A0"/>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customStyle="1"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 w:type="paragraph" w:styleId="Revision">
    <w:name w:val="Revision"/>
    <w:hidden/>
    <w:uiPriority w:val="99"/>
    <w:semiHidden/>
    <w:rsid w:val="00A8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wpip.ca/Threats" TargetMode="External"/><Relationship Id="rId2" Type="http://schemas.openxmlformats.org/officeDocument/2006/relationships/customXml" Target="../customXml/item2.xml"/><Relationship Id="rId16" Type="http://schemas.openxmlformats.org/officeDocument/2006/relationships/hyperlink" Target="https://www.ontario.ca/page/tables-drinking-water-thr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rms.ssb.gov.on.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61A0-1F72-4E11-942F-DE7700B76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4.xml><?xml version="1.0" encoding="utf-8"?>
<ds:datastoreItem xmlns:ds="http://schemas.openxmlformats.org/officeDocument/2006/customXml" ds:itemID="{C4C6D6CE-CE77-482D-B372-395CD355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30</Pages>
  <Words>8893</Words>
  <Characters>50691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ABL_CD_2020</cp:lastModifiedBy>
  <cp:revision>13</cp:revision>
  <cp:lastPrinted>2019-12-27T20:32:00Z</cp:lastPrinted>
  <dcterms:created xsi:type="dcterms:W3CDTF">2020-09-04T20:08:00Z</dcterms:created>
  <dcterms:modified xsi:type="dcterms:W3CDTF">2020-09-06T19:41:00Z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