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6C05B" w14:textId="3B3F390B" w:rsidR="00BD11EA" w:rsidRPr="004B5C59" w:rsidRDefault="00BD11EA">
      <w:pPr>
        <w:rPr>
          <w:lang w:val="en-CA"/>
        </w:rPr>
      </w:pPr>
      <w:r w:rsidRPr="004B5C59">
        <w:rPr>
          <w:lang w:val="en-CA"/>
        </w:rPr>
        <w:t>The City of Barrie appreciates the</w:t>
      </w:r>
      <w:r w:rsidR="004B5C59" w:rsidRPr="004B5C59">
        <w:rPr>
          <w:lang w:val="en-CA"/>
        </w:rPr>
        <w:t xml:space="preserve"> work of the Ministry of the Environment, Conservation and Parks and Ministry staff for their hard work on this file. The City o</w:t>
      </w:r>
      <w:r w:rsidR="00EA7F94">
        <w:rPr>
          <w:lang w:val="en-CA"/>
        </w:rPr>
        <w:t>f</w:t>
      </w:r>
      <w:r w:rsidR="004B5C59" w:rsidRPr="004B5C59">
        <w:rPr>
          <w:lang w:val="en-CA"/>
        </w:rPr>
        <w:t xml:space="preserve"> Barrie </w:t>
      </w:r>
      <w:r w:rsidR="00EA7F94">
        <w:rPr>
          <w:lang w:val="en-CA"/>
        </w:rPr>
        <w:t>s</w:t>
      </w:r>
      <w:r w:rsidR="004B5C59" w:rsidRPr="004B5C59">
        <w:rPr>
          <w:lang w:val="en-CA"/>
        </w:rPr>
        <w:t>trongly supports the following elements of the draft regulation.</w:t>
      </w:r>
    </w:p>
    <w:p w14:paraId="2B02B0F3" w14:textId="37F45327" w:rsidR="00442158" w:rsidRDefault="00442158">
      <w:pPr>
        <w:rPr>
          <w:b/>
          <w:bCs/>
          <w:u w:val="single"/>
          <w:lang w:val="en-CA"/>
        </w:rPr>
      </w:pPr>
      <w:r>
        <w:rPr>
          <w:b/>
          <w:bCs/>
          <w:u w:val="single"/>
          <w:lang w:val="en-CA"/>
        </w:rPr>
        <w:t>Areas of Support</w:t>
      </w:r>
    </w:p>
    <w:p w14:paraId="2E35B27C" w14:textId="4DA7F710" w:rsidR="00442158" w:rsidRDefault="00442158" w:rsidP="00442158">
      <w:pPr>
        <w:pStyle w:val="ListParagraph"/>
        <w:numPr>
          <w:ilvl w:val="0"/>
          <w:numId w:val="4"/>
        </w:numPr>
        <w:rPr>
          <w:lang w:val="en-CA"/>
        </w:rPr>
      </w:pPr>
      <w:r w:rsidRPr="00442158">
        <w:rPr>
          <w:lang w:val="en-CA"/>
        </w:rPr>
        <w:t>Establishment of a provincial common collection system:</w:t>
      </w:r>
      <w:r w:rsidR="00594EA8">
        <w:rPr>
          <w:lang w:val="en-CA"/>
        </w:rPr>
        <w:t xml:space="preserve"> A</w:t>
      </w:r>
      <w:r w:rsidRPr="00442158">
        <w:rPr>
          <w:lang w:val="en-CA"/>
        </w:rPr>
        <w:t xml:space="preserve">ll </w:t>
      </w:r>
      <w:r w:rsidR="00594EA8" w:rsidRPr="00442158">
        <w:rPr>
          <w:lang w:val="en-CA"/>
        </w:rPr>
        <w:t>Ontarians</w:t>
      </w:r>
      <w:r w:rsidRPr="00442158">
        <w:rPr>
          <w:lang w:val="en-CA"/>
        </w:rPr>
        <w:t xml:space="preserve"> should have the same access to recycling, including where they live work and play.</w:t>
      </w:r>
      <w:r w:rsidR="006C7A33">
        <w:rPr>
          <w:lang w:val="en-CA"/>
        </w:rPr>
        <w:t xml:space="preserve"> Access to recycling programs in all dwelling types, schools, facilities and municipal public spaces will improve the outcomes of the program</w:t>
      </w:r>
    </w:p>
    <w:p w14:paraId="5FAD6C39" w14:textId="6C5C41FA" w:rsidR="00594EA8" w:rsidRDefault="00594EA8" w:rsidP="00442158">
      <w:pPr>
        <w:pStyle w:val="ListParagraph"/>
        <w:numPr>
          <w:ilvl w:val="0"/>
          <w:numId w:val="4"/>
        </w:numPr>
        <w:rPr>
          <w:lang w:val="en-CA"/>
        </w:rPr>
      </w:pPr>
      <w:r>
        <w:rPr>
          <w:lang w:val="en-CA"/>
        </w:rPr>
        <w:t>An enhanced</w:t>
      </w:r>
      <w:r w:rsidR="00456CB7">
        <w:rPr>
          <w:lang w:val="en-CA"/>
        </w:rPr>
        <w:t xml:space="preserve"> and standardized list of materials: A standardized list will make the system far easier to understand for Ontarians. </w:t>
      </w:r>
    </w:p>
    <w:p w14:paraId="7E1127DE" w14:textId="0B7C01D6" w:rsidR="00456CB7" w:rsidRDefault="00456CB7" w:rsidP="00442158">
      <w:pPr>
        <w:pStyle w:val="ListParagraph"/>
        <w:numPr>
          <w:ilvl w:val="0"/>
          <w:numId w:val="4"/>
        </w:numPr>
        <w:rPr>
          <w:lang w:val="en-CA"/>
        </w:rPr>
      </w:pPr>
      <w:r>
        <w:rPr>
          <w:lang w:val="en-CA"/>
        </w:rPr>
        <w:t>Targets: Progressive and enforceable collections and management targets will foster innovation, investments in Collection and processing, and development of end markets</w:t>
      </w:r>
    </w:p>
    <w:p w14:paraId="073DC676" w14:textId="6FDE8DF2" w:rsidR="00456CB7" w:rsidRDefault="00456CB7" w:rsidP="00442158">
      <w:pPr>
        <w:pStyle w:val="ListParagraph"/>
        <w:numPr>
          <w:ilvl w:val="0"/>
          <w:numId w:val="4"/>
        </w:numPr>
        <w:rPr>
          <w:lang w:val="en-CA"/>
        </w:rPr>
      </w:pPr>
      <w:r>
        <w:rPr>
          <w:lang w:val="en-CA"/>
        </w:rPr>
        <w:t xml:space="preserve">Seamless Transition: The </w:t>
      </w:r>
      <w:proofErr w:type="gramStart"/>
      <w:r>
        <w:rPr>
          <w:lang w:val="en-CA"/>
        </w:rPr>
        <w:t>three year</w:t>
      </w:r>
      <w:proofErr w:type="gramEnd"/>
      <w:r>
        <w:rPr>
          <w:lang w:val="en-CA"/>
        </w:rPr>
        <w:t xml:space="preserve"> schedule will enable all stakeholders to</w:t>
      </w:r>
      <w:r w:rsidR="00E232EC">
        <w:rPr>
          <w:lang w:val="en-CA"/>
        </w:rPr>
        <w:t xml:space="preserve"> </w:t>
      </w:r>
      <w:r>
        <w:rPr>
          <w:lang w:val="en-CA"/>
        </w:rPr>
        <w:t>plan</w:t>
      </w:r>
      <w:r w:rsidR="00181EA4">
        <w:rPr>
          <w:lang w:val="en-CA"/>
        </w:rPr>
        <w:t xml:space="preserve"> for transition, making the necessary investments and ensure that the Transition is sea</w:t>
      </w:r>
      <w:r w:rsidR="00E232EC">
        <w:rPr>
          <w:lang w:val="en-CA"/>
        </w:rPr>
        <w:t>m</w:t>
      </w:r>
      <w:r w:rsidR="00181EA4">
        <w:rPr>
          <w:lang w:val="en-CA"/>
        </w:rPr>
        <w:t xml:space="preserve">less. </w:t>
      </w:r>
      <w:r>
        <w:rPr>
          <w:lang w:val="en-CA"/>
        </w:rPr>
        <w:t xml:space="preserve"> </w:t>
      </w:r>
    </w:p>
    <w:p w14:paraId="47F86118" w14:textId="65B7BFC2" w:rsidR="00E232EC" w:rsidRDefault="00E232EC" w:rsidP="00442158">
      <w:pPr>
        <w:pStyle w:val="ListParagraph"/>
        <w:numPr>
          <w:ilvl w:val="0"/>
          <w:numId w:val="4"/>
        </w:numPr>
        <w:rPr>
          <w:lang w:val="en-CA"/>
        </w:rPr>
      </w:pPr>
      <w:r>
        <w:rPr>
          <w:lang w:val="en-CA"/>
        </w:rPr>
        <w:t>Removing burden from municipal budgets:</w:t>
      </w:r>
      <w:r w:rsidR="006C7A33">
        <w:rPr>
          <w:lang w:val="en-CA"/>
        </w:rPr>
        <w:t xml:space="preserve">  Municipalities have little influence over materials that is supplied into the market, and markets, producers do. Shifting responsibility to producers will result in a net savings to property </w:t>
      </w:r>
      <w:r w:rsidR="00EA7F94">
        <w:rPr>
          <w:lang w:val="en-CA"/>
        </w:rPr>
        <w:t>taxpayers</w:t>
      </w:r>
      <w:r w:rsidR="006C7A33">
        <w:rPr>
          <w:lang w:val="en-CA"/>
        </w:rPr>
        <w:t xml:space="preserve"> and ratepayers.</w:t>
      </w:r>
    </w:p>
    <w:p w14:paraId="48CAB5AE" w14:textId="53297FE7" w:rsidR="006C7A33" w:rsidRPr="006C7A33" w:rsidRDefault="006C7A33" w:rsidP="006C7A33">
      <w:pPr>
        <w:ind w:left="360"/>
        <w:rPr>
          <w:lang w:val="en-CA"/>
        </w:rPr>
      </w:pPr>
      <w:r>
        <w:rPr>
          <w:lang w:val="en-CA"/>
        </w:rPr>
        <w:t xml:space="preserve">The City of Barrie strongly supports </w:t>
      </w:r>
      <w:r w:rsidR="00EA7F94">
        <w:rPr>
          <w:lang w:val="en-CA"/>
        </w:rPr>
        <w:t>these core</w:t>
      </w:r>
      <w:r>
        <w:rPr>
          <w:lang w:val="en-CA"/>
        </w:rPr>
        <w:t xml:space="preserve"> policy </w:t>
      </w:r>
      <w:r w:rsidR="00EA7F94">
        <w:rPr>
          <w:lang w:val="en-CA"/>
        </w:rPr>
        <w:t>elements</w:t>
      </w:r>
      <w:r>
        <w:rPr>
          <w:lang w:val="en-CA"/>
        </w:rPr>
        <w:t xml:space="preserve"> and advocates that they </w:t>
      </w:r>
      <w:proofErr w:type="gramStart"/>
      <w:r>
        <w:rPr>
          <w:lang w:val="en-CA"/>
        </w:rPr>
        <w:t>not</w:t>
      </w:r>
      <w:r w:rsidR="00EA7F94">
        <w:rPr>
          <w:lang w:val="en-CA"/>
        </w:rPr>
        <w:t xml:space="preserve"> </w:t>
      </w:r>
      <w:r>
        <w:rPr>
          <w:lang w:val="en-CA"/>
        </w:rPr>
        <w:t>be</w:t>
      </w:r>
      <w:proofErr w:type="gramEnd"/>
      <w:r>
        <w:rPr>
          <w:lang w:val="en-CA"/>
        </w:rPr>
        <w:t xml:space="preserve"> weakened in the final regulation.</w:t>
      </w:r>
    </w:p>
    <w:p w14:paraId="24F24A08" w14:textId="55C12BE7" w:rsidR="00442158" w:rsidRPr="00BD11EA" w:rsidRDefault="00BD11EA">
      <w:pPr>
        <w:rPr>
          <w:lang w:val="en-CA"/>
        </w:rPr>
      </w:pPr>
      <w:r w:rsidRPr="00BD11EA">
        <w:rPr>
          <w:lang w:val="en-CA"/>
        </w:rPr>
        <w:t>The</w:t>
      </w:r>
      <w:r w:rsidR="00EA7F94">
        <w:rPr>
          <w:lang w:val="en-CA"/>
        </w:rPr>
        <w:t>re are elements of the draft regulation that the City of Barrie f</w:t>
      </w:r>
      <w:r w:rsidRPr="00BD11EA">
        <w:rPr>
          <w:lang w:val="en-CA"/>
        </w:rPr>
        <w:t xml:space="preserve">inds problematic and </w:t>
      </w:r>
      <w:r w:rsidR="00A80D10">
        <w:rPr>
          <w:lang w:val="en-CA"/>
        </w:rPr>
        <w:t xml:space="preserve">need to </w:t>
      </w:r>
      <w:r w:rsidRPr="00BD11EA">
        <w:rPr>
          <w:lang w:val="en-CA"/>
        </w:rPr>
        <w:t xml:space="preserve">be amended. </w:t>
      </w:r>
      <w:r w:rsidR="00A80D10">
        <w:rPr>
          <w:lang w:val="en-CA"/>
        </w:rPr>
        <w:t>The following areas need to be addressed in the final regulation.</w:t>
      </w:r>
    </w:p>
    <w:p w14:paraId="5D696ED8" w14:textId="6C918042" w:rsidR="00C751A0" w:rsidRPr="00541D90" w:rsidRDefault="00F74602">
      <w:pPr>
        <w:rPr>
          <w:b/>
          <w:bCs/>
          <w:u w:val="single"/>
          <w:lang w:val="en-CA"/>
        </w:rPr>
      </w:pPr>
      <w:r w:rsidRPr="00541D90">
        <w:rPr>
          <w:b/>
          <w:bCs/>
          <w:u w:val="single"/>
          <w:lang w:val="en-CA"/>
        </w:rPr>
        <w:t>Areas of Concern</w:t>
      </w:r>
    </w:p>
    <w:p w14:paraId="488E480C" w14:textId="0418E7A3" w:rsidR="00F74602" w:rsidRDefault="00F74602">
      <w:pPr>
        <w:rPr>
          <w:b/>
          <w:bCs/>
          <w:lang w:val="en-CA"/>
        </w:rPr>
      </w:pPr>
      <w:r>
        <w:rPr>
          <w:b/>
          <w:bCs/>
          <w:lang w:val="en-CA"/>
        </w:rPr>
        <w:t>Definitions</w:t>
      </w:r>
    </w:p>
    <w:p w14:paraId="4A7AFAE8" w14:textId="1515F0B9" w:rsidR="00F74602" w:rsidRPr="00F74602" w:rsidRDefault="00F74602" w:rsidP="00F74602">
      <w:pPr>
        <w:pStyle w:val="ListParagraph"/>
        <w:numPr>
          <w:ilvl w:val="0"/>
          <w:numId w:val="3"/>
        </w:numPr>
        <w:rPr>
          <w:lang w:val="en-CA"/>
        </w:rPr>
      </w:pPr>
      <w:r w:rsidRPr="00F74602">
        <w:rPr>
          <w:lang w:val="en-CA"/>
        </w:rPr>
        <w:t xml:space="preserve">A definition of a depot should be included so that producers have a clear idea of what a depot consists of. </w:t>
      </w:r>
      <w:r w:rsidR="002B35AD">
        <w:rPr>
          <w:lang w:val="en-CA"/>
        </w:rPr>
        <w:t xml:space="preserve">Depots can range from </w:t>
      </w:r>
      <w:r w:rsidRPr="00F74602">
        <w:rPr>
          <w:lang w:val="en-CA"/>
        </w:rPr>
        <w:t>a bin in a public area, or a manned waste management facility with scales.</w:t>
      </w:r>
    </w:p>
    <w:p w14:paraId="0C32F841" w14:textId="4A7ADBF6" w:rsidR="00F74602" w:rsidRDefault="00F74602" w:rsidP="00F74602">
      <w:pPr>
        <w:pStyle w:val="ListParagraph"/>
        <w:numPr>
          <w:ilvl w:val="0"/>
          <w:numId w:val="3"/>
        </w:numPr>
        <w:rPr>
          <w:lang w:val="en-CA"/>
        </w:rPr>
      </w:pPr>
      <w:r w:rsidRPr="00F74602">
        <w:rPr>
          <w:lang w:val="en-CA"/>
        </w:rPr>
        <w:t xml:space="preserve">Public Space definition needs clarification. Currently it reads as though only parks in BIA’s are public spaces. </w:t>
      </w:r>
      <w:r>
        <w:rPr>
          <w:lang w:val="en-CA"/>
        </w:rPr>
        <w:t>Additionally</w:t>
      </w:r>
      <w:r w:rsidR="00A80D10">
        <w:rPr>
          <w:lang w:val="en-CA"/>
        </w:rPr>
        <w:t>,</w:t>
      </w:r>
      <w:r>
        <w:rPr>
          <w:lang w:val="en-CA"/>
        </w:rPr>
        <w:t xml:space="preserve"> </w:t>
      </w:r>
      <w:r w:rsidR="00A80D10">
        <w:rPr>
          <w:lang w:val="en-CA"/>
        </w:rPr>
        <w:t>m</w:t>
      </w:r>
      <w:r>
        <w:rPr>
          <w:lang w:val="en-CA"/>
        </w:rPr>
        <w:t>any municipalities have extensive public space bin programs that include transit stops.  Th</w:t>
      </w:r>
      <w:r w:rsidR="00A80D10">
        <w:rPr>
          <w:lang w:val="en-CA"/>
        </w:rPr>
        <w:t>e</w:t>
      </w:r>
      <w:r>
        <w:rPr>
          <w:lang w:val="en-CA"/>
        </w:rPr>
        <w:t>s</w:t>
      </w:r>
      <w:r w:rsidR="00A80D10">
        <w:rPr>
          <w:lang w:val="en-CA"/>
        </w:rPr>
        <w:t>e</w:t>
      </w:r>
      <w:r>
        <w:rPr>
          <w:lang w:val="en-CA"/>
        </w:rPr>
        <w:t xml:space="preserve"> locations should be included as the material collect is no different than that collected in parks or in a BIA.</w:t>
      </w:r>
    </w:p>
    <w:p w14:paraId="79237473" w14:textId="4A796ADE" w:rsidR="00F74602" w:rsidRDefault="00F74602" w:rsidP="00F74602">
      <w:pPr>
        <w:pStyle w:val="ListParagraph"/>
        <w:numPr>
          <w:ilvl w:val="0"/>
          <w:numId w:val="3"/>
        </w:numPr>
        <w:rPr>
          <w:lang w:val="en-CA"/>
        </w:rPr>
      </w:pPr>
      <w:r>
        <w:rPr>
          <w:lang w:val="en-CA"/>
        </w:rPr>
        <w:t xml:space="preserve">The </w:t>
      </w:r>
      <w:r w:rsidR="009A67EA">
        <w:rPr>
          <w:lang w:val="en-CA"/>
        </w:rPr>
        <w:t>d</w:t>
      </w:r>
      <w:r>
        <w:rPr>
          <w:lang w:val="en-CA"/>
        </w:rPr>
        <w:t>efinition of Facilities needs further clarification especially regarding Multi-residential, and mixed</w:t>
      </w:r>
      <w:r w:rsidR="00A80D10">
        <w:rPr>
          <w:lang w:val="en-CA"/>
        </w:rPr>
        <w:t>-</w:t>
      </w:r>
      <w:r>
        <w:rPr>
          <w:lang w:val="en-CA"/>
        </w:rPr>
        <w:t xml:space="preserve">use buildings. Perhaps defining a dwelling unit would assist in this. The term facilities </w:t>
      </w:r>
      <w:proofErr w:type="gramStart"/>
      <w:r w:rsidR="00AD54F6">
        <w:rPr>
          <w:lang w:val="en-CA"/>
        </w:rPr>
        <w:t>is</w:t>
      </w:r>
      <w:proofErr w:type="gramEnd"/>
      <w:r w:rsidR="00AD54F6">
        <w:rPr>
          <w:lang w:val="en-CA"/>
        </w:rPr>
        <w:t xml:space="preserve"> confusing as many municipalities refer to their</w:t>
      </w:r>
      <w:r w:rsidR="00A80D10">
        <w:rPr>
          <w:lang w:val="en-CA"/>
        </w:rPr>
        <w:t xml:space="preserve"> c</w:t>
      </w:r>
      <w:r w:rsidR="00AD54F6">
        <w:rPr>
          <w:lang w:val="en-CA"/>
        </w:rPr>
        <w:t>ity</w:t>
      </w:r>
      <w:r w:rsidR="00A80D10">
        <w:rPr>
          <w:lang w:val="en-CA"/>
        </w:rPr>
        <w:t>-</w:t>
      </w:r>
      <w:r w:rsidR="00AD54F6">
        <w:rPr>
          <w:lang w:val="en-CA"/>
        </w:rPr>
        <w:t>owned buildings as facilities.</w:t>
      </w:r>
    </w:p>
    <w:p w14:paraId="2F0597F2" w14:textId="5CC94C28" w:rsidR="001A0B64" w:rsidRDefault="001A0B64" w:rsidP="00F74602">
      <w:pPr>
        <w:pStyle w:val="ListParagraph"/>
        <w:numPr>
          <w:ilvl w:val="0"/>
          <w:numId w:val="3"/>
        </w:numPr>
        <w:rPr>
          <w:lang w:val="en-CA"/>
        </w:rPr>
      </w:pPr>
      <w:r>
        <w:rPr>
          <w:lang w:val="en-CA"/>
        </w:rPr>
        <w:t xml:space="preserve">The definition of </w:t>
      </w:r>
      <w:proofErr w:type="spellStart"/>
      <w:r>
        <w:rPr>
          <w:lang w:val="en-CA"/>
        </w:rPr>
        <w:t>compostables</w:t>
      </w:r>
      <w:proofErr w:type="spellEnd"/>
      <w:r>
        <w:rPr>
          <w:lang w:val="en-CA"/>
        </w:rPr>
        <w:t xml:space="preserve"> needs to be expanded upon to   prevent producers of fibre-based products to define their products/packaging as compostable to avoid collection and management requirements. </w:t>
      </w:r>
    </w:p>
    <w:p w14:paraId="6F1152B6" w14:textId="7AB3DBD8" w:rsidR="00613C48" w:rsidRPr="00FB2FBA" w:rsidRDefault="00613C48" w:rsidP="002704CD">
      <w:pPr>
        <w:rPr>
          <w:b/>
          <w:bCs/>
          <w:lang w:val="en-CA"/>
        </w:rPr>
      </w:pPr>
      <w:r w:rsidRPr="00FB2FBA">
        <w:rPr>
          <w:b/>
          <w:bCs/>
          <w:lang w:val="en-CA"/>
        </w:rPr>
        <w:t xml:space="preserve">Curbside collection: </w:t>
      </w:r>
    </w:p>
    <w:p w14:paraId="5C61FD0C" w14:textId="47D31A8A" w:rsidR="00FB2FBA" w:rsidRPr="00FB2FBA" w:rsidRDefault="00FB2FBA" w:rsidP="00FB2FBA">
      <w:pPr>
        <w:pStyle w:val="ListParagraph"/>
        <w:numPr>
          <w:ilvl w:val="0"/>
          <w:numId w:val="3"/>
        </w:numPr>
        <w:rPr>
          <w:lang w:val="en-CA"/>
        </w:rPr>
      </w:pPr>
      <w:r>
        <w:rPr>
          <w:lang w:val="en-CA"/>
        </w:rPr>
        <w:t xml:space="preserve">It should be specified </w:t>
      </w:r>
      <w:r w:rsidR="00B90764">
        <w:rPr>
          <w:lang w:val="en-CA"/>
        </w:rPr>
        <w:t>that blue</w:t>
      </w:r>
      <w:r>
        <w:rPr>
          <w:lang w:val="en-CA"/>
        </w:rPr>
        <w:t xml:space="preserve"> box receptacles are to be provided at no cost.</w:t>
      </w:r>
    </w:p>
    <w:p w14:paraId="6E7513BA" w14:textId="6A88235A" w:rsidR="00613C48" w:rsidRPr="00FB2FBA" w:rsidRDefault="00613C48">
      <w:pPr>
        <w:rPr>
          <w:b/>
          <w:bCs/>
          <w:lang w:val="en-CA"/>
        </w:rPr>
      </w:pPr>
      <w:r w:rsidRPr="00FB2FBA">
        <w:rPr>
          <w:b/>
          <w:bCs/>
          <w:lang w:val="en-CA"/>
        </w:rPr>
        <w:t>Depot Collection:</w:t>
      </w:r>
    </w:p>
    <w:p w14:paraId="03C12704" w14:textId="466D40B1" w:rsidR="00613C48" w:rsidRPr="00FB2FBA" w:rsidRDefault="00613C48" w:rsidP="00FB2FBA">
      <w:pPr>
        <w:pStyle w:val="ListParagraph"/>
        <w:numPr>
          <w:ilvl w:val="0"/>
          <w:numId w:val="3"/>
        </w:numPr>
        <w:rPr>
          <w:lang w:val="en-CA"/>
        </w:rPr>
      </w:pPr>
      <w:r w:rsidRPr="00FB2FBA">
        <w:rPr>
          <w:lang w:val="en-CA"/>
        </w:rPr>
        <w:lastRenderedPageBreak/>
        <w:t xml:space="preserve">Section 21 It is unclear if producers will be required to collect from </w:t>
      </w:r>
      <w:r w:rsidR="00FB2FBA" w:rsidRPr="00FB2FBA">
        <w:rPr>
          <w:lang w:val="en-CA"/>
        </w:rPr>
        <w:t xml:space="preserve">existing </w:t>
      </w:r>
      <w:r w:rsidRPr="00FB2FBA">
        <w:rPr>
          <w:lang w:val="en-CA"/>
        </w:rPr>
        <w:t xml:space="preserve">municipal </w:t>
      </w:r>
      <w:r w:rsidR="00B90764" w:rsidRPr="00FB2FBA">
        <w:rPr>
          <w:lang w:val="en-CA"/>
        </w:rPr>
        <w:t>depots where</w:t>
      </w:r>
      <w:r w:rsidR="00FB2FBA" w:rsidRPr="00FB2FBA">
        <w:rPr>
          <w:lang w:val="en-CA"/>
        </w:rPr>
        <w:t xml:space="preserve"> there is also a curbside collection program in place.  </w:t>
      </w:r>
      <w:r w:rsidR="00B90764" w:rsidRPr="00FB2FBA">
        <w:rPr>
          <w:lang w:val="en-CA"/>
        </w:rPr>
        <w:t>Producer</w:t>
      </w:r>
      <w:r w:rsidR="00FB2FBA" w:rsidRPr="00FB2FBA">
        <w:rPr>
          <w:lang w:val="en-CA"/>
        </w:rPr>
        <w:t xml:space="preserve"> should also be required to service any depots that were in the planning stage as of Aug 15, </w:t>
      </w:r>
      <w:r w:rsidR="00B90764" w:rsidRPr="00FB2FBA">
        <w:rPr>
          <w:lang w:val="en-CA"/>
        </w:rPr>
        <w:t>2019 but</w:t>
      </w:r>
      <w:r w:rsidR="00FB2FBA" w:rsidRPr="00FB2FBA">
        <w:rPr>
          <w:lang w:val="en-CA"/>
        </w:rPr>
        <w:t xml:space="preserve"> not yet built</w:t>
      </w:r>
      <w:r w:rsidR="00FB2FBA">
        <w:rPr>
          <w:lang w:val="en-CA"/>
        </w:rPr>
        <w:t>.</w:t>
      </w:r>
      <w:r w:rsidR="00FB2FBA" w:rsidRPr="00FB2FBA">
        <w:rPr>
          <w:lang w:val="en-CA"/>
        </w:rPr>
        <w:t xml:space="preserve"> </w:t>
      </w:r>
    </w:p>
    <w:p w14:paraId="435FC85A" w14:textId="70C3692A" w:rsidR="002041D4" w:rsidRDefault="002041D4">
      <w:pPr>
        <w:rPr>
          <w:b/>
          <w:bCs/>
          <w:lang w:val="en-CA"/>
        </w:rPr>
      </w:pPr>
      <w:r>
        <w:rPr>
          <w:b/>
          <w:bCs/>
          <w:lang w:val="en-CA"/>
        </w:rPr>
        <w:t>Common Collection System:</w:t>
      </w:r>
    </w:p>
    <w:p w14:paraId="13A65C4F" w14:textId="2DA1DD59" w:rsidR="002041D4" w:rsidRPr="002041D4" w:rsidRDefault="002041D4" w:rsidP="002041D4">
      <w:pPr>
        <w:pStyle w:val="ListParagraph"/>
        <w:numPr>
          <w:ilvl w:val="0"/>
          <w:numId w:val="3"/>
        </w:numPr>
        <w:rPr>
          <w:lang w:val="en-CA"/>
        </w:rPr>
      </w:pPr>
      <w:r w:rsidRPr="002041D4">
        <w:rPr>
          <w:lang w:val="en-CA"/>
        </w:rPr>
        <w:t>The 10% threshold to enable producers and/or PROs to participate at the rulemaking stage is a barrier and should be reduced</w:t>
      </w:r>
    </w:p>
    <w:p w14:paraId="39CA3AFD" w14:textId="35B56D42" w:rsidR="002041D4" w:rsidRPr="002041D4" w:rsidRDefault="002041D4" w:rsidP="002041D4">
      <w:pPr>
        <w:pStyle w:val="ListParagraph"/>
        <w:numPr>
          <w:ilvl w:val="0"/>
          <w:numId w:val="3"/>
        </w:numPr>
        <w:rPr>
          <w:lang w:val="en-CA"/>
        </w:rPr>
      </w:pPr>
      <w:r w:rsidRPr="002041D4">
        <w:rPr>
          <w:lang w:val="en-CA"/>
        </w:rPr>
        <w:t>The annual allocation table process must work in a manner that protects the public interest.</w:t>
      </w:r>
    </w:p>
    <w:p w14:paraId="067621EF" w14:textId="425B4B2D" w:rsidR="00A80D10" w:rsidRDefault="00A80D10">
      <w:pPr>
        <w:rPr>
          <w:b/>
          <w:bCs/>
          <w:lang w:val="en-CA"/>
        </w:rPr>
      </w:pPr>
      <w:r>
        <w:rPr>
          <w:b/>
          <w:bCs/>
          <w:lang w:val="en-CA"/>
        </w:rPr>
        <w:t>Management Targets:</w:t>
      </w:r>
    </w:p>
    <w:p w14:paraId="43A40D6F" w14:textId="35BCC6EE" w:rsidR="00A80D10" w:rsidRDefault="00A80D10" w:rsidP="00A80D10">
      <w:pPr>
        <w:pStyle w:val="ListParagraph"/>
        <w:numPr>
          <w:ilvl w:val="0"/>
          <w:numId w:val="3"/>
        </w:numPr>
        <w:rPr>
          <w:lang w:val="en-CA"/>
        </w:rPr>
      </w:pPr>
      <w:r w:rsidRPr="009D26C6">
        <w:rPr>
          <w:lang w:val="en-CA"/>
        </w:rPr>
        <w:t>Allowing  producers to reduce their  recycling targets  by incorporating recycled content into their products</w:t>
      </w:r>
      <w:r w:rsidR="009D26C6" w:rsidRPr="009D26C6">
        <w:rPr>
          <w:lang w:val="en-CA"/>
        </w:rPr>
        <w:t xml:space="preserve"> </w:t>
      </w:r>
      <w:r w:rsidRPr="009D26C6">
        <w:rPr>
          <w:lang w:val="en-CA"/>
        </w:rPr>
        <w:t xml:space="preserve"> is problematic, as a number of  products already include recycled content</w:t>
      </w:r>
      <w:r w:rsidR="009D26C6" w:rsidRPr="009D26C6">
        <w:rPr>
          <w:lang w:val="en-CA"/>
        </w:rPr>
        <w:t xml:space="preserve">,  and  it is difficult  to confirm he  the source and quantity of  recycled content incorporated into a product. </w:t>
      </w:r>
    </w:p>
    <w:p w14:paraId="262873BA" w14:textId="7698DECF" w:rsidR="009D26C6" w:rsidRPr="009D26C6" w:rsidRDefault="009D26C6" w:rsidP="009D26C6">
      <w:pPr>
        <w:rPr>
          <w:b/>
          <w:bCs/>
          <w:lang w:val="en-CA"/>
        </w:rPr>
      </w:pPr>
      <w:r w:rsidRPr="009D26C6">
        <w:rPr>
          <w:b/>
          <w:bCs/>
          <w:lang w:val="en-CA"/>
        </w:rPr>
        <w:t>Annual Performance Audits:</w:t>
      </w:r>
    </w:p>
    <w:p w14:paraId="61A8AACD" w14:textId="2BAA8FB1" w:rsidR="009D26C6" w:rsidRDefault="002B35AD" w:rsidP="009D26C6">
      <w:pPr>
        <w:pStyle w:val="ListParagraph"/>
        <w:numPr>
          <w:ilvl w:val="0"/>
          <w:numId w:val="3"/>
        </w:numPr>
        <w:rPr>
          <w:lang w:val="en-CA"/>
        </w:rPr>
      </w:pPr>
      <w:r>
        <w:rPr>
          <w:lang w:val="en-CA"/>
        </w:rPr>
        <w:t>Audits should be required annually to reduced risks and promote continuous improvement</w:t>
      </w:r>
    </w:p>
    <w:p w14:paraId="6C928FCB" w14:textId="55826F37" w:rsidR="002B35AD" w:rsidRPr="001A0B64" w:rsidRDefault="002B35AD" w:rsidP="002B35AD">
      <w:pPr>
        <w:rPr>
          <w:b/>
          <w:bCs/>
          <w:lang w:val="en-CA"/>
        </w:rPr>
      </w:pPr>
      <w:r w:rsidRPr="001A0B64">
        <w:rPr>
          <w:b/>
          <w:bCs/>
          <w:lang w:val="en-CA"/>
        </w:rPr>
        <w:t xml:space="preserve">Compostable Materials: </w:t>
      </w:r>
    </w:p>
    <w:p w14:paraId="345B3848" w14:textId="0C84335A" w:rsidR="002B35AD" w:rsidRDefault="002B35AD" w:rsidP="002B35AD">
      <w:pPr>
        <w:pStyle w:val="ListParagraph"/>
        <w:numPr>
          <w:ilvl w:val="0"/>
          <w:numId w:val="3"/>
        </w:numPr>
        <w:rPr>
          <w:lang w:val="en-CA"/>
        </w:rPr>
      </w:pPr>
      <w:r>
        <w:rPr>
          <w:lang w:val="en-CA"/>
        </w:rPr>
        <w:t xml:space="preserve">Compostable materials should not be </w:t>
      </w:r>
      <w:r w:rsidR="001A0B64">
        <w:rPr>
          <w:lang w:val="en-CA"/>
        </w:rPr>
        <w:t xml:space="preserve">exempt from collection and management targets, these products and packaging should have their own separate target. </w:t>
      </w:r>
    </w:p>
    <w:p w14:paraId="46B2B539" w14:textId="5D1133AC" w:rsidR="001A0B64" w:rsidRDefault="001A0B64" w:rsidP="001A0B64">
      <w:pPr>
        <w:rPr>
          <w:b/>
          <w:bCs/>
          <w:lang w:val="en-CA"/>
        </w:rPr>
      </w:pPr>
      <w:r w:rsidRPr="001A0B64">
        <w:rPr>
          <w:b/>
          <w:bCs/>
          <w:lang w:val="en-CA"/>
        </w:rPr>
        <w:t>Resource Recovery Fees:</w:t>
      </w:r>
    </w:p>
    <w:p w14:paraId="77F82B5E" w14:textId="22912CA4" w:rsidR="006C569F" w:rsidRPr="006C569F" w:rsidRDefault="006C569F" w:rsidP="006C569F">
      <w:pPr>
        <w:pStyle w:val="ListParagraph"/>
        <w:numPr>
          <w:ilvl w:val="0"/>
          <w:numId w:val="3"/>
        </w:numPr>
        <w:rPr>
          <w:lang w:val="en-CA"/>
        </w:rPr>
      </w:pPr>
      <w:r w:rsidRPr="006C569F">
        <w:rPr>
          <w:lang w:val="en-CA"/>
        </w:rPr>
        <w:t xml:space="preserve">Producers that charge a “ resource recovery” type fee should be required to  report on fees collected, perform audits, and ensure  consumers are informed about the purpose of the fees, how they are  determined and  how the funds are spent. </w:t>
      </w:r>
    </w:p>
    <w:p w14:paraId="16E34D42" w14:textId="6857AC33" w:rsidR="00850156" w:rsidRDefault="00305EC7">
      <w:pPr>
        <w:rPr>
          <w:b/>
          <w:bCs/>
          <w:lang w:val="en-CA"/>
        </w:rPr>
      </w:pPr>
      <w:r w:rsidRPr="00850156">
        <w:rPr>
          <w:b/>
          <w:bCs/>
          <w:lang w:val="en-CA"/>
        </w:rPr>
        <w:t xml:space="preserve">Registration: </w:t>
      </w:r>
    </w:p>
    <w:p w14:paraId="1847CED8" w14:textId="47414B19" w:rsidR="00F9096D" w:rsidRDefault="00F9096D" w:rsidP="00F9096D">
      <w:pPr>
        <w:pStyle w:val="ListParagraph"/>
        <w:numPr>
          <w:ilvl w:val="0"/>
          <w:numId w:val="3"/>
        </w:numPr>
        <w:rPr>
          <w:lang w:val="en-CA"/>
        </w:rPr>
      </w:pPr>
      <w:r w:rsidRPr="00F9096D">
        <w:rPr>
          <w:lang w:val="en-CA"/>
        </w:rPr>
        <w:t xml:space="preserve">Single family residences and multi-residential complexes built during the transition period should be eligible for collection. There needs to be a mechanism for municipalities to update the information provided to RPRA throughout the Transition period as new development occurs. </w:t>
      </w:r>
    </w:p>
    <w:p w14:paraId="36A4762E" w14:textId="321F6D7F" w:rsidR="00F9096D" w:rsidRDefault="00F9096D" w:rsidP="00F9096D">
      <w:pPr>
        <w:pStyle w:val="ListParagraph"/>
        <w:numPr>
          <w:ilvl w:val="0"/>
          <w:numId w:val="3"/>
        </w:numPr>
        <w:rPr>
          <w:lang w:val="en-CA"/>
        </w:rPr>
      </w:pPr>
      <w:r>
        <w:rPr>
          <w:lang w:val="en-CA"/>
        </w:rPr>
        <w:t xml:space="preserve">RPRA should provide detail on what format the required information is to be submitted well in advance of April 15, 2021 deadline. </w:t>
      </w:r>
    </w:p>
    <w:p w14:paraId="7AB85D13" w14:textId="00A62E38" w:rsidR="00B90764" w:rsidRDefault="00B90764" w:rsidP="00B90764">
      <w:pPr>
        <w:rPr>
          <w:b/>
          <w:bCs/>
          <w:lang w:val="en-CA"/>
        </w:rPr>
      </w:pPr>
      <w:r w:rsidRPr="00B90764">
        <w:rPr>
          <w:b/>
          <w:bCs/>
          <w:lang w:val="en-CA"/>
        </w:rPr>
        <w:t>Reporting:</w:t>
      </w:r>
    </w:p>
    <w:p w14:paraId="0247CDB6" w14:textId="5AB50216" w:rsidR="00B90764" w:rsidRPr="00B90764" w:rsidRDefault="00B90764" w:rsidP="00B90764">
      <w:pPr>
        <w:pStyle w:val="ListParagraph"/>
        <w:numPr>
          <w:ilvl w:val="0"/>
          <w:numId w:val="3"/>
        </w:numPr>
        <w:rPr>
          <w:lang w:val="en-CA"/>
        </w:rPr>
      </w:pPr>
      <w:r w:rsidRPr="00B90764">
        <w:rPr>
          <w:lang w:val="en-CA"/>
        </w:rPr>
        <w:t xml:space="preserve">The Authority should provide annual data to municipalities on the </w:t>
      </w:r>
      <w:proofErr w:type="gramStart"/>
      <w:r w:rsidRPr="00B90764">
        <w:rPr>
          <w:lang w:val="en-CA"/>
        </w:rPr>
        <w:t>amount</w:t>
      </w:r>
      <w:proofErr w:type="gramEnd"/>
      <w:r w:rsidRPr="00B90764">
        <w:rPr>
          <w:lang w:val="en-CA"/>
        </w:rPr>
        <w:t xml:space="preserve"> of recyclables collected in their municipality in order for municipalities to continue calculating their diversion rate. This will give municipalities a better picture of what is going on with all waste, and waste generation rate.</w:t>
      </w:r>
    </w:p>
    <w:p w14:paraId="74072B7F" w14:textId="77777777" w:rsidR="00F9096D" w:rsidRDefault="001C1058" w:rsidP="00F9096D">
      <w:pPr>
        <w:rPr>
          <w:lang w:val="en-CA"/>
        </w:rPr>
      </w:pPr>
      <w:r w:rsidRPr="00F9096D">
        <w:rPr>
          <w:b/>
          <w:bCs/>
          <w:lang w:val="en-CA"/>
        </w:rPr>
        <w:t>P&amp;E:</w:t>
      </w:r>
      <w:r>
        <w:rPr>
          <w:lang w:val="en-CA"/>
        </w:rPr>
        <w:t xml:space="preserve"> </w:t>
      </w:r>
    </w:p>
    <w:p w14:paraId="5C0F9622" w14:textId="2633279F" w:rsidR="001C1058" w:rsidRDefault="001C1058" w:rsidP="00F9096D">
      <w:pPr>
        <w:pStyle w:val="ListParagraph"/>
        <w:numPr>
          <w:ilvl w:val="0"/>
          <w:numId w:val="3"/>
        </w:numPr>
        <w:rPr>
          <w:lang w:val="en-CA"/>
        </w:rPr>
      </w:pPr>
      <w:r w:rsidRPr="00F9096D">
        <w:rPr>
          <w:lang w:val="en-CA"/>
        </w:rPr>
        <w:t xml:space="preserve">There </w:t>
      </w:r>
      <w:proofErr w:type="gramStart"/>
      <w:r w:rsidR="00F9096D">
        <w:rPr>
          <w:lang w:val="en-CA"/>
        </w:rPr>
        <w:t>doesn’t</w:t>
      </w:r>
      <w:proofErr w:type="gramEnd"/>
      <w:r w:rsidR="00F9096D">
        <w:rPr>
          <w:lang w:val="en-CA"/>
        </w:rPr>
        <w:t xml:space="preserve"> seem to be any requirement for the producers to inform residents about the change to Producer Responsibility, and why the change is being made. This should be required. </w:t>
      </w:r>
      <w:r w:rsidR="00F9096D">
        <w:rPr>
          <w:lang w:val="en-CA"/>
        </w:rPr>
        <w:lastRenderedPageBreak/>
        <w:t xml:space="preserve">Residents should be informed of what </w:t>
      </w:r>
      <w:r w:rsidR="009E650C">
        <w:rPr>
          <w:lang w:val="en-CA"/>
        </w:rPr>
        <w:t xml:space="preserve">individual producer responsibility is and what the benefits are. </w:t>
      </w:r>
    </w:p>
    <w:p w14:paraId="3F53B495" w14:textId="318070CB" w:rsidR="00BD5C02" w:rsidRPr="00E82CB3" w:rsidRDefault="00E82CB3" w:rsidP="00F9096D">
      <w:pPr>
        <w:pStyle w:val="ListParagraph"/>
        <w:numPr>
          <w:ilvl w:val="0"/>
          <w:numId w:val="3"/>
        </w:numPr>
        <w:rPr>
          <w:lang w:val="en-CA"/>
        </w:rPr>
      </w:pPr>
      <w:r w:rsidRPr="00E82CB3">
        <w:rPr>
          <w:lang w:val="en-CA"/>
        </w:rPr>
        <w:t>Customer service expectations are lacking.  Producers should be required to respond to residents and resolve complaints in a timely manner. Additionally</w:t>
      </w:r>
      <w:r>
        <w:rPr>
          <w:lang w:val="en-CA"/>
        </w:rPr>
        <w:t>,</w:t>
      </w:r>
      <w:r w:rsidRPr="00E82CB3">
        <w:rPr>
          <w:lang w:val="en-CA"/>
        </w:rPr>
        <w:t xml:space="preserve"> producers should be required to refer residents to the municipalities for </w:t>
      </w:r>
      <w:r w:rsidR="00B90764" w:rsidRPr="00E82CB3">
        <w:rPr>
          <w:lang w:val="en-CA"/>
        </w:rPr>
        <w:t>any inquiries</w:t>
      </w:r>
      <w:r w:rsidRPr="00E82CB3">
        <w:rPr>
          <w:lang w:val="en-CA"/>
        </w:rPr>
        <w:t xml:space="preserve"> related to other waste materials.  And should give municipalities permission to provide the producers website link (and logo) and phone number on the municipality’s promotional materials, and website. </w:t>
      </w:r>
    </w:p>
    <w:p w14:paraId="652DAD5C" w14:textId="77777777" w:rsidR="009E650C" w:rsidRDefault="001C1058" w:rsidP="00235F11">
      <w:pPr>
        <w:rPr>
          <w:lang w:val="en-CA"/>
        </w:rPr>
      </w:pPr>
      <w:r w:rsidRPr="009E650C">
        <w:rPr>
          <w:b/>
          <w:bCs/>
          <w:lang w:val="en-CA"/>
        </w:rPr>
        <w:t>Transition:</w:t>
      </w:r>
      <w:r>
        <w:rPr>
          <w:lang w:val="en-CA"/>
        </w:rPr>
        <w:t xml:space="preserve"> </w:t>
      </w:r>
    </w:p>
    <w:p w14:paraId="0B59E0FD" w14:textId="3BDEF18B" w:rsidR="001C1058" w:rsidRPr="00471F45" w:rsidRDefault="00471F45" w:rsidP="00471F45">
      <w:pPr>
        <w:pStyle w:val="ListParagraph"/>
        <w:numPr>
          <w:ilvl w:val="0"/>
          <w:numId w:val="3"/>
        </w:numPr>
        <w:rPr>
          <w:lang w:val="en-CA"/>
        </w:rPr>
      </w:pPr>
      <w:r>
        <w:rPr>
          <w:lang w:val="en-CA"/>
        </w:rPr>
        <w:t>Section 62 (</w:t>
      </w:r>
      <w:r w:rsidR="001C1058" w:rsidRPr="00471F45">
        <w:rPr>
          <w:lang w:val="en-CA"/>
        </w:rPr>
        <w:t xml:space="preserve">h) </w:t>
      </w:r>
      <w:r>
        <w:rPr>
          <w:lang w:val="en-CA"/>
        </w:rPr>
        <w:t xml:space="preserve">This should be worded to include any residence or facility that has been built since </w:t>
      </w:r>
      <w:proofErr w:type="gramStart"/>
      <w:r>
        <w:rPr>
          <w:lang w:val="en-CA"/>
        </w:rPr>
        <w:t>Aug 15, 2019, but</w:t>
      </w:r>
      <w:proofErr w:type="gramEnd"/>
      <w:r>
        <w:rPr>
          <w:lang w:val="en-CA"/>
        </w:rPr>
        <w:t xml:space="preserve"> would have been eligible for collection as of Aug 15, 2019 if it had been built at that time. </w:t>
      </w:r>
    </w:p>
    <w:p w14:paraId="0A04ECA7" w14:textId="785E07BA" w:rsidR="00B90764" w:rsidRDefault="00471F45" w:rsidP="00235F11">
      <w:pPr>
        <w:rPr>
          <w:b/>
          <w:bCs/>
          <w:lang w:val="en-CA"/>
        </w:rPr>
      </w:pPr>
      <w:r w:rsidRPr="00471F45">
        <w:rPr>
          <w:b/>
          <w:bCs/>
          <w:lang w:val="en-CA"/>
        </w:rPr>
        <w:t xml:space="preserve">Transition </w:t>
      </w:r>
      <w:r w:rsidR="003D7F60">
        <w:rPr>
          <w:b/>
          <w:bCs/>
          <w:lang w:val="en-CA"/>
        </w:rPr>
        <w:t>Timelines</w:t>
      </w:r>
      <w:r w:rsidRPr="00471F45">
        <w:rPr>
          <w:b/>
          <w:bCs/>
          <w:lang w:val="en-CA"/>
        </w:rPr>
        <w:t xml:space="preserve">: </w:t>
      </w:r>
    </w:p>
    <w:p w14:paraId="2E0837AE" w14:textId="3155725C" w:rsidR="003D7F60" w:rsidRDefault="003D7F60" w:rsidP="00B90764">
      <w:pPr>
        <w:pStyle w:val="ListParagraph"/>
        <w:numPr>
          <w:ilvl w:val="0"/>
          <w:numId w:val="3"/>
        </w:numPr>
        <w:rPr>
          <w:lang w:val="en-CA"/>
        </w:rPr>
      </w:pPr>
      <w:r>
        <w:rPr>
          <w:lang w:val="en-CA"/>
        </w:rPr>
        <w:t xml:space="preserve">The Transition schedule should be </w:t>
      </w:r>
      <w:proofErr w:type="gramStart"/>
      <w:r>
        <w:rPr>
          <w:lang w:val="en-CA"/>
        </w:rPr>
        <w:t>determine</w:t>
      </w:r>
      <w:proofErr w:type="gramEnd"/>
      <w:r>
        <w:rPr>
          <w:lang w:val="en-CA"/>
        </w:rPr>
        <w:t xml:space="preserve"> by the dates that were provided through municipal resolutions</w:t>
      </w:r>
    </w:p>
    <w:p w14:paraId="2CCA3FA8" w14:textId="78738656" w:rsidR="000F1741" w:rsidRDefault="00471F45" w:rsidP="00B90764">
      <w:pPr>
        <w:pStyle w:val="ListParagraph"/>
        <w:numPr>
          <w:ilvl w:val="0"/>
          <w:numId w:val="3"/>
        </w:numPr>
        <w:rPr>
          <w:lang w:val="en-CA"/>
        </w:rPr>
      </w:pPr>
      <w:r w:rsidRPr="00B90764">
        <w:rPr>
          <w:lang w:val="en-CA"/>
        </w:rPr>
        <w:t>Exact dates of Transition will need to be known. If producers will be collaborating with municipalities on determining exact date, producers need a deadline for when date must be determined. At least 2.5years before transition, to allow for municipalities to include their transition date in any new collection contracts that they might be tendering during the Transition period.</w:t>
      </w:r>
    </w:p>
    <w:p w14:paraId="02F5902D" w14:textId="568E844B" w:rsidR="003D7F60" w:rsidRPr="003D7F60" w:rsidRDefault="003D7F60" w:rsidP="003D7F60">
      <w:pPr>
        <w:rPr>
          <w:b/>
          <w:bCs/>
          <w:lang w:val="en-CA"/>
        </w:rPr>
      </w:pPr>
      <w:r w:rsidRPr="003D7F60">
        <w:rPr>
          <w:b/>
          <w:bCs/>
          <w:lang w:val="en-CA"/>
        </w:rPr>
        <w:t>Enforcement Mechanisms:</w:t>
      </w:r>
    </w:p>
    <w:p w14:paraId="34761161" w14:textId="4D51F7E0" w:rsidR="003D7F60" w:rsidRDefault="004D71A1" w:rsidP="003D7F60">
      <w:pPr>
        <w:pStyle w:val="ListParagraph"/>
        <w:numPr>
          <w:ilvl w:val="0"/>
          <w:numId w:val="3"/>
        </w:numPr>
        <w:rPr>
          <w:lang w:val="en-CA"/>
        </w:rPr>
      </w:pPr>
      <w:r>
        <w:rPr>
          <w:lang w:val="en-CA"/>
        </w:rPr>
        <w:t>The Administrative Monetary Penalties regulation must ensure that producers operating alternative collection systems cannot benefit from failing to meet targets and should be moved forward as soon as possible.</w:t>
      </w:r>
    </w:p>
    <w:p w14:paraId="41DE67CE" w14:textId="4AC6E90F" w:rsidR="002041D4" w:rsidRDefault="002041D4" w:rsidP="002041D4">
      <w:pPr>
        <w:rPr>
          <w:b/>
          <w:bCs/>
          <w:lang w:val="en-CA"/>
        </w:rPr>
      </w:pPr>
      <w:r w:rsidRPr="002041D4">
        <w:rPr>
          <w:b/>
          <w:bCs/>
          <w:lang w:val="en-CA"/>
        </w:rPr>
        <w:t xml:space="preserve">Industrial, Commercial and </w:t>
      </w:r>
      <w:r w:rsidR="00746658">
        <w:rPr>
          <w:b/>
          <w:bCs/>
          <w:lang w:val="en-CA"/>
        </w:rPr>
        <w:t>I</w:t>
      </w:r>
      <w:r w:rsidRPr="002041D4">
        <w:rPr>
          <w:b/>
          <w:bCs/>
          <w:lang w:val="en-CA"/>
        </w:rPr>
        <w:t>nstitutional (ICI):</w:t>
      </w:r>
    </w:p>
    <w:p w14:paraId="50CA5AF7" w14:textId="636F87C0" w:rsidR="00E71FE4" w:rsidRPr="00E71FE4" w:rsidRDefault="00E71FE4" w:rsidP="00E71FE4">
      <w:pPr>
        <w:pStyle w:val="ListParagraph"/>
        <w:numPr>
          <w:ilvl w:val="0"/>
          <w:numId w:val="3"/>
        </w:numPr>
        <w:rPr>
          <w:b/>
          <w:bCs/>
          <w:lang w:val="en-CA"/>
        </w:rPr>
      </w:pPr>
      <w:r w:rsidRPr="006D4116">
        <w:rPr>
          <w:lang w:val="en-CA"/>
        </w:rPr>
        <w:t xml:space="preserve"> Many small businesses and institutions receive recycling services currently. </w:t>
      </w:r>
      <w:r w:rsidR="006D4116" w:rsidRPr="006D4116">
        <w:rPr>
          <w:lang w:val="en-CA"/>
        </w:rPr>
        <w:t>There needs to be assurance given that Producers/PROs will be willing to enter into an agreement with municipalities that these entities can continue to receive service, on a fee per service basis</w:t>
      </w:r>
      <w:r w:rsidR="006D4116">
        <w:rPr>
          <w:b/>
          <w:bCs/>
          <w:lang w:val="en-CA"/>
        </w:rPr>
        <w:t>.</w:t>
      </w:r>
    </w:p>
    <w:p w14:paraId="54D4EC7E" w14:textId="5B90F5D4" w:rsidR="002041D4" w:rsidRDefault="00746658" w:rsidP="002041D4">
      <w:pPr>
        <w:rPr>
          <w:lang w:val="en-CA"/>
        </w:rPr>
      </w:pPr>
      <w:r w:rsidRPr="00746658">
        <w:rPr>
          <w:b/>
          <w:bCs/>
          <w:lang w:val="en-CA"/>
        </w:rPr>
        <w:t>Regulation 101/94:</w:t>
      </w:r>
      <w:r>
        <w:rPr>
          <w:lang w:val="en-CA"/>
        </w:rPr>
        <w:t xml:space="preserve"> Once a municipality transitions the requirement for the municipality to operate and maintain a Blue Box management system must cease to apply, and municipal material recovery facilities should be given an exemption.</w:t>
      </w:r>
    </w:p>
    <w:p w14:paraId="77B79ED2" w14:textId="0505183B" w:rsidR="00746658" w:rsidRDefault="00746658" w:rsidP="002041D4">
      <w:pPr>
        <w:rPr>
          <w:b/>
          <w:bCs/>
          <w:lang w:val="en-CA"/>
        </w:rPr>
      </w:pPr>
      <w:r w:rsidRPr="00746658">
        <w:rPr>
          <w:b/>
          <w:bCs/>
          <w:lang w:val="en-CA"/>
        </w:rPr>
        <w:t xml:space="preserve">Amendments to the Resource Recovery and Circular </w:t>
      </w:r>
      <w:proofErr w:type="gramStart"/>
      <w:r w:rsidRPr="00746658">
        <w:rPr>
          <w:b/>
          <w:bCs/>
          <w:lang w:val="en-CA"/>
        </w:rPr>
        <w:t>Economy  Act</w:t>
      </w:r>
      <w:proofErr w:type="gramEnd"/>
      <w:r w:rsidRPr="00746658">
        <w:rPr>
          <w:b/>
          <w:bCs/>
          <w:lang w:val="en-CA"/>
        </w:rPr>
        <w:t>, 2016:</w:t>
      </w:r>
    </w:p>
    <w:p w14:paraId="2F7F4695" w14:textId="1976F6F8" w:rsidR="00746658" w:rsidRPr="00954D07" w:rsidRDefault="00746658" w:rsidP="00746658">
      <w:pPr>
        <w:pStyle w:val="ListParagraph"/>
        <w:numPr>
          <w:ilvl w:val="0"/>
          <w:numId w:val="3"/>
        </w:numPr>
        <w:rPr>
          <w:lang w:val="en-CA"/>
        </w:rPr>
      </w:pPr>
      <w:r w:rsidRPr="00954D07">
        <w:rPr>
          <w:lang w:val="en-CA"/>
        </w:rPr>
        <w:t xml:space="preserve">Consultations should occur to </w:t>
      </w:r>
      <w:r w:rsidR="00954D07" w:rsidRPr="00954D07">
        <w:rPr>
          <w:lang w:val="en-CA"/>
        </w:rPr>
        <w:t>develop a</w:t>
      </w:r>
      <w:r w:rsidRPr="00954D07">
        <w:rPr>
          <w:lang w:val="en-CA"/>
        </w:rPr>
        <w:t xml:space="preserve">mendments to the  RRCEA need to be considered to  ensure  municipal governments rights and powers under the  Municipal Act and City of Toronto Act cannot be superseded by changes to the RRCEA that would  inhibit their  ability to ensure  the health and safety  of their communities ( </w:t>
      </w:r>
      <w:proofErr w:type="spellStart"/>
      <w:r w:rsidRPr="00954D07">
        <w:rPr>
          <w:lang w:val="en-CA"/>
        </w:rPr>
        <w:t>eg</w:t>
      </w:r>
      <w:proofErr w:type="spellEnd"/>
      <w:r w:rsidRPr="00954D07">
        <w:rPr>
          <w:lang w:val="en-CA"/>
        </w:rPr>
        <w:t>: noise by-laws etc.)</w:t>
      </w:r>
    </w:p>
    <w:p w14:paraId="68AA68FA" w14:textId="54EC30D3" w:rsidR="00613C48" w:rsidRPr="00BD5C02" w:rsidRDefault="00BD5C02" w:rsidP="00235F11">
      <w:pPr>
        <w:rPr>
          <w:b/>
          <w:bCs/>
          <w:lang w:val="en-CA"/>
        </w:rPr>
      </w:pPr>
      <w:r w:rsidRPr="00BD5C02">
        <w:rPr>
          <w:b/>
          <w:bCs/>
          <w:lang w:val="en-CA"/>
        </w:rPr>
        <w:t>General Concerns:</w:t>
      </w:r>
    </w:p>
    <w:p w14:paraId="0E1D9112" w14:textId="0267F6C0" w:rsidR="00346147" w:rsidRPr="00EA3FF5" w:rsidRDefault="009B4310" w:rsidP="00235F11">
      <w:pPr>
        <w:pStyle w:val="ListParagraph"/>
        <w:numPr>
          <w:ilvl w:val="0"/>
          <w:numId w:val="3"/>
        </w:numPr>
        <w:rPr>
          <w:lang w:val="en-CA"/>
        </w:rPr>
      </w:pPr>
      <w:r w:rsidRPr="00EA3FF5">
        <w:rPr>
          <w:lang w:val="en-CA"/>
        </w:rPr>
        <w:lastRenderedPageBreak/>
        <w:t>Municipalities</w:t>
      </w:r>
      <w:r w:rsidR="00B90764" w:rsidRPr="00EA3FF5">
        <w:rPr>
          <w:lang w:val="en-CA"/>
        </w:rPr>
        <w:t xml:space="preserve"> will need to </w:t>
      </w:r>
      <w:r w:rsidR="00EA3FF5" w:rsidRPr="00EA3FF5">
        <w:rPr>
          <w:lang w:val="en-CA"/>
        </w:rPr>
        <w:t xml:space="preserve">be </w:t>
      </w:r>
      <w:r w:rsidR="00B90764" w:rsidRPr="00EA3FF5">
        <w:rPr>
          <w:lang w:val="en-CA"/>
        </w:rPr>
        <w:t>provided with direction fr</w:t>
      </w:r>
      <w:r w:rsidRPr="00EA3FF5">
        <w:rPr>
          <w:lang w:val="en-CA"/>
        </w:rPr>
        <w:t>om</w:t>
      </w:r>
      <w:r w:rsidR="00B90764" w:rsidRPr="00EA3FF5">
        <w:rPr>
          <w:lang w:val="en-CA"/>
        </w:rPr>
        <w:t xml:space="preserve"> producers as soon as possible</w:t>
      </w:r>
      <w:r w:rsidRPr="00EA3FF5">
        <w:rPr>
          <w:lang w:val="en-CA"/>
        </w:rPr>
        <w:t xml:space="preserve"> on </w:t>
      </w:r>
      <w:r w:rsidR="00B90764" w:rsidRPr="00EA3FF5">
        <w:rPr>
          <w:lang w:val="en-CA"/>
        </w:rPr>
        <w:t xml:space="preserve">how to comment on new site plans for multi-residential </w:t>
      </w:r>
      <w:r w:rsidRPr="00EA3FF5">
        <w:rPr>
          <w:lang w:val="en-CA"/>
        </w:rPr>
        <w:t xml:space="preserve">development. Many municipalities make comments on site plan regarding space required for recycling container storage, and </w:t>
      </w:r>
      <w:r w:rsidR="00E2154E" w:rsidRPr="00EA3FF5">
        <w:rPr>
          <w:lang w:val="en-CA"/>
        </w:rPr>
        <w:t>access for collection vehicles.  These comments are often made years in advance of when the complex will be built and occupied.  Municipalities will need to hear from producers on what comments should be made on their behalf</w:t>
      </w:r>
      <w:r w:rsidR="00EA3FF5" w:rsidRPr="00EA3FF5">
        <w:rPr>
          <w:lang w:val="en-CA"/>
        </w:rPr>
        <w:t xml:space="preserve"> before and</w:t>
      </w:r>
      <w:r w:rsidR="00E2154E" w:rsidRPr="00EA3FF5">
        <w:rPr>
          <w:lang w:val="en-CA"/>
        </w:rPr>
        <w:t xml:space="preserve"> during the Transition period. Additionally</w:t>
      </w:r>
      <w:r w:rsidR="002041D4" w:rsidRPr="00EA3FF5">
        <w:rPr>
          <w:lang w:val="en-CA"/>
        </w:rPr>
        <w:t>,</w:t>
      </w:r>
      <w:r w:rsidR="00E2154E" w:rsidRPr="00EA3FF5">
        <w:rPr>
          <w:lang w:val="en-CA"/>
        </w:rPr>
        <w:t xml:space="preserve"> producers will need to be prepared to comment on site plans going forward</w:t>
      </w:r>
      <w:r w:rsidR="00EA3FF5">
        <w:rPr>
          <w:lang w:val="en-CA"/>
        </w:rPr>
        <w:t>.</w:t>
      </w:r>
    </w:p>
    <w:p w14:paraId="18424C6C" w14:textId="57298961" w:rsidR="000F1741" w:rsidRDefault="000F1741" w:rsidP="00235F11">
      <w:pPr>
        <w:rPr>
          <w:lang w:val="en-CA"/>
        </w:rPr>
      </w:pPr>
    </w:p>
    <w:p w14:paraId="0B166535" w14:textId="753556B3" w:rsidR="001C1058" w:rsidRDefault="001C1058" w:rsidP="00235F11">
      <w:pPr>
        <w:rPr>
          <w:lang w:val="en-CA"/>
        </w:rPr>
      </w:pPr>
    </w:p>
    <w:p w14:paraId="1A4C16ED" w14:textId="7B4F1CDA" w:rsidR="001C1058" w:rsidRPr="00235F11" w:rsidRDefault="001C1058" w:rsidP="00235F11">
      <w:pPr>
        <w:rPr>
          <w:lang w:val="en-CA"/>
        </w:rPr>
      </w:pPr>
    </w:p>
    <w:p w14:paraId="2AA903AD" w14:textId="77777777" w:rsidR="00C751A0" w:rsidRPr="00765CFB" w:rsidRDefault="00C751A0">
      <w:pPr>
        <w:rPr>
          <w:lang w:val="en-CA"/>
        </w:rPr>
      </w:pPr>
    </w:p>
    <w:sectPr w:rsidR="00C751A0" w:rsidRPr="00765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706E8"/>
    <w:multiLevelType w:val="hybridMultilevel"/>
    <w:tmpl w:val="9FD66FEC"/>
    <w:lvl w:ilvl="0" w:tplc="E1F06B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EE3779"/>
    <w:multiLevelType w:val="hybridMultilevel"/>
    <w:tmpl w:val="F0EC22D8"/>
    <w:lvl w:ilvl="0" w:tplc="60D416E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B6F790C"/>
    <w:multiLevelType w:val="hybridMultilevel"/>
    <w:tmpl w:val="A4805042"/>
    <w:lvl w:ilvl="0" w:tplc="56DA63E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B4F089D"/>
    <w:multiLevelType w:val="hybridMultilevel"/>
    <w:tmpl w:val="D01A13A2"/>
    <w:lvl w:ilvl="0" w:tplc="0478D70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CFB"/>
    <w:rsid w:val="0003381C"/>
    <w:rsid w:val="00075552"/>
    <w:rsid w:val="00085574"/>
    <w:rsid w:val="000C28F3"/>
    <w:rsid w:val="000F1741"/>
    <w:rsid w:val="00181EA4"/>
    <w:rsid w:val="001A0B64"/>
    <w:rsid w:val="001C1058"/>
    <w:rsid w:val="002041D4"/>
    <w:rsid w:val="00222406"/>
    <w:rsid w:val="00235F11"/>
    <w:rsid w:val="002704CD"/>
    <w:rsid w:val="002B35AD"/>
    <w:rsid w:val="002D538F"/>
    <w:rsid w:val="00305EC7"/>
    <w:rsid w:val="00311A49"/>
    <w:rsid w:val="00346147"/>
    <w:rsid w:val="003B173C"/>
    <w:rsid w:val="003D7F60"/>
    <w:rsid w:val="00442158"/>
    <w:rsid w:val="00456CB7"/>
    <w:rsid w:val="00471F45"/>
    <w:rsid w:val="004B59AE"/>
    <w:rsid w:val="004B5C59"/>
    <w:rsid w:val="004D71A1"/>
    <w:rsid w:val="00506338"/>
    <w:rsid w:val="00541D90"/>
    <w:rsid w:val="00594EA8"/>
    <w:rsid w:val="005A76F4"/>
    <w:rsid w:val="005B2696"/>
    <w:rsid w:val="00613C48"/>
    <w:rsid w:val="00635A5E"/>
    <w:rsid w:val="006C569F"/>
    <w:rsid w:val="006C7A33"/>
    <w:rsid w:val="006D4116"/>
    <w:rsid w:val="00746658"/>
    <w:rsid w:val="00765CFB"/>
    <w:rsid w:val="007B4304"/>
    <w:rsid w:val="008044E5"/>
    <w:rsid w:val="00850156"/>
    <w:rsid w:val="00954D07"/>
    <w:rsid w:val="009A67EA"/>
    <w:rsid w:val="009B4310"/>
    <w:rsid w:val="009D26C6"/>
    <w:rsid w:val="009E650C"/>
    <w:rsid w:val="00A80D10"/>
    <w:rsid w:val="00AD54F6"/>
    <w:rsid w:val="00B03B18"/>
    <w:rsid w:val="00B045EF"/>
    <w:rsid w:val="00B90764"/>
    <w:rsid w:val="00BD11EA"/>
    <w:rsid w:val="00BD5C02"/>
    <w:rsid w:val="00C751A0"/>
    <w:rsid w:val="00C96D52"/>
    <w:rsid w:val="00D768F2"/>
    <w:rsid w:val="00E20AEE"/>
    <w:rsid w:val="00E2154E"/>
    <w:rsid w:val="00E232EC"/>
    <w:rsid w:val="00E71FE4"/>
    <w:rsid w:val="00E82CB3"/>
    <w:rsid w:val="00EA3FF5"/>
    <w:rsid w:val="00EA7F94"/>
    <w:rsid w:val="00F53EAA"/>
    <w:rsid w:val="00F74602"/>
    <w:rsid w:val="00F9096D"/>
    <w:rsid w:val="00FB2FBA"/>
    <w:rsid w:val="00FD4079"/>
    <w:rsid w:val="491C45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39A02"/>
  <w15:chartTrackingRefBased/>
  <w15:docId w15:val="{DCE0F96E-477D-42A2-8BF4-47B14B9D3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F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ABD564F505AB419076A791D0750F15" ma:contentTypeVersion="9" ma:contentTypeDescription="Create a new document." ma:contentTypeScope="" ma:versionID="7fe2492bea8754b0d9ca5607dd16bd22">
  <xsd:schema xmlns:xsd="http://www.w3.org/2001/XMLSchema" xmlns:xs="http://www.w3.org/2001/XMLSchema" xmlns:p="http://schemas.microsoft.com/office/2006/metadata/properties" xmlns:ns2="125c528b-64f7-4f3f-be68-61db35fc24dc" targetNamespace="http://schemas.microsoft.com/office/2006/metadata/properties" ma:root="true" ma:fieldsID="85f37687b717d9ff8efc41657f835bdc" ns2:_="">
    <xsd:import namespace="125c528b-64f7-4f3f-be68-61db35fc24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c528b-64f7-4f3f-be68-61db35fc2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C90FD-40C3-456C-B9B8-7F5BCB66C99A}">
  <ds:schemaRefs>
    <ds:schemaRef ds:uri="http://schemas.openxmlformats.org/officeDocument/2006/bibliography"/>
  </ds:schemaRefs>
</ds:datastoreItem>
</file>

<file path=customXml/itemProps2.xml><?xml version="1.0" encoding="utf-8"?>
<ds:datastoreItem xmlns:ds="http://schemas.openxmlformats.org/officeDocument/2006/customXml" ds:itemID="{A843A00D-0C80-46EC-AF71-5DA064B4A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c528b-64f7-4f3f-be68-61db35fc2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B1EB5-46E5-42AD-B6F1-F7261B29F06F}">
  <ds:schemaRefs>
    <ds:schemaRef ds:uri="http://purl.org/dc/dcmitype/"/>
    <ds:schemaRef ds:uri="http://purl.org/dc/elements/1.1/"/>
    <ds:schemaRef ds:uri="http://schemas.openxmlformats.org/package/2006/metadata/core-properties"/>
    <ds:schemaRef ds:uri="125c528b-64f7-4f3f-be68-61db35fc24dc"/>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B139FCF-F7E3-43D4-A830-02D586423A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Siren</dc:creator>
  <cp:keywords/>
  <dc:description/>
  <cp:lastModifiedBy>Katherine Siren</cp:lastModifiedBy>
  <cp:revision>2</cp:revision>
  <dcterms:created xsi:type="dcterms:W3CDTF">2020-12-01T14:11:00Z</dcterms:created>
  <dcterms:modified xsi:type="dcterms:W3CDTF">2020-12-01T14:11:00Z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0x010100DCABD564F505AB419076A791D0750F15</vt:lpwstr>
  </property>
</Properties>
</file>