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9682" w14:textId="77777777" w:rsidR="00362098" w:rsidRDefault="00362098" w:rsidP="39A6C97D">
      <w:pPr>
        <w:spacing w:line="480" w:lineRule="auto"/>
        <w:ind w:firstLine="720"/>
        <w:jc w:val="center"/>
        <w:rPr>
          <w:rFonts w:ascii="Times New Roman" w:eastAsia="Times New Roman" w:hAnsi="Times New Roman" w:cs="Times New Roman"/>
          <w:color w:val="000000" w:themeColor="text1"/>
          <w:sz w:val="24"/>
          <w:szCs w:val="24"/>
        </w:rPr>
      </w:pPr>
    </w:p>
    <w:p w14:paraId="114964EF" w14:textId="6E8CE30F" w:rsidR="4FC4274D" w:rsidRDefault="4FC4274D" w:rsidP="39A6C97D">
      <w:pPr>
        <w:spacing w:line="480" w:lineRule="auto"/>
        <w:ind w:firstLine="720"/>
        <w:jc w:val="center"/>
        <w:rPr>
          <w:rFonts w:ascii="Times New Roman" w:eastAsia="Times New Roman" w:hAnsi="Times New Roman" w:cs="Times New Roman"/>
          <w:color w:val="000000" w:themeColor="text1"/>
          <w:sz w:val="24"/>
          <w:szCs w:val="24"/>
        </w:rPr>
      </w:pPr>
      <w:r w:rsidRPr="39A6C97D">
        <w:rPr>
          <w:rFonts w:ascii="Times New Roman" w:eastAsia="Times New Roman" w:hAnsi="Times New Roman" w:cs="Times New Roman"/>
          <w:color w:val="000000" w:themeColor="text1"/>
          <w:sz w:val="24"/>
          <w:szCs w:val="24"/>
        </w:rPr>
        <w:t xml:space="preserve">Ontario Environmental Registry Public Comment: Pure Metal Galvanizing ULC – </w:t>
      </w:r>
      <w:r w:rsidR="5A9C3D1A" w:rsidRPr="39A6C97D">
        <w:rPr>
          <w:rFonts w:ascii="Times New Roman" w:eastAsia="Times New Roman" w:hAnsi="Times New Roman" w:cs="Times New Roman"/>
          <w:color w:val="000000" w:themeColor="text1"/>
          <w:sz w:val="24"/>
          <w:szCs w:val="24"/>
        </w:rPr>
        <w:t xml:space="preserve">Amendment to </w:t>
      </w:r>
      <w:r w:rsidRPr="39A6C97D">
        <w:rPr>
          <w:rFonts w:ascii="Times New Roman" w:eastAsia="Times New Roman" w:hAnsi="Times New Roman" w:cs="Times New Roman"/>
          <w:color w:val="000000" w:themeColor="text1"/>
          <w:sz w:val="24"/>
          <w:szCs w:val="24"/>
        </w:rPr>
        <w:t>Environmental Compliance Approval (Air)</w:t>
      </w:r>
      <w:r w:rsidR="2B63EB52" w:rsidRPr="39A6C97D">
        <w:rPr>
          <w:rFonts w:ascii="Times New Roman" w:eastAsia="Times New Roman" w:hAnsi="Times New Roman" w:cs="Times New Roman"/>
          <w:color w:val="000000" w:themeColor="text1"/>
          <w:sz w:val="24"/>
          <w:szCs w:val="24"/>
        </w:rPr>
        <w:t xml:space="preserve"> No. 5956-8ZUQ3K</w:t>
      </w:r>
    </w:p>
    <w:p w14:paraId="4DFF7CFC" w14:textId="5A222BE3" w:rsidR="783AF11E" w:rsidRDefault="783AF11E" w:rsidP="39A6C97D">
      <w:pPr>
        <w:spacing w:line="480" w:lineRule="auto"/>
        <w:ind w:firstLine="720"/>
        <w:jc w:val="center"/>
        <w:rPr>
          <w:rFonts w:ascii="Times New Roman" w:eastAsia="Times New Roman" w:hAnsi="Times New Roman" w:cs="Times New Roman"/>
          <w:color w:val="000000" w:themeColor="text1"/>
          <w:sz w:val="24"/>
          <w:szCs w:val="24"/>
        </w:rPr>
      </w:pPr>
      <w:r w:rsidRPr="39A6C97D">
        <w:rPr>
          <w:rFonts w:ascii="Times New Roman" w:eastAsia="Times New Roman" w:hAnsi="Times New Roman" w:cs="Times New Roman"/>
          <w:color w:val="000000" w:themeColor="text1"/>
          <w:sz w:val="24"/>
          <w:szCs w:val="24"/>
        </w:rPr>
        <w:t>November 5, 2021</w:t>
      </w:r>
    </w:p>
    <w:p w14:paraId="133881FA" w14:textId="576F7AF1"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6AC26CC8" w14:textId="56D8BEDC"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3E36B010" w14:textId="4C57EDA8"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316F769A" w14:textId="7780D143"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52941033" w14:textId="0111C2C6"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3751E684" w14:textId="36A389C6"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7021C8E8" w14:textId="529059D8"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03736B53" w14:textId="6BA6CD32"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45D14492" w14:textId="05DC3631"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201C87DB" w14:textId="2172D226"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4D19C48C" w14:textId="6AB69CF3"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39032379" w14:textId="7D2F1B03"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7E799021" w14:textId="5F35C02F"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427A245E" w14:textId="5F1E2751" w:rsidR="27C42CF7" w:rsidRDefault="27C42CF7" w:rsidP="27C42CF7">
      <w:pPr>
        <w:spacing w:line="480" w:lineRule="auto"/>
        <w:ind w:firstLine="720"/>
        <w:jc w:val="center"/>
        <w:rPr>
          <w:rFonts w:ascii="Times New Roman" w:eastAsia="Times New Roman" w:hAnsi="Times New Roman" w:cs="Times New Roman"/>
          <w:color w:val="000000" w:themeColor="text1"/>
          <w:sz w:val="24"/>
          <w:szCs w:val="24"/>
        </w:rPr>
      </w:pPr>
    </w:p>
    <w:p w14:paraId="03CB440C" w14:textId="51C4A7AF" w:rsidR="39A6C97D" w:rsidRDefault="39A6C97D" w:rsidP="39A6C97D">
      <w:pPr>
        <w:spacing w:line="480" w:lineRule="auto"/>
        <w:ind w:firstLine="720"/>
        <w:rPr>
          <w:rFonts w:ascii="Times New Roman" w:eastAsia="Times New Roman" w:hAnsi="Times New Roman" w:cs="Times New Roman"/>
          <w:color w:val="000000" w:themeColor="text1"/>
          <w:sz w:val="24"/>
          <w:szCs w:val="24"/>
        </w:rPr>
      </w:pPr>
    </w:p>
    <w:p w14:paraId="1C777359" w14:textId="5C64C906" w:rsidR="005761A2" w:rsidRDefault="42756595" w:rsidP="000E2293">
      <w:pPr>
        <w:spacing w:line="480" w:lineRule="auto"/>
        <w:ind w:firstLine="720"/>
        <w:rPr>
          <w:rFonts w:ascii="Times New Roman" w:eastAsia="Times New Roman" w:hAnsi="Times New Roman" w:cs="Times New Roman"/>
          <w:color w:val="000000" w:themeColor="text1"/>
          <w:sz w:val="24"/>
          <w:szCs w:val="24"/>
        </w:rPr>
      </w:pPr>
      <w:r w:rsidRPr="00A06845">
        <w:rPr>
          <w:rFonts w:ascii="Times New Roman" w:eastAsia="Times New Roman" w:hAnsi="Times New Roman" w:cs="Times New Roman"/>
          <w:color w:val="000000" w:themeColor="text1"/>
          <w:sz w:val="24"/>
          <w:szCs w:val="24"/>
        </w:rPr>
        <w:lastRenderedPageBreak/>
        <w:t>On September 21, 2021, a proposal (ERO 019-4357) was posted to the Environmental Registry of Ontario for an amendment to Environmental Compliance Approval (ECA) with Limited Operational Flexibility for Pure Metal Galvanizing ULC (“Pure Metal”), a hot-dip g</w:t>
      </w:r>
      <w:r w:rsidRPr="006C5D2B">
        <w:rPr>
          <w:rFonts w:ascii="Times New Roman" w:eastAsia="Times New Roman" w:hAnsi="Times New Roman" w:cs="Times New Roman"/>
          <w:color w:val="000000" w:themeColor="text1"/>
          <w:sz w:val="24"/>
          <w:szCs w:val="24"/>
        </w:rPr>
        <w:t>alvanizing facility located at 32 Bodine Drive in Brantford, ON (“Facility”).</w:t>
      </w:r>
      <w:r w:rsidR="00E56DA2">
        <w:rPr>
          <w:rStyle w:val="FootnoteReference"/>
          <w:rFonts w:ascii="Times New Roman" w:eastAsia="Times New Roman" w:hAnsi="Times New Roman" w:cs="Times New Roman"/>
          <w:color w:val="000000" w:themeColor="text1"/>
          <w:sz w:val="24"/>
          <w:szCs w:val="24"/>
        </w:rPr>
        <w:footnoteReference w:id="2"/>
      </w:r>
      <w:r w:rsidRPr="006C5D2B">
        <w:rPr>
          <w:rFonts w:ascii="Times New Roman" w:eastAsia="Times New Roman" w:hAnsi="Times New Roman" w:cs="Times New Roman"/>
          <w:color w:val="000000" w:themeColor="text1"/>
          <w:sz w:val="24"/>
          <w:szCs w:val="24"/>
        </w:rPr>
        <w:t xml:space="preserve"> This public comment addresses this proposal.</w:t>
      </w:r>
    </w:p>
    <w:p w14:paraId="1D83A9D1" w14:textId="64CD097F" w:rsidR="1EDB9702" w:rsidRDefault="3202BBAE" w:rsidP="4801EAC9">
      <w:pPr>
        <w:spacing w:line="480" w:lineRule="auto"/>
        <w:ind w:firstLine="720"/>
        <w:rPr>
          <w:sz w:val="24"/>
          <w:szCs w:val="24"/>
        </w:rPr>
      </w:pPr>
      <w:r w:rsidRPr="4801EAC9">
        <w:rPr>
          <w:rFonts w:ascii="Times New Roman" w:eastAsia="Times New Roman" w:hAnsi="Times New Roman" w:cs="Times New Roman"/>
          <w:color w:val="000000" w:themeColor="text1"/>
          <w:sz w:val="24"/>
          <w:szCs w:val="24"/>
        </w:rPr>
        <w:t>Hot-dip galvanizing is the process of immersing steel or iron in a bath of molten zinc to produce a corrosion resistant, multi-layered coating of zinc and zinc-iron alloy. Hot-dip galvanized steel products are used across various industries – particularly the construction industry – since they are extremely durable and offer long-lasting corrosion protection. Because they routinely provide decades of maintenance-free life, they require limited energy and resources while in use.</w:t>
      </w:r>
      <w:r w:rsidR="00EA0303">
        <w:rPr>
          <w:rStyle w:val="FootnoteReference"/>
          <w:rFonts w:ascii="Times New Roman" w:eastAsia="Times New Roman" w:hAnsi="Times New Roman" w:cs="Times New Roman"/>
          <w:color w:val="000000" w:themeColor="text1"/>
          <w:sz w:val="24"/>
          <w:szCs w:val="24"/>
        </w:rPr>
        <w:footnoteReference w:id="3"/>
      </w:r>
      <w:r w:rsidRPr="4801EAC9">
        <w:rPr>
          <w:rFonts w:ascii="Times New Roman" w:eastAsia="Times New Roman" w:hAnsi="Times New Roman" w:cs="Times New Roman"/>
          <w:color w:val="000000" w:themeColor="text1"/>
          <w:sz w:val="24"/>
          <w:szCs w:val="24"/>
        </w:rPr>
        <w:t xml:space="preserve"> However, the hot-dip galvanizing process itself produces emissions that are, in certain quantities, harmful to the environment and to </w:t>
      </w:r>
      <w:r w:rsidR="6AD2FA7C" w:rsidRPr="450A46AD">
        <w:rPr>
          <w:rFonts w:ascii="Times New Roman" w:eastAsia="Times New Roman" w:hAnsi="Times New Roman" w:cs="Times New Roman"/>
          <w:color w:val="000000" w:themeColor="text1"/>
          <w:sz w:val="24"/>
          <w:szCs w:val="24"/>
        </w:rPr>
        <w:t>human</w:t>
      </w:r>
      <w:r w:rsidRPr="4801EAC9">
        <w:rPr>
          <w:rFonts w:ascii="Times New Roman" w:eastAsia="Times New Roman" w:hAnsi="Times New Roman" w:cs="Times New Roman"/>
          <w:color w:val="000000" w:themeColor="text1"/>
          <w:sz w:val="24"/>
          <w:szCs w:val="24"/>
        </w:rPr>
        <w:t xml:space="preserve"> health.</w:t>
      </w:r>
    </w:p>
    <w:p w14:paraId="7F510C9B" w14:textId="2F0EC515" w:rsidR="005761A2" w:rsidRPr="00637F29" w:rsidRDefault="005761A2" w:rsidP="00B145EF">
      <w:pPr>
        <w:spacing w:line="480" w:lineRule="auto"/>
        <w:ind w:firstLine="720"/>
        <w:rPr>
          <w:rFonts w:ascii="Times New Roman" w:eastAsia="Times New Roman" w:hAnsi="Times New Roman" w:cs="Times New Roman"/>
          <w:color w:val="000000" w:themeColor="text1"/>
          <w:sz w:val="24"/>
          <w:szCs w:val="24"/>
        </w:rPr>
      </w:pPr>
      <w:r w:rsidRPr="002B109E">
        <w:rPr>
          <w:rFonts w:ascii="Times New Roman" w:hAnsi="Times New Roman" w:cs="Times New Roman"/>
          <w:color w:val="000000" w:themeColor="text1"/>
          <w:sz w:val="24"/>
          <w:szCs w:val="24"/>
        </w:rPr>
        <w:t>Galvanized steel is largely acknowledged to be a sustainable industrial practice, with significant environmental benefits over the previous lead galvanizing standard.</w:t>
      </w:r>
      <w:r w:rsidR="00781CF5" w:rsidRPr="00E00D25">
        <w:rPr>
          <w:rStyle w:val="FootnoteReference"/>
          <w:rFonts w:ascii="Times New Roman" w:hAnsi="Times New Roman" w:cs="Times New Roman"/>
          <w:color w:val="000000" w:themeColor="text1"/>
          <w:sz w:val="24"/>
          <w:szCs w:val="24"/>
        </w:rPr>
        <w:footnoteReference w:id="4"/>
      </w:r>
      <w:r w:rsidRPr="002B109E">
        <w:rPr>
          <w:rFonts w:ascii="Times New Roman" w:hAnsi="Times New Roman" w:cs="Times New Roman"/>
          <w:color w:val="000000" w:themeColor="text1"/>
          <w:sz w:val="24"/>
          <w:szCs w:val="24"/>
        </w:rPr>
        <w:t xml:space="preserve"> The hot-dip galvanizing coating is typically composed of 98% zinc, which is a naturally occurring and recyclable material.</w:t>
      </w:r>
      <w:r w:rsidR="00EA0303" w:rsidRPr="00E00D25">
        <w:rPr>
          <w:rStyle w:val="FootnoteReference"/>
          <w:rFonts w:ascii="Times New Roman" w:hAnsi="Times New Roman" w:cs="Times New Roman"/>
          <w:color w:val="000000" w:themeColor="text1"/>
          <w:sz w:val="24"/>
          <w:szCs w:val="24"/>
        </w:rPr>
        <w:footnoteReference w:id="5"/>
      </w:r>
      <w:r w:rsidRPr="407200FD">
        <w:rPr>
          <w:rStyle w:val="FootnoteReference"/>
          <w:rFonts w:ascii="Times New Roman" w:hAnsi="Times New Roman" w:cs="Times New Roman"/>
          <w:color w:val="000000" w:themeColor="text1"/>
          <w:sz w:val="24"/>
          <w:szCs w:val="24"/>
        </w:rPr>
        <w:t xml:space="preserve"> </w:t>
      </w:r>
      <w:r w:rsidR="1BB24707" w:rsidRPr="407200FD">
        <w:rPr>
          <w:rFonts w:ascii="Times New Roman" w:hAnsi="Times New Roman" w:cs="Times New Roman"/>
          <w:color w:val="000000" w:themeColor="text1"/>
          <w:sz w:val="24"/>
          <w:szCs w:val="24"/>
        </w:rPr>
        <w:t>W</w:t>
      </w:r>
      <w:r w:rsidR="265ACD18" w:rsidRPr="407200FD">
        <w:rPr>
          <w:rFonts w:ascii="Times New Roman" w:hAnsi="Times New Roman" w:cs="Times New Roman"/>
          <w:color w:val="000000" w:themeColor="text1"/>
          <w:sz w:val="24"/>
          <w:szCs w:val="24"/>
        </w:rPr>
        <w:t>hile</w:t>
      </w:r>
      <w:r w:rsidRPr="407200FD">
        <w:rPr>
          <w:rFonts w:ascii="Times New Roman" w:hAnsi="Times New Roman" w:cs="Times New Roman"/>
          <w:color w:val="000000" w:themeColor="text1"/>
          <w:sz w:val="24"/>
          <w:szCs w:val="24"/>
        </w:rPr>
        <w:t xml:space="preserve"> steel galvanization appears to be environmentally </w:t>
      </w:r>
      <w:r w:rsidR="4239DD7C" w:rsidRPr="407200FD">
        <w:rPr>
          <w:rFonts w:ascii="Times New Roman" w:hAnsi="Times New Roman" w:cs="Times New Roman"/>
          <w:color w:val="000000" w:themeColor="text1"/>
          <w:sz w:val="24"/>
          <w:szCs w:val="24"/>
        </w:rPr>
        <w:t>sound</w:t>
      </w:r>
      <w:r w:rsidRPr="407200FD">
        <w:rPr>
          <w:rFonts w:ascii="Times New Roman" w:hAnsi="Times New Roman" w:cs="Times New Roman"/>
          <w:color w:val="000000" w:themeColor="text1"/>
          <w:sz w:val="24"/>
          <w:szCs w:val="24"/>
        </w:rPr>
        <w:t>, large</w:t>
      </w:r>
      <w:r w:rsidR="7097F1F0" w:rsidRPr="407200FD">
        <w:rPr>
          <w:rFonts w:ascii="Times New Roman" w:hAnsi="Times New Roman" w:cs="Times New Roman"/>
          <w:color w:val="000000" w:themeColor="text1"/>
          <w:sz w:val="24"/>
          <w:szCs w:val="24"/>
        </w:rPr>
        <w:t>-</w:t>
      </w:r>
      <w:r w:rsidRPr="407200FD">
        <w:rPr>
          <w:rFonts w:ascii="Times New Roman" w:hAnsi="Times New Roman" w:cs="Times New Roman"/>
          <w:color w:val="000000" w:themeColor="text1"/>
          <w:sz w:val="24"/>
          <w:szCs w:val="24"/>
        </w:rPr>
        <w:t xml:space="preserve">scale chemical processes carry inherent risk. If a </w:t>
      </w:r>
      <w:r w:rsidR="009C52D1" w:rsidRPr="407200FD">
        <w:rPr>
          <w:rFonts w:ascii="Times New Roman" w:hAnsi="Times New Roman" w:cs="Times New Roman"/>
          <w:color w:val="000000" w:themeColor="text1"/>
          <w:sz w:val="24"/>
          <w:szCs w:val="24"/>
        </w:rPr>
        <w:t>f</w:t>
      </w:r>
      <w:r w:rsidRPr="407200FD">
        <w:rPr>
          <w:rFonts w:ascii="Times New Roman" w:hAnsi="Times New Roman" w:cs="Times New Roman"/>
          <w:color w:val="000000" w:themeColor="text1"/>
          <w:sz w:val="24"/>
          <w:szCs w:val="24"/>
        </w:rPr>
        <w:t xml:space="preserve">acility does not take appropriate measures to mitigate, prevent, and react to potential environmental threats, the sustainability of a process or operation can be jeopardized. Industry standards and legislative inspection and enforcement </w:t>
      </w:r>
      <w:r w:rsidRPr="407200FD">
        <w:rPr>
          <w:rFonts w:ascii="Times New Roman" w:hAnsi="Times New Roman" w:cs="Times New Roman"/>
          <w:color w:val="000000" w:themeColor="text1"/>
          <w:sz w:val="24"/>
          <w:szCs w:val="24"/>
        </w:rPr>
        <w:lastRenderedPageBreak/>
        <w:t xml:space="preserve">mechanisms are put into place with the intent of minimizing the incidence of </w:t>
      </w:r>
      <w:r w:rsidR="009C52D1" w:rsidRPr="407200FD">
        <w:rPr>
          <w:rFonts w:ascii="Times New Roman" w:hAnsi="Times New Roman" w:cs="Times New Roman"/>
          <w:color w:val="000000" w:themeColor="text1"/>
          <w:sz w:val="24"/>
          <w:szCs w:val="24"/>
        </w:rPr>
        <w:t xml:space="preserve">such </w:t>
      </w:r>
      <w:r w:rsidRPr="407200FD">
        <w:rPr>
          <w:rFonts w:ascii="Times New Roman" w:hAnsi="Times New Roman" w:cs="Times New Roman"/>
          <w:color w:val="000000" w:themeColor="text1"/>
          <w:sz w:val="24"/>
          <w:szCs w:val="24"/>
        </w:rPr>
        <w:t xml:space="preserve">negative environmental externalities. </w:t>
      </w:r>
    </w:p>
    <w:p w14:paraId="7A9EC743" w14:textId="4A40C766" w:rsidR="00A06845" w:rsidRPr="006C5D2B" w:rsidRDefault="0A75935B" w:rsidP="00FC708B">
      <w:pPr>
        <w:spacing w:line="480" w:lineRule="auto"/>
        <w:ind w:firstLine="720"/>
        <w:rPr>
          <w:sz w:val="24"/>
          <w:szCs w:val="24"/>
        </w:rPr>
      </w:pPr>
      <w:r w:rsidRPr="00A06845">
        <w:rPr>
          <w:rFonts w:ascii="Times New Roman" w:eastAsia="Times New Roman" w:hAnsi="Times New Roman" w:cs="Times New Roman"/>
          <w:color w:val="000000" w:themeColor="text1"/>
          <w:sz w:val="24"/>
          <w:szCs w:val="24"/>
        </w:rPr>
        <w:t>This comment begins with a summary of the proposal. The summary provides background, defines key terms, and outlines the details of the proposal by drawing on relevant regulations and supporting materials submitted to the Ontario Ministry of the Environmen</w:t>
      </w:r>
      <w:r w:rsidRPr="006C5D2B">
        <w:rPr>
          <w:rFonts w:ascii="Times New Roman" w:eastAsia="Times New Roman" w:hAnsi="Times New Roman" w:cs="Times New Roman"/>
          <w:color w:val="000000" w:themeColor="text1"/>
          <w:sz w:val="24"/>
          <w:szCs w:val="24"/>
        </w:rPr>
        <w:t>t, Conservation and Parks (“the Ministry”) by the applicant. Following this, we identify the aspects of the proposal that will assume our attention, paying particular focus to the updated emissions methodology triggering a Maximum Ground Level Concentration Acceptability Request for Zinc Oxide.</w:t>
      </w:r>
    </w:p>
    <w:p w14:paraId="2DE8965D" w14:textId="5FFAA49D" w:rsidR="0A75935B" w:rsidRPr="006C5D2B" w:rsidRDefault="0A75935B" w:rsidP="21AEBF39">
      <w:pPr>
        <w:spacing w:line="480" w:lineRule="auto"/>
        <w:ind w:firstLine="720"/>
        <w:rPr>
          <w:rFonts w:ascii="Times New Roman" w:eastAsia="Times New Roman" w:hAnsi="Times New Roman" w:cs="Times New Roman"/>
          <w:color w:val="000000" w:themeColor="text1"/>
          <w:sz w:val="24"/>
          <w:szCs w:val="24"/>
        </w:rPr>
      </w:pPr>
      <w:r w:rsidRPr="00A06845">
        <w:rPr>
          <w:rFonts w:ascii="Times New Roman" w:eastAsia="Times New Roman" w:hAnsi="Times New Roman" w:cs="Times New Roman"/>
          <w:color w:val="000000" w:themeColor="text1"/>
          <w:sz w:val="24"/>
          <w:szCs w:val="24"/>
        </w:rPr>
        <w:t xml:space="preserve">This comment </w:t>
      </w:r>
      <w:r w:rsidR="2D0B3C4D" w:rsidRPr="1C9D15BD">
        <w:rPr>
          <w:rFonts w:ascii="Times New Roman" w:eastAsia="Times New Roman" w:hAnsi="Times New Roman" w:cs="Times New Roman"/>
          <w:color w:val="000000" w:themeColor="text1"/>
          <w:sz w:val="24"/>
          <w:szCs w:val="24"/>
        </w:rPr>
        <w:t>subsequently</w:t>
      </w:r>
      <w:r w:rsidRPr="00A06845">
        <w:rPr>
          <w:rFonts w:ascii="Times New Roman" w:eastAsia="Times New Roman" w:hAnsi="Times New Roman" w:cs="Times New Roman"/>
          <w:color w:val="000000" w:themeColor="text1"/>
          <w:sz w:val="24"/>
          <w:szCs w:val="24"/>
        </w:rPr>
        <w:t xml:space="preserve"> addresses the legal and policy implications that we believe stem from the drafting and acceptance of the proposal. We begin by critically analyzing the methods and procedures by which emission rates and point of impingement (POI) concentrations of contaminants are assessed by the Ministry, </w:t>
      </w:r>
      <w:r w:rsidRPr="006C5D2B">
        <w:rPr>
          <w:rFonts w:ascii="Times New Roman" w:eastAsia="Times New Roman" w:hAnsi="Times New Roman" w:cs="Times New Roman"/>
          <w:color w:val="000000" w:themeColor="text1"/>
          <w:sz w:val="24"/>
          <w:szCs w:val="24"/>
        </w:rPr>
        <w:t xml:space="preserve">setting out an overview of the regulations and standards referenced within the proposal’s supporting documentation. </w:t>
      </w:r>
      <w:r w:rsidR="04BC2D00" w:rsidRPr="1C9D15BD">
        <w:rPr>
          <w:rFonts w:ascii="Times New Roman" w:eastAsia="Times New Roman" w:hAnsi="Times New Roman" w:cs="Times New Roman"/>
          <w:color w:val="000000" w:themeColor="text1"/>
          <w:sz w:val="24"/>
          <w:szCs w:val="24"/>
        </w:rPr>
        <w:t xml:space="preserve">Next, we consider the standards, objectives, and guidelines that environmental policymaking should ideally encompass, and thereafter contemplate how this proposal fits within the scope of an environmental impact assessment. </w:t>
      </w:r>
    </w:p>
    <w:p w14:paraId="3CF96738" w14:textId="1CF34E60" w:rsidR="0A75935B" w:rsidRPr="006C5D2B" w:rsidRDefault="14BF6601" w:rsidP="3F33859F">
      <w:pPr>
        <w:spacing w:line="480" w:lineRule="auto"/>
        <w:ind w:firstLine="720"/>
        <w:rPr>
          <w:rFonts w:ascii="Times New Roman" w:eastAsia="Times New Roman" w:hAnsi="Times New Roman" w:cs="Times New Roman"/>
          <w:color w:val="000000" w:themeColor="text1"/>
          <w:sz w:val="24"/>
          <w:szCs w:val="24"/>
        </w:rPr>
      </w:pPr>
      <w:r w:rsidRPr="21AEBF39">
        <w:rPr>
          <w:rFonts w:ascii="Times New Roman" w:eastAsia="Times New Roman" w:hAnsi="Times New Roman" w:cs="Times New Roman"/>
          <w:color w:val="000000" w:themeColor="text1"/>
          <w:sz w:val="24"/>
          <w:szCs w:val="24"/>
        </w:rPr>
        <w:t xml:space="preserve">After contextualizing these considerations, we </w:t>
      </w:r>
      <w:r w:rsidR="03A6D423" w:rsidRPr="21AEBF39">
        <w:rPr>
          <w:rFonts w:ascii="Times New Roman" w:eastAsia="Times New Roman" w:hAnsi="Times New Roman" w:cs="Times New Roman"/>
          <w:color w:val="000000" w:themeColor="text1"/>
          <w:sz w:val="24"/>
          <w:szCs w:val="24"/>
        </w:rPr>
        <w:t>articulate why</w:t>
      </w:r>
      <w:r w:rsidRPr="21AEBF39">
        <w:rPr>
          <w:rFonts w:ascii="Times New Roman" w:eastAsia="Times New Roman" w:hAnsi="Times New Roman" w:cs="Times New Roman"/>
          <w:color w:val="000000" w:themeColor="text1"/>
          <w:sz w:val="24"/>
          <w:szCs w:val="24"/>
        </w:rPr>
        <w:t xml:space="preserve"> the Ministry ought to issue a new invitation for public comments on </w:t>
      </w:r>
      <w:r w:rsidR="3802396F" w:rsidRPr="21AEBF39">
        <w:rPr>
          <w:rFonts w:ascii="Times New Roman" w:eastAsia="Times New Roman" w:hAnsi="Times New Roman" w:cs="Times New Roman"/>
          <w:color w:val="000000" w:themeColor="text1"/>
          <w:sz w:val="24"/>
          <w:szCs w:val="24"/>
        </w:rPr>
        <w:t>the specific issue of zinc oxide emissions. We bolster this position by assessing wh</w:t>
      </w:r>
      <w:r w:rsidR="46E48E56" w:rsidRPr="21AEBF39">
        <w:rPr>
          <w:rFonts w:ascii="Times New Roman" w:eastAsia="Times New Roman" w:hAnsi="Times New Roman" w:cs="Times New Roman"/>
          <w:color w:val="000000" w:themeColor="text1"/>
          <w:sz w:val="24"/>
          <w:szCs w:val="24"/>
        </w:rPr>
        <w:t xml:space="preserve">y </w:t>
      </w:r>
      <w:r w:rsidR="3802396F" w:rsidRPr="21AEBF39">
        <w:rPr>
          <w:rFonts w:ascii="Times New Roman" w:eastAsia="Times New Roman" w:hAnsi="Times New Roman" w:cs="Times New Roman"/>
          <w:color w:val="000000" w:themeColor="text1"/>
          <w:sz w:val="24"/>
          <w:szCs w:val="24"/>
        </w:rPr>
        <w:t>the ‘project-by-project' evaluation approach taken by the Mini</w:t>
      </w:r>
      <w:r w:rsidR="5CF9A0F4" w:rsidRPr="21AEBF39">
        <w:rPr>
          <w:rFonts w:ascii="Times New Roman" w:eastAsia="Times New Roman" w:hAnsi="Times New Roman" w:cs="Times New Roman"/>
          <w:color w:val="000000" w:themeColor="text1"/>
          <w:sz w:val="24"/>
          <w:szCs w:val="24"/>
        </w:rPr>
        <w:t xml:space="preserve">stry fails to </w:t>
      </w:r>
      <w:r w:rsidR="7F8C9449" w:rsidRPr="21AEBF39">
        <w:rPr>
          <w:rFonts w:ascii="Times New Roman" w:eastAsia="Times New Roman" w:hAnsi="Times New Roman" w:cs="Times New Roman"/>
          <w:color w:val="000000" w:themeColor="text1"/>
          <w:sz w:val="24"/>
          <w:szCs w:val="24"/>
        </w:rPr>
        <w:t>consider</w:t>
      </w:r>
      <w:r w:rsidR="5CF9A0F4" w:rsidRPr="21AEBF39">
        <w:rPr>
          <w:rFonts w:ascii="Times New Roman" w:eastAsia="Times New Roman" w:hAnsi="Times New Roman" w:cs="Times New Roman"/>
          <w:color w:val="000000" w:themeColor="text1"/>
          <w:sz w:val="24"/>
          <w:szCs w:val="24"/>
        </w:rPr>
        <w:t xml:space="preserve"> the precautionary principle</w:t>
      </w:r>
      <w:r w:rsidR="589BD773" w:rsidRPr="21AEBF39">
        <w:rPr>
          <w:rFonts w:ascii="Times New Roman" w:eastAsia="Times New Roman" w:hAnsi="Times New Roman" w:cs="Times New Roman"/>
          <w:color w:val="000000" w:themeColor="text1"/>
          <w:sz w:val="24"/>
          <w:szCs w:val="24"/>
        </w:rPr>
        <w:t xml:space="preserve">, </w:t>
      </w:r>
      <w:r w:rsidR="5ECA56C0" w:rsidRPr="21AEBF39">
        <w:rPr>
          <w:rFonts w:ascii="Times New Roman" w:eastAsia="Times New Roman" w:hAnsi="Times New Roman" w:cs="Times New Roman"/>
          <w:color w:val="000000" w:themeColor="text1"/>
          <w:sz w:val="24"/>
          <w:szCs w:val="24"/>
        </w:rPr>
        <w:t>thus lead</w:t>
      </w:r>
      <w:r w:rsidR="194EACFD" w:rsidRPr="21AEBF39">
        <w:rPr>
          <w:rFonts w:ascii="Times New Roman" w:eastAsia="Times New Roman" w:hAnsi="Times New Roman" w:cs="Times New Roman"/>
          <w:color w:val="000000" w:themeColor="text1"/>
          <w:sz w:val="24"/>
          <w:szCs w:val="24"/>
        </w:rPr>
        <w:t>ing</w:t>
      </w:r>
      <w:r w:rsidR="5ECA56C0" w:rsidRPr="21AEBF39">
        <w:rPr>
          <w:rFonts w:ascii="Times New Roman" w:eastAsia="Times New Roman" w:hAnsi="Times New Roman" w:cs="Times New Roman"/>
          <w:color w:val="000000" w:themeColor="text1"/>
          <w:sz w:val="24"/>
          <w:szCs w:val="24"/>
        </w:rPr>
        <w:t xml:space="preserve"> to misrepresentation</w:t>
      </w:r>
      <w:r w:rsidR="26E9A791" w:rsidRPr="21AEBF39">
        <w:rPr>
          <w:rFonts w:ascii="Times New Roman" w:eastAsia="Times New Roman" w:hAnsi="Times New Roman" w:cs="Times New Roman"/>
          <w:color w:val="000000" w:themeColor="text1"/>
          <w:sz w:val="24"/>
          <w:szCs w:val="24"/>
        </w:rPr>
        <w:t xml:space="preserve"> </w:t>
      </w:r>
      <w:r w:rsidR="7DB71E47" w:rsidRPr="21AEBF39">
        <w:rPr>
          <w:rFonts w:ascii="Times New Roman" w:eastAsia="Times New Roman" w:hAnsi="Times New Roman" w:cs="Times New Roman"/>
          <w:color w:val="000000" w:themeColor="text1"/>
          <w:sz w:val="24"/>
          <w:szCs w:val="24"/>
        </w:rPr>
        <w:t xml:space="preserve">and a ‘death by a thousand cuts’ scenario </w:t>
      </w:r>
      <w:r w:rsidR="729A44F1" w:rsidRPr="21AEBF39">
        <w:rPr>
          <w:rFonts w:ascii="Times New Roman" w:eastAsia="Times New Roman" w:hAnsi="Times New Roman" w:cs="Times New Roman"/>
          <w:color w:val="000000" w:themeColor="text1"/>
          <w:sz w:val="24"/>
          <w:szCs w:val="24"/>
        </w:rPr>
        <w:t>because of</w:t>
      </w:r>
      <w:r w:rsidR="7DB71E47" w:rsidRPr="21AEBF39">
        <w:rPr>
          <w:rFonts w:ascii="Times New Roman" w:eastAsia="Times New Roman" w:hAnsi="Times New Roman" w:cs="Times New Roman"/>
          <w:color w:val="000000" w:themeColor="text1"/>
          <w:sz w:val="24"/>
          <w:szCs w:val="24"/>
        </w:rPr>
        <w:t xml:space="preserve"> the </w:t>
      </w:r>
      <w:r w:rsidR="26E9A791" w:rsidRPr="21AEBF39">
        <w:rPr>
          <w:rFonts w:ascii="Times New Roman" w:eastAsia="Times New Roman" w:hAnsi="Times New Roman" w:cs="Times New Roman"/>
          <w:color w:val="000000" w:themeColor="text1"/>
          <w:sz w:val="24"/>
          <w:szCs w:val="24"/>
        </w:rPr>
        <w:t>cumulative environmental effects of like proposals</w:t>
      </w:r>
      <w:r w:rsidR="028FB8C2" w:rsidRPr="21AEBF39">
        <w:rPr>
          <w:rFonts w:ascii="Times New Roman" w:eastAsia="Times New Roman" w:hAnsi="Times New Roman" w:cs="Times New Roman"/>
          <w:color w:val="000000" w:themeColor="text1"/>
          <w:sz w:val="24"/>
          <w:szCs w:val="24"/>
        </w:rPr>
        <w:t>.</w:t>
      </w:r>
    </w:p>
    <w:p w14:paraId="49B81FE1" w14:textId="610F51A2" w:rsidR="430188BE" w:rsidRPr="00004ACF" w:rsidRDefault="0E928B8E" w:rsidP="00004ACF">
      <w:pPr>
        <w:spacing w:line="480" w:lineRule="auto"/>
        <w:ind w:firstLine="720"/>
        <w:rPr>
          <w:rFonts w:ascii="Times New Roman" w:eastAsia="Times New Roman" w:hAnsi="Times New Roman" w:cs="Times New Roman"/>
          <w:b/>
          <w:color w:val="000000" w:themeColor="text1"/>
          <w:sz w:val="24"/>
          <w:szCs w:val="24"/>
        </w:rPr>
      </w:pPr>
      <w:r w:rsidRPr="1C9D15BD">
        <w:rPr>
          <w:rFonts w:ascii="Times New Roman" w:eastAsia="Times New Roman" w:hAnsi="Times New Roman" w:cs="Times New Roman"/>
          <w:color w:val="000000" w:themeColor="text1"/>
          <w:sz w:val="24"/>
          <w:szCs w:val="24"/>
        </w:rPr>
        <w:lastRenderedPageBreak/>
        <w:t>T</w:t>
      </w:r>
      <w:r w:rsidR="5742B2D2" w:rsidRPr="1C9D15BD">
        <w:rPr>
          <w:rFonts w:ascii="Times New Roman" w:eastAsia="Times New Roman" w:hAnsi="Times New Roman" w:cs="Times New Roman"/>
          <w:color w:val="000000" w:themeColor="text1"/>
          <w:sz w:val="24"/>
          <w:szCs w:val="24"/>
        </w:rPr>
        <w:t xml:space="preserve">o conclude, </w:t>
      </w:r>
      <w:r w:rsidR="39DC093F" w:rsidRPr="1C9D15BD">
        <w:rPr>
          <w:rFonts w:ascii="Times New Roman" w:eastAsia="Times New Roman" w:hAnsi="Times New Roman" w:cs="Times New Roman"/>
          <w:color w:val="000000" w:themeColor="text1"/>
          <w:sz w:val="24"/>
          <w:szCs w:val="24"/>
        </w:rPr>
        <w:t xml:space="preserve">we </w:t>
      </w:r>
      <w:r w:rsidR="3C903E38" w:rsidRPr="1C9D15BD">
        <w:rPr>
          <w:rFonts w:ascii="Times New Roman" w:eastAsia="Times New Roman" w:hAnsi="Times New Roman" w:cs="Times New Roman"/>
          <w:color w:val="000000" w:themeColor="text1"/>
          <w:sz w:val="24"/>
          <w:szCs w:val="24"/>
        </w:rPr>
        <w:t>summarize the contents of the comment</w:t>
      </w:r>
      <w:r w:rsidR="24C052E5" w:rsidRPr="2597570E">
        <w:rPr>
          <w:rFonts w:ascii="Times New Roman" w:eastAsia="Times New Roman" w:hAnsi="Times New Roman" w:cs="Times New Roman"/>
          <w:color w:val="000000" w:themeColor="text1"/>
          <w:sz w:val="24"/>
          <w:szCs w:val="24"/>
        </w:rPr>
        <w:t xml:space="preserve"> and </w:t>
      </w:r>
      <w:r w:rsidR="37620CE9" w:rsidRPr="313D5305">
        <w:rPr>
          <w:rFonts w:ascii="Times New Roman" w:eastAsia="Times New Roman" w:hAnsi="Times New Roman" w:cs="Times New Roman"/>
          <w:color w:val="000000" w:themeColor="text1"/>
          <w:sz w:val="24"/>
          <w:szCs w:val="24"/>
        </w:rPr>
        <w:t>provide</w:t>
      </w:r>
      <w:r w:rsidR="24C052E5" w:rsidRPr="2597570E">
        <w:rPr>
          <w:rFonts w:ascii="Times New Roman" w:eastAsia="Times New Roman" w:hAnsi="Times New Roman" w:cs="Times New Roman"/>
          <w:color w:val="000000" w:themeColor="text1"/>
          <w:sz w:val="24"/>
          <w:szCs w:val="24"/>
        </w:rPr>
        <w:t xml:space="preserve"> a list</w:t>
      </w:r>
      <w:r w:rsidR="2260585C" w:rsidRPr="2597570E">
        <w:rPr>
          <w:rFonts w:ascii="Times New Roman" w:eastAsia="Times New Roman" w:hAnsi="Times New Roman" w:cs="Times New Roman"/>
          <w:color w:val="000000" w:themeColor="text1"/>
          <w:sz w:val="24"/>
          <w:szCs w:val="24"/>
        </w:rPr>
        <w:t xml:space="preserve"> of </w:t>
      </w:r>
      <w:r w:rsidR="2DBBA72B" w:rsidRPr="313D5305">
        <w:rPr>
          <w:rFonts w:ascii="Times New Roman" w:eastAsia="Times New Roman" w:hAnsi="Times New Roman" w:cs="Times New Roman"/>
          <w:color w:val="000000" w:themeColor="text1"/>
          <w:sz w:val="24"/>
          <w:szCs w:val="24"/>
        </w:rPr>
        <w:t>concerns</w:t>
      </w:r>
      <w:r w:rsidR="24C052E5" w:rsidRPr="2597570E">
        <w:rPr>
          <w:rFonts w:ascii="Times New Roman" w:eastAsia="Times New Roman" w:hAnsi="Times New Roman" w:cs="Times New Roman"/>
          <w:color w:val="000000" w:themeColor="text1"/>
          <w:sz w:val="24"/>
          <w:szCs w:val="24"/>
        </w:rPr>
        <w:t xml:space="preserve"> and </w:t>
      </w:r>
      <w:r w:rsidR="50148D90" w:rsidRPr="313D5305">
        <w:rPr>
          <w:rFonts w:ascii="Times New Roman" w:eastAsia="Times New Roman" w:hAnsi="Times New Roman" w:cs="Times New Roman"/>
          <w:color w:val="000000" w:themeColor="text1"/>
          <w:sz w:val="24"/>
          <w:szCs w:val="24"/>
        </w:rPr>
        <w:t>re</w:t>
      </w:r>
      <w:r w:rsidR="0CFBDE93" w:rsidRPr="313D5305">
        <w:rPr>
          <w:rFonts w:ascii="Times New Roman" w:eastAsia="Times New Roman" w:hAnsi="Times New Roman" w:cs="Times New Roman"/>
          <w:color w:val="000000" w:themeColor="text1"/>
          <w:sz w:val="24"/>
          <w:szCs w:val="24"/>
        </w:rPr>
        <w:t>commendations</w:t>
      </w:r>
      <w:r w:rsidR="24C052E5" w:rsidRPr="2597570E">
        <w:rPr>
          <w:rFonts w:ascii="Times New Roman" w:eastAsia="Times New Roman" w:hAnsi="Times New Roman" w:cs="Times New Roman"/>
          <w:color w:val="000000" w:themeColor="text1"/>
          <w:sz w:val="24"/>
          <w:szCs w:val="24"/>
        </w:rPr>
        <w:t xml:space="preserve"> concerning </w:t>
      </w:r>
      <w:r w:rsidR="3F9BA45E" w:rsidRPr="313D5305">
        <w:rPr>
          <w:rFonts w:ascii="Times New Roman" w:eastAsia="Times New Roman" w:hAnsi="Times New Roman" w:cs="Times New Roman"/>
          <w:color w:val="000000" w:themeColor="text1"/>
          <w:sz w:val="24"/>
          <w:szCs w:val="24"/>
        </w:rPr>
        <w:t>the Ministry’s</w:t>
      </w:r>
      <w:r w:rsidR="24C052E5" w:rsidRPr="2597570E">
        <w:rPr>
          <w:rFonts w:ascii="Times New Roman" w:eastAsia="Times New Roman" w:hAnsi="Times New Roman" w:cs="Times New Roman"/>
          <w:color w:val="000000" w:themeColor="text1"/>
          <w:sz w:val="24"/>
          <w:szCs w:val="24"/>
        </w:rPr>
        <w:t xml:space="preserve"> decision about </w:t>
      </w:r>
      <w:r w:rsidR="2260585C" w:rsidRPr="2597570E">
        <w:rPr>
          <w:rFonts w:ascii="Times New Roman" w:eastAsia="Times New Roman" w:hAnsi="Times New Roman" w:cs="Times New Roman"/>
          <w:color w:val="000000" w:themeColor="text1"/>
          <w:sz w:val="24"/>
          <w:szCs w:val="24"/>
        </w:rPr>
        <w:t xml:space="preserve">the </w:t>
      </w:r>
      <w:r w:rsidR="24C052E5" w:rsidRPr="2597570E">
        <w:rPr>
          <w:rFonts w:ascii="Times New Roman" w:eastAsia="Times New Roman" w:hAnsi="Times New Roman" w:cs="Times New Roman"/>
          <w:color w:val="000000" w:themeColor="text1"/>
          <w:sz w:val="24"/>
          <w:szCs w:val="24"/>
        </w:rPr>
        <w:t>Facility.</w:t>
      </w:r>
    </w:p>
    <w:p w14:paraId="15094846" w14:textId="2934A1E6" w:rsidR="0048440B" w:rsidRPr="006C5D2B" w:rsidRDefault="42756595" w:rsidP="006C5D2B">
      <w:pPr>
        <w:spacing w:line="480" w:lineRule="auto"/>
        <w:ind w:firstLine="720"/>
        <w:jc w:val="center"/>
        <w:rPr>
          <w:sz w:val="24"/>
          <w:szCs w:val="24"/>
        </w:rPr>
      </w:pPr>
      <w:r w:rsidRPr="00A06845">
        <w:rPr>
          <w:rFonts w:ascii="Times New Roman" w:eastAsia="Times New Roman" w:hAnsi="Times New Roman" w:cs="Times New Roman"/>
          <w:color w:val="000000" w:themeColor="text1"/>
          <w:sz w:val="24"/>
          <w:szCs w:val="24"/>
          <w:u w:val="single"/>
        </w:rPr>
        <w:t>SUMMARY OF PROPOSAL</w:t>
      </w:r>
    </w:p>
    <w:p w14:paraId="1AFDB9B6" w14:textId="38EB34C0" w:rsidR="0048440B" w:rsidRPr="006C5D2B" w:rsidRDefault="42756595" w:rsidP="006C5D2B">
      <w:pPr>
        <w:spacing w:line="480" w:lineRule="auto"/>
        <w:ind w:firstLine="720"/>
        <w:rPr>
          <w:sz w:val="24"/>
          <w:szCs w:val="24"/>
        </w:rPr>
      </w:pPr>
      <w:r w:rsidRPr="00A06845">
        <w:rPr>
          <w:rFonts w:ascii="Times New Roman" w:eastAsia="Times New Roman" w:hAnsi="Times New Roman" w:cs="Times New Roman"/>
          <w:color w:val="000000" w:themeColor="text1"/>
          <w:sz w:val="24"/>
          <w:szCs w:val="24"/>
        </w:rPr>
        <w:t>Pure Metal’s proposal calls for an amendment to t</w:t>
      </w:r>
      <w:r w:rsidRPr="009567BE">
        <w:rPr>
          <w:rFonts w:ascii="Times New Roman" w:eastAsia="Times New Roman" w:hAnsi="Times New Roman" w:cs="Times New Roman"/>
          <w:color w:val="000000" w:themeColor="text1"/>
          <w:sz w:val="24"/>
          <w:szCs w:val="24"/>
        </w:rPr>
        <w:t xml:space="preserve">he ECA (air &amp; noise) No. 5956-8ZUQ3K, which includes updates to the Facility’s equipment and emissions methodology. </w:t>
      </w:r>
      <w:r w:rsidR="00C75785">
        <w:rPr>
          <w:rFonts w:ascii="Times New Roman" w:eastAsia="Times New Roman" w:hAnsi="Times New Roman" w:cs="Times New Roman"/>
          <w:color w:val="000000" w:themeColor="text1"/>
          <w:sz w:val="24"/>
          <w:szCs w:val="24"/>
        </w:rPr>
        <w:t>When issued, t</w:t>
      </w:r>
      <w:r w:rsidRPr="009567BE">
        <w:rPr>
          <w:rFonts w:ascii="Times New Roman" w:eastAsia="Times New Roman" w:hAnsi="Times New Roman" w:cs="Times New Roman"/>
          <w:color w:val="000000" w:themeColor="text1"/>
          <w:sz w:val="24"/>
          <w:szCs w:val="24"/>
        </w:rPr>
        <w:t>he ECA</w:t>
      </w:r>
      <w:r w:rsidR="00C75785">
        <w:rPr>
          <w:rFonts w:ascii="Times New Roman" w:eastAsia="Times New Roman" w:hAnsi="Times New Roman" w:cs="Times New Roman"/>
          <w:color w:val="000000" w:themeColor="text1"/>
          <w:sz w:val="24"/>
          <w:szCs w:val="24"/>
        </w:rPr>
        <w:t xml:space="preserve"> </w:t>
      </w:r>
      <w:r w:rsidRPr="009567BE">
        <w:rPr>
          <w:rFonts w:ascii="Times New Roman" w:eastAsia="Times New Roman" w:hAnsi="Times New Roman" w:cs="Times New Roman"/>
          <w:color w:val="000000" w:themeColor="text1"/>
          <w:sz w:val="24"/>
          <w:szCs w:val="24"/>
        </w:rPr>
        <w:t>will permit modifications to the Facility subject to limits on operational flexibility that include a spe</w:t>
      </w:r>
      <w:r w:rsidRPr="006C5D2B">
        <w:rPr>
          <w:rFonts w:ascii="Times New Roman" w:eastAsia="Times New Roman" w:hAnsi="Times New Roman" w:cs="Times New Roman"/>
          <w:color w:val="000000" w:themeColor="text1"/>
          <w:sz w:val="24"/>
          <w:szCs w:val="24"/>
        </w:rPr>
        <w:t xml:space="preserve">cified production limit for the Facility. The proposal therefore involves considerations relating primarily to the emission sources from the Facility’s manufacturing and associated processes. The emission sources include galvanizing kettles, dust collectors, hydrochloric acid descaling tanks, natural gas-fired furnaces, boilers, and other equipment and ancillary processes, which taken together exhaust into the air suspended particulate matter, hydrochloric acid, ammonium chloride, zinc, and products of combustion such as nitrogen oxides. </w:t>
      </w:r>
    </w:p>
    <w:p w14:paraId="65D66F64" w14:textId="60322A12" w:rsidR="0048440B" w:rsidRPr="006C5D2B" w:rsidRDefault="192E4F77" w:rsidP="006C5D2B">
      <w:pPr>
        <w:spacing w:line="480" w:lineRule="auto"/>
        <w:ind w:firstLine="720"/>
        <w:rPr>
          <w:sz w:val="24"/>
          <w:szCs w:val="24"/>
        </w:rPr>
      </w:pPr>
      <w:r w:rsidRPr="00A06845">
        <w:rPr>
          <w:rFonts w:ascii="Times New Roman" w:eastAsia="Times New Roman" w:hAnsi="Times New Roman" w:cs="Times New Roman"/>
          <w:color w:val="000000" w:themeColor="text1"/>
          <w:sz w:val="24"/>
          <w:szCs w:val="24"/>
        </w:rPr>
        <w:t xml:space="preserve">An Emission Summary and Dispersion Modelling (ESDM) Report under </w:t>
      </w:r>
      <w:r w:rsidRPr="00A06845">
        <w:rPr>
          <w:rFonts w:ascii="Times New Roman" w:eastAsia="Times New Roman" w:hAnsi="Times New Roman" w:cs="Times New Roman"/>
          <w:i/>
          <w:iCs/>
          <w:color w:val="000000" w:themeColor="text1"/>
          <w:sz w:val="24"/>
          <w:szCs w:val="24"/>
        </w:rPr>
        <w:t xml:space="preserve">Ontario Regulation 419/05: Air Pollution – Local Air Quality </w:t>
      </w:r>
      <w:r w:rsidRPr="00A06845">
        <w:rPr>
          <w:rFonts w:ascii="Times New Roman" w:eastAsia="Times New Roman" w:hAnsi="Times New Roman" w:cs="Times New Roman"/>
          <w:color w:val="000000" w:themeColor="text1"/>
          <w:sz w:val="24"/>
          <w:szCs w:val="24"/>
        </w:rPr>
        <w:t>(O. Reg. 419/05) was prepared and submitted by</w:t>
      </w:r>
      <w:r w:rsidRPr="00A06845">
        <w:rPr>
          <w:rFonts w:ascii="Times New Roman" w:eastAsia="Times New Roman" w:hAnsi="Times New Roman" w:cs="Times New Roman"/>
          <w:b/>
          <w:bCs/>
          <w:color w:val="000000" w:themeColor="text1"/>
          <w:sz w:val="24"/>
          <w:szCs w:val="24"/>
        </w:rPr>
        <w:t xml:space="preserve"> </w:t>
      </w:r>
      <w:r w:rsidRPr="009567BE">
        <w:rPr>
          <w:rFonts w:ascii="Times New Roman" w:eastAsia="Times New Roman" w:hAnsi="Times New Roman" w:cs="Times New Roman"/>
          <w:color w:val="000000" w:themeColor="text1"/>
          <w:sz w:val="24"/>
          <w:szCs w:val="24"/>
        </w:rPr>
        <w:t>the applicant in support of an ECA application.</w:t>
      </w:r>
      <w:r w:rsidR="005E6C23">
        <w:rPr>
          <w:rStyle w:val="FootnoteReference"/>
          <w:rFonts w:ascii="Times New Roman" w:eastAsia="Times New Roman" w:hAnsi="Times New Roman" w:cs="Times New Roman"/>
          <w:color w:val="000000" w:themeColor="text1"/>
          <w:sz w:val="24"/>
          <w:szCs w:val="24"/>
        </w:rPr>
        <w:footnoteReference w:id="6"/>
      </w:r>
      <w:r w:rsidRPr="00A06845">
        <w:rPr>
          <w:rFonts w:ascii="Times New Roman" w:eastAsia="Times New Roman" w:hAnsi="Times New Roman" w:cs="Times New Roman"/>
          <w:color w:val="000000" w:themeColor="text1"/>
          <w:sz w:val="24"/>
          <w:szCs w:val="24"/>
        </w:rPr>
        <w:t xml:space="preserve"> The ESDM compiles dispersion </w:t>
      </w:r>
      <w:r w:rsidRPr="05E629FE">
        <w:rPr>
          <w:rFonts w:ascii="Times New Roman" w:eastAsia="Times New Roman" w:hAnsi="Times New Roman" w:cs="Times New Roman"/>
          <w:color w:val="000000" w:themeColor="text1"/>
          <w:sz w:val="24"/>
          <w:szCs w:val="24"/>
        </w:rPr>
        <w:t xml:space="preserve">modelling information and emission information </w:t>
      </w:r>
      <w:r w:rsidR="00624BCD">
        <w:rPr>
          <w:rFonts w:ascii="Times New Roman" w:eastAsia="Times New Roman" w:hAnsi="Times New Roman" w:cs="Times New Roman"/>
          <w:color w:val="000000" w:themeColor="text1"/>
          <w:sz w:val="24"/>
          <w:szCs w:val="24"/>
        </w:rPr>
        <w:t>in order to assess the environmental impact of project proposals</w:t>
      </w:r>
      <w:r w:rsidRPr="05E629FE">
        <w:rPr>
          <w:rFonts w:ascii="Times New Roman" w:eastAsia="Times New Roman" w:hAnsi="Times New Roman" w:cs="Times New Roman"/>
          <w:color w:val="000000" w:themeColor="text1"/>
          <w:sz w:val="24"/>
          <w:szCs w:val="24"/>
        </w:rPr>
        <w:t>.</w:t>
      </w:r>
      <w:r w:rsidR="005E6C23">
        <w:rPr>
          <w:rStyle w:val="FootnoteReference"/>
          <w:rFonts w:ascii="Times New Roman" w:eastAsia="Times New Roman" w:hAnsi="Times New Roman" w:cs="Times New Roman"/>
          <w:color w:val="000000" w:themeColor="text1"/>
          <w:sz w:val="24"/>
          <w:szCs w:val="24"/>
        </w:rPr>
        <w:footnoteReference w:id="7"/>
      </w:r>
      <w:r w:rsidRPr="00A06845">
        <w:rPr>
          <w:rFonts w:ascii="Times New Roman" w:eastAsia="Times New Roman" w:hAnsi="Times New Roman" w:cs="Times New Roman"/>
          <w:color w:val="000000" w:themeColor="text1"/>
          <w:sz w:val="24"/>
          <w:szCs w:val="24"/>
        </w:rPr>
        <w:t>Among the action items addressed in the ESDM report and ECA application are the submittal of an air ECA amendment</w:t>
      </w:r>
      <w:r w:rsidRPr="006C5D2B">
        <w:rPr>
          <w:rFonts w:ascii="Times New Roman" w:eastAsia="Times New Roman" w:hAnsi="Times New Roman" w:cs="Times New Roman"/>
          <w:color w:val="000000" w:themeColor="text1"/>
          <w:sz w:val="24"/>
          <w:szCs w:val="24"/>
        </w:rPr>
        <w:t xml:space="preserve"> application to the ministry for all changes to equipment with air discharges, as well as the identification of all emissions (including fugitive) </w:t>
      </w:r>
      <w:r w:rsidRPr="006C5D2B">
        <w:rPr>
          <w:rFonts w:ascii="Times New Roman" w:eastAsia="Times New Roman" w:hAnsi="Times New Roman" w:cs="Times New Roman"/>
          <w:color w:val="000000" w:themeColor="text1"/>
          <w:sz w:val="24"/>
          <w:szCs w:val="24"/>
        </w:rPr>
        <w:lastRenderedPageBreak/>
        <w:t>in accordance with the Ministry’s Guideline A-10: “Procedure for Preparing an Emission Summary and Dispersion Modelling Report” (ESDM Procedure Document).</w:t>
      </w:r>
      <w:r w:rsidR="00EA0303">
        <w:rPr>
          <w:rStyle w:val="FootnoteReference"/>
          <w:rFonts w:ascii="Times New Roman" w:eastAsia="Times New Roman" w:hAnsi="Times New Roman" w:cs="Times New Roman"/>
          <w:color w:val="000000" w:themeColor="text1"/>
          <w:sz w:val="24"/>
          <w:szCs w:val="24"/>
        </w:rPr>
        <w:footnoteReference w:id="8"/>
      </w:r>
      <w:r w:rsidR="005E6C23">
        <w:rPr>
          <w:rFonts w:ascii="Times New Roman" w:eastAsia="Times New Roman" w:hAnsi="Times New Roman" w:cs="Times New Roman"/>
          <w:color w:val="000000" w:themeColor="text1"/>
          <w:sz w:val="24"/>
          <w:szCs w:val="24"/>
        </w:rPr>
        <w:t xml:space="preserve"> </w:t>
      </w:r>
      <w:r w:rsidRPr="00A06845">
        <w:rPr>
          <w:rFonts w:ascii="Times New Roman" w:eastAsia="Times New Roman" w:hAnsi="Times New Roman" w:cs="Times New Roman"/>
          <w:color w:val="000000" w:themeColor="text1"/>
          <w:sz w:val="24"/>
          <w:szCs w:val="24"/>
        </w:rPr>
        <w:t>Moreover, the ESDM report states that the following changes are being made to the Facility:</w:t>
      </w:r>
    </w:p>
    <w:p w14:paraId="475AE29C" w14:textId="53B9855B" w:rsidR="0048440B" w:rsidRPr="00A06845" w:rsidRDefault="42756595" w:rsidP="006C5D2B">
      <w:pPr>
        <w:pStyle w:val="ListParagraph"/>
        <w:numPr>
          <w:ilvl w:val="0"/>
          <w:numId w:val="7"/>
        </w:numPr>
        <w:spacing w:line="480" w:lineRule="auto"/>
        <w:rPr>
          <w:rFonts w:eastAsiaTheme="minorEastAsia"/>
          <w:color w:val="000000" w:themeColor="text1"/>
          <w:sz w:val="24"/>
          <w:szCs w:val="24"/>
        </w:rPr>
      </w:pPr>
      <w:r w:rsidRPr="00A06845">
        <w:rPr>
          <w:rFonts w:ascii="Times New Roman" w:eastAsia="Times New Roman" w:hAnsi="Times New Roman" w:cs="Times New Roman"/>
          <w:color w:val="000000" w:themeColor="text1"/>
          <w:sz w:val="24"/>
          <w:szCs w:val="24"/>
        </w:rPr>
        <w:t>The removal of one (1) hydrochloric acid storage tank;</w:t>
      </w:r>
    </w:p>
    <w:p w14:paraId="2B3BBEDC" w14:textId="5D5467AE" w:rsidR="0048440B" w:rsidRPr="006C5D2B" w:rsidRDefault="42756595" w:rsidP="006C5D2B">
      <w:pPr>
        <w:pStyle w:val="ListParagraph"/>
        <w:numPr>
          <w:ilvl w:val="0"/>
          <w:numId w:val="7"/>
        </w:numPr>
        <w:spacing w:line="480" w:lineRule="auto"/>
        <w:rPr>
          <w:rFonts w:eastAsiaTheme="minorEastAsia"/>
          <w:color w:val="000000" w:themeColor="text1"/>
          <w:sz w:val="24"/>
          <w:szCs w:val="24"/>
        </w:rPr>
      </w:pPr>
      <w:r w:rsidRPr="00A06845">
        <w:rPr>
          <w:rFonts w:ascii="Times New Roman" w:eastAsia="Times New Roman" w:hAnsi="Times New Roman" w:cs="Times New Roman"/>
          <w:color w:val="000000" w:themeColor="text1"/>
          <w:sz w:val="24"/>
          <w:szCs w:val="24"/>
        </w:rPr>
        <w:t>The updates on the heat input rate for the emergency generator (Source ID</w:t>
      </w:r>
      <w:r w:rsidRPr="009567BE">
        <w:rPr>
          <w:rFonts w:ascii="Times New Roman" w:eastAsia="Times New Roman" w:hAnsi="Times New Roman" w:cs="Times New Roman"/>
          <w:color w:val="000000" w:themeColor="text1"/>
          <w:sz w:val="24"/>
          <w:szCs w:val="24"/>
        </w:rPr>
        <w:t>: 31);</w:t>
      </w:r>
    </w:p>
    <w:p w14:paraId="25E34DFC" w14:textId="64506CA6" w:rsidR="0048440B" w:rsidRPr="006C5D2B" w:rsidRDefault="42756595" w:rsidP="006C5D2B">
      <w:pPr>
        <w:pStyle w:val="ListParagraph"/>
        <w:numPr>
          <w:ilvl w:val="0"/>
          <w:numId w:val="7"/>
        </w:numPr>
        <w:spacing w:line="480" w:lineRule="auto"/>
        <w:rPr>
          <w:rFonts w:eastAsiaTheme="minorEastAsia"/>
          <w:color w:val="000000" w:themeColor="text1"/>
          <w:sz w:val="24"/>
          <w:szCs w:val="24"/>
        </w:rPr>
      </w:pPr>
      <w:r w:rsidRPr="006C5D2B">
        <w:rPr>
          <w:rFonts w:ascii="Times New Roman" w:eastAsia="Times New Roman" w:hAnsi="Times New Roman" w:cs="Times New Roman"/>
          <w:color w:val="000000" w:themeColor="text1"/>
          <w:sz w:val="24"/>
          <w:szCs w:val="24"/>
        </w:rPr>
        <w:t xml:space="preserve">Updated emissions methodology triggering a Maximum Ground Level Concentration </w:t>
      </w:r>
      <w:r w:rsidR="192E4F77" w:rsidRPr="006C5D2B">
        <w:rPr>
          <w:rFonts w:ascii="Times New Roman" w:eastAsia="Times New Roman" w:hAnsi="Times New Roman" w:cs="Times New Roman"/>
          <w:color w:val="000000" w:themeColor="text1"/>
          <w:sz w:val="24"/>
          <w:szCs w:val="24"/>
        </w:rPr>
        <w:t>Acceptability Request for Zinc Oxide; and</w:t>
      </w:r>
    </w:p>
    <w:p w14:paraId="606F3986" w14:textId="6834C25E" w:rsidR="0048440B" w:rsidRPr="006C5D2B" w:rsidRDefault="42756595" w:rsidP="006C5D2B">
      <w:pPr>
        <w:pStyle w:val="ListParagraph"/>
        <w:numPr>
          <w:ilvl w:val="0"/>
          <w:numId w:val="7"/>
        </w:numPr>
        <w:spacing w:line="480" w:lineRule="auto"/>
        <w:rPr>
          <w:sz w:val="24"/>
          <w:szCs w:val="24"/>
        </w:rPr>
      </w:pPr>
      <w:r w:rsidRPr="006C5D2B">
        <w:rPr>
          <w:rFonts w:ascii="Times New Roman" w:eastAsia="Times New Roman" w:hAnsi="Times New Roman" w:cs="Times New Roman"/>
          <w:color w:val="000000" w:themeColor="text1"/>
          <w:sz w:val="24"/>
          <w:szCs w:val="24"/>
        </w:rPr>
        <w:t>Correction to the previous Metallic Zinc Recovery (MZR) unit process description and emission calculations.</w:t>
      </w:r>
    </w:p>
    <w:p w14:paraId="3089C7E8" w14:textId="6163DC13" w:rsidR="05E629FE" w:rsidRDefault="192E4F77" w:rsidP="00CA1854">
      <w:pPr>
        <w:spacing w:line="480" w:lineRule="auto"/>
        <w:ind w:firstLine="720"/>
        <w:rPr>
          <w:rFonts w:ascii="Times New Roman" w:eastAsia="Times New Roman" w:hAnsi="Times New Roman" w:cs="Times New Roman"/>
          <w:color w:val="000000" w:themeColor="text1"/>
          <w:sz w:val="24"/>
          <w:szCs w:val="24"/>
        </w:rPr>
      </w:pPr>
      <w:r w:rsidRPr="00A06845">
        <w:rPr>
          <w:rFonts w:ascii="Times New Roman" w:eastAsia="Times New Roman" w:hAnsi="Times New Roman" w:cs="Times New Roman"/>
          <w:color w:val="000000" w:themeColor="text1"/>
          <w:sz w:val="24"/>
          <w:szCs w:val="24"/>
        </w:rPr>
        <w:t>Of the four changes being made to the Facility, our comment focuses principally on the third item regarding updated emissions methodology for Zinc Oxide. However, we intend to use this update to the Facility’s</w:t>
      </w:r>
      <w:r w:rsidRPr="006C5D2B">
        <w:rPr>
          <w:rFonts w:ascii="Times New Roman" w:eastAsia="Times New Roman" w:hAnsi="Times New Roman" w:cs="Times New Roman"/>
          <w:color w:val="000000" w:themeColor="text1"/>
          <w:sz w:val="24"/>
          <w:szCs w:val="24"/>
        </w:rPr>
        <w:t xml:space="preserve"> emissions methodology as a springboard </w:t>
      </w:r>
      <w:r w:rsidRPr="05E629FE">
        <w:rPr>
          <w:rFonts w:ascii="Times New Roman" w:eastAsia="Times New Roman" w:hAnsi="Times New Roman" w:cs="Times New Roman"/>
          <w:color w:val="000000" w:themeColor="text1"/>
          <w:sz w:val="24"/>
          <w:szCs w:val="24"/>
        </w:rPr>
        <w:t xml:space="preserve">for </w:t>
      </w:r>
      <w:r w:rsidR="2043147D" w:rsidRPr="05E629FE">
        <w:rPr>
          <w:rFonts w:ascii="Times New Roman" w:eastAsia="Times New Roman" w:hAnsi="Times New Roman" w:cs="Times New Roman"/>
          <w:color w:val="000000" w:themeColor="text1"/>
          <w:sz w:val="24"/>
          <w:szCs w:val="24"/>
        </w:rPr>
        <w:t>a broader critique of the methods and procedures used by the Ministry to estimate POI concentrations.</w:t>
      </w:r>
      <w:r w:rsidR="379ACCD2" w:rsidRPr="05E629FE">
        <w:rPr>
          <w:rFonts w:ascii="Times New Roman" w:eastAsia="Times New Roman" w:hAnsi="Times New Roman" w:cs="Times New Roman"/>
          <w:color w:val="000000" w:themeColor="text1"/>
          <w:sz w:val="24"/>
          <w:szCs w:val="24"/>
        </w:rPr>
        <w:t xml:space="preserve"> </w:t>
      </w:r>
      <w:r w:rsidRPr="006C5D2B">
        <w:rPr>
          <w:rFonts w:ascii="Times New Roman" w:eastAsia="Times New Roman" w:hAnsi="Times New Roman" w:cs="Times New Roman"/>
          <w:color w:val="000000" w:themeColor="text1"/>
          <w:sz w:val="24"/>
          <w:szCs w:val="24"/>
        </w:rPr>
        <w:t xml:space="preserve">Our discussion of the Ministry’s procedures will also touch upon the ESDM’s use of an ‘Upper Risk Threshold’ (URT) in its assessment of the Facility’s hydrochloric acid emissions. While this does not pertain directly to the proposed changes to the Facility, we feel that the use of </w:t>
      </w:r>
      <w:r w:rsidR="0804F7D1" w:rsidRPr="21AEBF39">
        <w:rPr>
          <w:rFonts w:ascii="Times New Roman" w:eastAsia="Times New Roman" w:hAnsi="Times New Roman" w:cs="Times New Roman"/>
          <w:color w:val="000000" w:themeColor="text1"/>
          <w:sz w:val="24"/>
          <w:szCs w:val="24"/>
        </w:rPr>
        <w:t>a</w:t>
      </w:r>
      <w:r w:rsidRPr="006C5D2B">
        <w:rPr>
          <w:rFonts w:ascii="Times New Roman" w:eastAsia="Times New Roman" w:hAnsi="Times New Roman" w:cs="Times New Roman"/>
          <w:color w:val="000000" w:themeColor="text1"/>
          <w:sz w:val="24"/>
          <w:szCs w:val="24"/>
        </w:rPr>
        <w:t xml:space="preserve"> URT </w:t>
      </w:r>
      <w:r w:rsidR="521B0B83" w:rsidRPr="05E629FE">
        <w:rPr>
          <w:rFonts w:ascii="Times New Roman" w:eastAsia="Times New Roman" w:hAnsi="Times New Roman" w:cs="Times New Roman"/>
          <w:color w:val="000000" w:themeColor="text1"/>
          <w:sz w:val="24"/>
          <w:szCs w:val="24"/>
        </w:rPr>
        <w:t>–</w:t>
      </w:r>
      <w:r w:rsidRPr="006C5D2B">
        <w:rPr>
          <w:rFonts w:ascii="Times New Roman" w:eastAsia="Times New Roman" w:hAnsi="Times New Roman" w:cs="Times New Roman"/>
          <w:color w:val="000000" w:themeColor="text1"/>
          <w:sz w:val="24"/>
          <w:szCs w:val="24"/>
        </w:rPr>
        <w:t xml:space="preserve"> a special emissions limit higher than the regulatory standard </w:t>
      </w:r>
      <w:r w:rsidR="756D218A" w:rsidRPr="05E629FE">
        <w:rPr>
          <w:rFonts w:ascii="Times New Roman" w:eastAsia="Times New Roman" w:hAnsi="Times New Roman" w:cs="Times New Roman"/>
          <w:color w:val="000000" w:themeColor="text1"/>
          <w:sz w:val="24"/>
          <w:szCs w:val="24"/>
        </w:rPr>
        <w:t>–</w:t>
      </w:r>
      <w:r w:rsidRPr="006C5D2B">
        <w:rPr>
          <w:rFonts w:ascii="Times New Roman" w:eastAsia="Times New Roman" w:hAnsi="Times New Roman" w:cs="Times New Roman"/>
          <w:color w:val="000000" w:themeColor="text1"/>
          <w:sz w:val="24"/>
          <w:szCs w:val="24"/>
        </w:rPr>
        <w:t xml:space="preserve"> merits addressing.</w:t>
      </w:r>
    </w:p>
    <w:p w14:paraId="7BD63AB9" w14:textId="240E0DC1" w:rsidR="0048440B" w:rsidRDefault="192E4F77" w:rsidP="2E2499BE">
      <w:pPr>
        <w:spacing w:line="276" w:lineRule="auto"/>
        <w:ind w:firstLine="720"/>
        <w:jc w:val="center"/>
        <w:rPr>
          <w:rFonts w:ascii="Times New Roman" w:eastAsia="Times New Roman" w:hAnsi="Times New Roman" w:cs="Times New Roman"/>
          <w:color w:val="000000" w:themeColor="text1"/>
          <w:sz w:val="24"/>
          <w:szCs w:val="24"/>
          <w:u w:val="single"/>
        </w:rPr>
      </w:pPr>
      <w:r w:rsidRPr="2E2499BE">
        <w:rPr>
          <w:rFonts w:ascii="Times New Roman" w:eastAsia="Times New Roman" w:hAnsi="Times New Roman" w:cs="Times New Roman"/>
          <w:color w:val="000000" w:themeColor="text1"/>
          <w:sz w:val="24"/>
          <w:szCs w:val="24"/>
          <w:u w:val="single"/>
        </w:rPr>
        <w:t>LEGAL</w:t>
      </w:r>
      <w:r w:rsidR="00435AF8">
        <w:rPr>
          <w:rFonts w:ascii="Times New Roman" w:eastAsia="Times New Roman" w:hAnsi="Times New Roman" w:cs="Times New Roman"/>
          <w:color w:val="000000" w:themeColor="text1"/>
          <w:sz w:val="24"/>
          <w:szCs w:val="24"/>
          <w:u w:val="single"/>
        </w:rPr>
        <w:t xml:space="preserve"> AND </w:t>
      </w:r>
      <w:r w:rsidRPr="2E2499BE">
        <w:rPr>
          <w:rFonts w:ascii="Times New Roman" w:eastAsia="Times New Roman" w:hAnsi="Times New Roman" w:cs="Times New Roman"/>
          <w:color w:val="000000" w:themeColor="text1"/>
          <w:sz w:val="24"/>
          <w:szCs w:val="24"/>
          <w:u w:val="single"/>
        </w:rPr>
        <w:t>POLICY IMPLICATIONS</w:t>
      </w:r>
    </w:p>
    <w:p w14:paraId="7C305AB5" w14:textId="4F7B519A" w:rsidR="00EA0303" w:rsidRPr="00753C4C" w:rsidRDefault="00EA0303" w:rsidP="00A87AB4">
      <w:pPr>
        <w:spacing w:after="0" w:line="480" w:lineRule="auto"/>
        <w:rPr>
          <w:rFonts w:ascii="Times New Roman" w:eastAsia="Times New Roman" w:hAnsi="Times New Roman" w:cs="Times New Roman"/>
          <w:b/>
          <w:bCs/>
          <w:i/>
          <w:iCs/>
          <w:color w:val="000000"/>
          <w:sz w:val="24"/>
          <w:szCs w:val="24"/>
        </w:rPr>
      </w:pPr>
      <w:r w:rsidRPr="00753C4C">
        <w:rPr>
          <w:rFonts w:ascii="Times New Roman" w:eastAsia="Times New Roman" w:hAnsi="Times New Roman" w:cs="Times New Roman"/>
          <w:b/>
          <w:bCs/>
          <w:i/>
          <w:iCs/>
          <w:color w:val="000000"/>
          <w:sz w:val="24"/>
          <w:szCs w:val="24"/>
        </w:rPr>
        <w:t>Proposal Process</w:t>
      </w:r>
    </w:p>
    <w:p w14:paraId="09116995" w14:textId="3FF54938" w:rsidR="00EA0303" w:rsidRPr="00643C0C" w:rsidRDefault="00551F19" w:rsidP="00A87AB4">
      <w:pPr>
        <w:spacing w:line="480" w:lineRule="auto"/>
      </w:pPr>
      <w:r>
        <w:rPr>
          <w:rFonts w:ascii="Times New Roman" w:eastAsia="Times New Roman" w:hAnsi="Times New Roman" w:cs="Times New Roman"/>
          <w:color w:val="000000"/>
          <w:sz w:val="24"/>
          <w:szCs w:val="24"/>
        </w:rPr>
        <w:tab/>
      </w:r>
      <w:r w:rsidR="6A06E01E" w:rsidRPr="39A6C97D">
        <w:rPr>
          <w:rFonts w:ascii="Times New Roman" w:eastAsia="Times New Roman" w:hAnsi="Times New Roman" w:cs="Times New Roman"/>
          <w:color w:val="000000" w:themeColor="text1"/>
          <w:sz w:val="24"/>
          <w:szCs w:val="24"/>
        </w:rPr>
        <w:t xml:space="preserve">In preparing and submitting its ESDM report, the applicant was required to adhere to the Ministry’s ESDM Procedure Document, which provides guidance on complying with the </w:t>
      </w:r>
      <w:r w:rsidR="6A06E01E" w:rsidRPr="39A6C97D">
        <w:rPr>
          <w:rFonts w:ascii="Times New Roman" w:eastAsia="Times New Roman" w:hAnsi="Times New Roman" w:cs="Times New Roman"/>
          <w:sz w:val="24"/>
          <w:szCs w:val="24"/>
        </w:rPr>
        <w:lastRenderedPageBreak/>
        <w:t xml:space="preserve">provisions relating to air pollution and the local air quality </w:t>
      </w:r>
      <w:r w:rsidR="6A06E01E" w:rsidRPr="39A6C97D">
        <w:rPr>
          <w:rFonts w:ascii="Times New Roman" w:eastAsia="Times New Roman" w:hAnsi="Times New Roman" w:cs="Times New Roman"/>
          <w:color w:val="000000" w:themeColor="text1"/>
          <w:sz w:val="24"/>
          <w:szCs w:val="24"/>
        </w:rPr>
        <w:t>contained in O. Reg. 419/05.</w:t>
      </w:r>
      <w:r w:rsidR="009A376C">
        <w:rPr>
          <w:rStyle w:val="FootnoteReference"/>
          <w:rFonts w:ascii="Times New Roman" w:eastAsia="Times New Roman" w:hAnsi="Times New Roman" w:cs="Times New Roman"/>
          <w:color w:val="000000" w:themeColor="text1"/>
          <w:sz w:val="24"/>
          <w:szCs w:val="24"/>
        </w:rPr>
        <w:footnoteReference w:id="9"/>
      </w:r>
      <w:r w:rsidR="6A06E01E" w:rsidRPr="39A6C97D">
        <w:rPr>
          <w:rFonts w:ascii="Times New Roman" w:eastAsia="Times New Roman" w:hAnsi="Times New Roman" w:cs="Times New Roman"/>
          <w:color w:val="000000" w:themeColor="text1"/>
          <w:sz w:val="24"/>
          <w:szCs w:val="24"/>
        </w:rPr>
        <w:t xml:space="preserve"> All ESDM reports are required to be prepared in accordance with section 26 of O. Reg. 419/05, which sets out the minimum requirements for assessing compliance with </w:t>
      </w:r>
      <w:r w:rsidR="009610E0">
        <w:rPr>
          <w:rFonts w:ascii="Times New Roman" w:eastAsia="Times New Roman" w:hAnsi="Times New Roman" w:cs="Times New Roman"/>
          <w:color w:val="000000" w:themeColor="text1"/>
          <w:sz w:val="24"/>
          <w:szCs w:val="24"/>
        </w:rPr>
        <w:t>M</w:t>
      </w:r>
      <w:r w:rsidR="6A06E01E" w:rsidRPr="39A6C97D">
        <w:rPr>
          <w:rFonts w:ascii="Times New Roman" w:eastAsia="Times New Roman" w:hAnsi="Times New Roman" w:cs="Times New Roman"/>
          <w:color w:val="000000" w:themeColor="text1"/>
          <w:sz w:val="24"/>
          <w:szCs w:val="24"/>
        </w:rPr>
        <w:t>inistry POI limits. As noted in the ESDM report, Zinc Oxide is not on the ACB list of the Ministry’s POI limits, nor is it listed in Table B-2B of the ESDM Procedure document</w:t>
      </w:r>
      <w:r w:rsidR="6225FBAD" w:rsidRPr="39A6C97D">
        <w:rPr>
          <w:rFonts w:ascii="Times New Roman" w:eastAsia="Times New Roman" w:hAnsi="Times New Roman" w:cs="Times New Roman"/>
          <w:color w:val="000000" w:themeColor="text1"/>
          <w:sz w:val="24"/>
          <w:szCs w:val="24"/>
        </w:rPr>
        <w:t>, meaning that it does not have a POI limit</w:t>
      </w:r>
      <w:r w:rsidR="009A376C">
        <w:rPr>
          <w:rFonts w:ascii="Times New Roman" w:eastAsia="Times New Roman" w:hAnsi="Times New Roman" w:cs="Times New Roman"/>
          <w:color w:val="000000" w:themeColor="text1"/>
          <w:sz w:val="24"/>
          <w:szCs w:val="24"/>
        </w:rPr>
        <w:t>.</w:t>
      </w:r>
      <w:r w:rsidR="009A376C">
        <w:rPr>
          <w:rStyle w:val="FootnoteReference"/>
          <w:rFonts w:ascii="Times New Roman" w:eastAsia="Times New Roman" w:hAnsi="Times New Roman" w:cs="Times New Roman"/>
          <w:color w:val="000000" w:themeColor="text1"/>
          <w:sz w:val="24"/>
          <w:szCs w:val="24"/>
        </w:rPr>
        <w:footnoteReference w:id="10"/>
      </w:r>
      <w:r w:rsidR="6A06E01E" w:rsidRPr="39A6C97D">
        <w:rPr>
          <w:rFonts w:ascii="Times New Roman" w:eastAsia="Times New Roman" w:hAnsi="Times New Roman" w:cs="Times New Roman"/>
          <w:color w:val="000000" w:themeColor="text1"/>
          <w:sz w:val="24"/>
          <w:szCs w:val="24"/>
        </w:rPr>
        <w:t xml:space="preserve"> </w:t>
      </w:r>
      <w:r w:rsidR="009610E0">
        <w:rPr>
          <w:rFonts w:ascii="Times New Roman" w:eastAsia="Times New Roman" w:hAnsi="Times New Roman" w:cs="Times New Roman"/>
          <w:color w:val="000000" w:themeColor="text1"/>
          <w:sz w:val="24"/>
          <w:szCs w:val="24"/>
        </w:rPr>
        <w:t xml:space="preserve">Therefore, </w:t>
      </w:r>
      <w:r w:rsidR="6A06E01E" w:rsidRPr="39A6C97D">
        <w:rPr>
          <w:rFonts w:ascii="Times New Roman" w:eastAsia="Times New Roman" w:hAnsi="Times New Roman" w:cs="Times New Roman"/>
          <w:color w:val="000000" w:themeColor="text1"/>
          <w:sz w:val="24"/>
          <w:szCs w:val="24"/>
        </w:rPr>
        <w:t>applicant</w:t>
      </w:r>
      <w:r w:rsidR="2FF82CD3" w:rsidRPr="39A6C97D">
        <w:rPr>
          <w:rFonts w:ascii="Times New Roman" w:eastAsia="Times New Roman" w:hAnsi="Times New Roman" w:cs="Times New Roman"/>
          <w:color w:val="000000" w:themeColor="text1"/>
          <w:sz w:val="24"/>
          <w:szCs w:val="24"/>
        </w:rPr>
        <w:t xml:space="preserve"> </w:t>
      </w:r>
      <w:r w:rsidR="27C4C13C" w:rsidRPr="39A6C97D">
        <w:rPr>
          <w:rFonts w:ascii="Times New Roman" w:eastAsia="Times New Roman" w:hAnsi="Times New Roman" w:cs="Times New Roman"/>
          <w:color w:val="000000" w:themeColor="text1"/>
          <w:sz w:val="24"/>
          <w:szCs w:val="24"/>
        </w:rPr>
        <w:t>can</w:t>
      </w:r>
      <w:r w:rsidR="6A06E01E" w:rsidRPr="39A6C97D">
        <w:rPr>
          <w:rFonts w:ascii="Times New Roman" w:eastAsia="Times New Roman" w:hAnsi="Times New Roman" w:cs="Times New Roman"/>
          <w:color w:val="000000" w:themeColor="text1"/>
          <w:sz w:val="24"/>
          <w:szCs w:val="24"/>
        </w:rPr>
        <w:t xml:space="preserve"> submit Form </w:t>
      </w:r>
      <w:r w:rsidR="6A06E01E" w:rsidRPr="004928AA">
        <w:rPr>
          <w:rFonts w:ascii="Times New Roman" w:eastAsia="Times New Roman" w:hAnsi="Times New Roman" w:cs="Times New Roman"/>
          <w:color w:val="000000" w:themeColor="text1"/>
          <w:sz w:val="24"/>
          <w:szCs w:val="24"/>
        </w:rPr>
        <w:t>4872E</w:t>
      </w:r>
      <w:r w:rsidR="464827B4" w:rsidRPr="004928AA">
        <w:rPr>
          <w:rFonts w:ascii="Times New Roman" w:eastAsia="Times New Roman" w:hAnsi="Times New Roman" w:cs="Times New Roman"/>
          <w:color w:val="000000" w:themeColor="text1"/>
          <w:sz w:val="24"/>
          <w:szCs w:val="24"/>
        </w:rPr>
        <w:t>,</w:t>
      </w:r>
      <w:r w:rsidR="00FE3FDD" w:rsidRPr="004928AA">
        <w:rPr>
          <w:rFonts w:ascii="Times New Roman" w:eastAsia="Times New Roman" w:hAnsi="Times New Roman" w:cs="Times New Roman"/>
          <w:color w:val="000000" w:themeColor="text1"/>
          <w:sz w:val="24"/>
          <w:szCs w:val="24"/>
        </w:rPr>
        <w:t xml:space="preserve"> which is </w:t>
      </w:r>
      <w:r w:rsidR="6A06E01E" w:rsidRPr="004928AA">
        <w:rPr>
          <w:rFonts w:ascii="Times New Roman" w:eastAsia="Times New Roman" w:hAnsi="Times New Roman" w:cs="Times New Roman"/>
          <w:color w:val="000000" w:themeColor="text1"/>
          <w:sz w:val="24"/>
          <w:szCs w:val="24"/>
        </w:rPr>
        <w:t>used when a contaminant with no Ministry POI Limit is identified as a part of an ESDM</w:t>
      </w:r>
      <w:r w:rsidR="39A6C97D" w:rsidRPr="004928AA">
        <w:rPr>
          <w:rFonts w:ascii="Times New Roman" w:eastAsia="Times New Roman" w:hAnsi="Times New Roman" w:cs="Times New Roman"/>
          <w:color w:val="000000" w:themeColor="text1"/>
          <w:sz w:val="24"/>
          <w:szCs w:val="24"/>
        </w:rPr>
        <w:t>.</w:t>
      </w:r>
      <w:r w:rsidR="009A376C">
        <w:rPr>
          <w:rStyle w:val="FootnoteReference"/>
          <w:rFonts w:ascii="Times New Roman" w:eastAsia="Times New Roman" w:hAnsi="Times New Roman" w:cs="Times New Roman"/>
          <w:color w:val="000000" w:themeColor="text1"/>
          <w:sz w:val="24"/>
          <w:szCs w:val="24"/>
        </w:rPr>
        <w:footnoteReference w:id="11"/>
      </w:r>
    </w:p>
    <w:p w14:paraId="7B2EDB6F" w14:textId="0D37E4CF" w:rsidR="00EA0303" w:rsidRPr="00753C4C" w:rsidRDefault="00EA0303" w:rsidP="00A87AB4">
      <w:pPr>
        <w:spacing w:after="0" w:line="480" w:lineRule="auto"/>
        <w:rPr>
          <w:rFonts w:ascii="Times New Roman" w:eastAsia="Times New Roman" w:hAnsi="Times New Roman" w:cs="Times New Roman"/>
          <w:b/>
          <w:bCs/>
          <w:i/>
          <w:iCs/>
          <w:color w:val="000000"/>
          <w:sz w:val="24"/>
          <w:szCs w:val="24"/>
        </w:rPr>
      </w:pPr>
      <w:r w:rsidRPr="00753C4C">
        <w:rPr>
          <w:rFonts w:ascii="Times New Roman" w:eastAsia="Times New Roman" w:hAnsi="Times New Roman" w:cs="Times New Roman"/>
          <w:b/>
          <w:i/>
          <w:color w:val="000000" w:themeColor="text1"/>
          <w:sz w:val="24"/>
          <w:szCs w:val="24"/>
        </w:rPr>
        <w:t xml:space="preserve">Setting Environmental Standards: Best Practices </w:t>
      </w:r>
    </w:p>
    <w:p w14:paraId="5063A935" w14:textId="18533B94" w:rsidR="008721EE" w:rsidRDefault="009610E0" w:rsidP="00A87AB4">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The creation of environmental standards</w:t>
      </w:r>
      <w:r w:rsidR="00EC75A9" w:rsidRPr="6141D06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can be grounded in</w:t>
      </w:r>
      <w:r w:rsidR="00EC75A9" w:rsidRPr="6141D069">
        <w:rPr>
          <w:rFonts w:ascii="Times New Roman" w:eastAsia="Times New Roman" w:hAnsi="Times New Roman" w:cs="Times New Roman"/>
          <w:color w:val="000000" w:themeColor="text1"/>
          <w:sz w:val="24"/>
          <w:szCs w:val="24"/>
        </w:rPr>
        <w:t xml:space="preserve"> three terms: standards, </w:t>
      </w:r>
      <w:r>
        <w:rPr>
          <w:rFonts w:ascii="Times New Roman" w:eastAsia="Times New Roman" w:hAnsi="Times New Roman" w:cs="Times New Roman"/>
          <w:color w:val="000000" w:themeColor="text1"/>
          <w:sz w:val="24"/>
          <w:szCs w:val="24"/>
        </w:rPr>
        <w:t xml:space="preserve">criteria </w:t>
      </w:r>
      <w:r w:rsidR="00EC75A9" w:rsidRPr="6141D069">
        <w:rPr>
          <w:rFonts w:ascii="Times New Roman" w:eastAsia="Times New Roman" w:hAnsi="Times New Roman" w:cs="Times New Roman"/>
          <w:color w:val="000000" w:themeColor="text1"/>
          <w:sz w:val="24"/>
          <w:szCs w:val="24"/>
        </w:rPr>
        <w:t xml:space="preserve">and objectives. While common knowledge would likely </w:t>
      </w:r>
      <w:r>
        <w:rPr>
          <w:rFonts w:ascii="Times New Roman" w:eastAsia="Times New Roman" w:hAnsi="Times New Roman" w:cs="Times New Roman"/>
          <w:color w:val="000000" w:themeColor="text1"/>
          <w:sz w:val="24"/>
          <w:szCs w:val="24"/>
        </w:rPr>
        <w:t>interpret the term</w:t>
      </w:r>
      <w:r w:rsidR="00EA0303" w:rsidRPr="6141D06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EA0303" w:rsidRPr="6141D069">
        <w:rPr>
          <w:rFonts w:ascii="Times New Roman" w:eastAsia="Times New Roman" w:hAnsi="Times New Roman" w:cs="Times New Roman"/>
          <w:color w:val="000000" w:themeColor="text1"/>
          <w:sz w:val="24"/>
          <w:szCs w:val="24"/>
        </w:rPr>
        <w:t>environmental standard</w:t>
      </w:r>
      <w:r>
        <w:rPr>
          <w:rFonts w:ascii="Times New Roman" w:eastAsia="Times New Roman" w:hAnsi="Times New Roman" w:cs="Times New Roman"/>
          <w:color w:val="000000" w:themeColor="text1"/>
          <w:sz w:val="24"/>
          <w:szCs w:val="24"/>
        </w:rPr>
        <w:t>”</w:t>
      </w:r>
      <w:r w:rsidR="00EA0303" w:rsidRPr="6141D069">
        <w:rPr>
          <w:rFonts w:ascii="Times New Roman" w:eastAsia="Times New Roman" w:hAnsi="Times New Roman" w:cs="Times New Roman"/>
          <w:color w:val="000000" w:themeColor="text1"/>
          <w:sz w:val="24"/>
          <w:szCs w:val="24"/>
        </w:rPr>
        <w:t xml:space="preserve"> as a </w:t>
      </w:r>
      <w:r w:rsidR="00EC75A9" w:rsidRPr="6141D069">
        <w:rPr>
          <w:rFonts w:ascii="Times New Roman" w:eastAsia="Times New Roman" w:hAnsi="Times New Roman" w:cs="Times New Roman"/>
          <w:color w:val="000000" w:themeColor="text1"/>
          <w:sz w:val="24"/>
          <w:szCs w:val="24"/>
        </w:rPr>
        <w:t>“</w:t>
      </w:r>
      <w:r w:rsidR="00EA0303" w:rsidRPr="6141D069">
        <w:rPr>
          <w:rFonts w:ascii="Times New Roman" w:eastAsia="Times New Roman" w:hAnsi="Times New Roman" w:cs="Times New Roman"/>
          <w:color w:val="000000" w:themeColor="text1"/>
          <w:sz w:val="24"/>
          <w:szCs w:val="24"/>
        </w:rPr>
        <w:t>legally enforceable specification on the amount of pollutant</w:t>
      </w:r>
      <w:r w:rsidR="00EC75A9" w:rsidRPr="6141D069">
        <w:rPr>
          <w:rFonts w:ascii="Times New Roman" w:eastAsia="Times New Roman" w:hAnsi="Times New Roman" w:cs="Times New Roman"/>
          <w:color w:val="000000" w:themeColor="text1"/>
          <w:sz w:val="24"/>
          <w:szCs w:val="24"/>
        </w:rPr>
        <w:t xml:space="preserve"> that may be discharged or present in the ambient medium”</w:t>
      </w:r>
      <w:r w:rsidR="00EC75A9">
        <w:rPr>
          <w:rStyle w:val="FootnoteReference"/>
          <w:rFonts w:ascii="Times New Roman" w:eastAsia="Times New Roman" w:hAnsi="Times New Roman" w:cs="Times New Roman"/>
          <w:color w:val="000000"/>
          <w:sz w:val="24"/>
          <w:szCs w:val="24"/>
        </w:rPr>
        <w:footnoteReference w:id="12"/>
      </w:r>
      <w:r w:rsidR="00EC75A9" w:rsidRPr="6141D069">
        <w:rPr>
          <w:rFonts w:ascii="Times New Roman" w:eastAsia="Times New Roman" w:hAnsi="Times New Roman" w:cs="Times New Roman"/>
          <w:color w:val="000000" w:themeColor="text1"/>
          <w:sz w:val="24"/>
          <w:szCs w:val="24"/>
        </w:rPr>
        <w:t xml:space="preserve">, this definition is not universally accepted. Using the interpretive framework </w:t>
      </w:r>
      <w:r w:rsidR="00EC75A9" w:rsidRPr="00315A33">
        <w:rPr>
          <w:rFonts w:ascii="Times New Roman" w:eastAsia="Times New Roman" w:hAnsi="Times New Roman" w:cs="Times New Roman"/>
          <w:color w:val="000000" w:themeColor="text1"/>
          <w:sz w:val="24"/>
          <w:szCs w:val="24"/>
        </w:rPr>
        <w:t xml:space="preserve">proposed by </w:t>
      </w:r>
      <w:r w:rsidR="00315A33" w:rsidRPr="00315A33">
        <w:rPr>
          <w:rFonts w:ascii="Times New Roman" w:eastAsia="Times New Roman" w:hAnsi="Times New Roman" w:cs="Times New Roman"/>
          <w:color w:val="000000" w:themeColor="text1"/>
          <w:sz w:val="24"/>
          <w:szCs w:val="24"/>
        </w:rPr>
        <w:t xml:space="preserve">RT </w:t>
      </w:r>
      <w:proofErr w:type="spellStart"/>
      <w:r w:rsidR="00EC75A9" w:rsidRPr="00315A33">
        <w:rPr>
          <w:rFonts w:ascii="Times New Roman" w:eastAsia="Times New Roman" w:hAnsi="Times New Roman" w:cs="Times New Roman"/>
          <w:color w:val="000000" w:themeColor="text1"/>
          <w:sz w:val="24"/>
          <w:szCs w:val="24"/>
        </w:rPr>
        <w:t>Franson</w:t>
      </w:r>
      <w:proofErr w:type="spellEnd"/>
      <w:r w:rsidR="00315A33" w:rsidRPr="00315A33">
        <w:rPr>
          <w:rFonts w:ascii="Times New Roman" w:eastAsia="Times New Roman" w:hAnsi="Times New Roman" w:cs="Times New Roman"/>
          <w:color w:val="000000" w:themeColor="text1"/>
          <w:sz w:val="24"/>
          <w:szCs w:val="24"/>
        </w:rPr>
        <w:t xml:space="preserve"> and</w:t>
      </w:r>
      <w:r w:rsidR="00315A33">
        <w:rPr>
          <w:rFonts w:ascii="Times New Roman" w:eastAsia="Times New Roman" w:hAnsi="Times New Roman" w:cs="Times New Roman"/>
          <w:color w:val="000000" w:themeColor="text1"/>
          <w:sz w:val="24"/>
          <w:szCs w:val="24"/>
        </w:rPr>
        <w:t xml:space="preserve"> AR Lucas</w:t>
      </w:r>
      <w:r w:rsidR="00EC75A9" w:rsidRPr="6141D069">
        <w:rPr>
          <w:rFonts w:ascii="Times New Roman" w:eastAsia="Times New Roman" w:hAnsi="Times New Roman" w:cs="Times New Roman"/>
          <w:color w:val="000000" w:themeColor="text1"/>
          <w:sz w:val="24"/>
          <w:szCs w:val="24"/>
        </w:rPr>
        <w:t>, we distinguish objectives, criteria and standards as independent, yet interconnected,</w:t>
      </w:r>
      <w:r>
        <w:rPr>
          <w:rFonts w:ascii="Times New Roman" w:eastAsia="Times New Roman" w:hAnsi="Times New Roman" w:cs="Times New Roman"/>
          <w:color w:val="000000" w:themeColor="text1"/>
          <w:sz w:val="24"/>
          <w:szCs w:val="24"/>
        </w:rPr>
        <w:t xml:space="preserve"> principles</w:t>
      </w:r>
      <w:r w:rsidR="00EC75A9" w:rsidRPr="6141D069">
        <w:rPr>
          <w:rFonts w:ascii="Times New Roman" w:eastAsia="Times New Roman" w:hAnsi="Times New Roman" w:cs="Times New Roman"/>
          <w:color w:val="000000" w:themeColor="text1"/>
          <w:sz w:val="24"/>
          <w:szCs w:val="24"/>
        </w:rPr>
        <w:t>.</w:t>
      </w:r>
      <w:r w:rsidR="00C04B71">
        <w:rPr>
          <w:rStyle w:val="FootnoteReference"/>
          <w:rFonts w:ascii="Times New Roman" w:eastAsia="Times New Roman" w:hAnsi="Times New Roman" w:cs="Times New Roman"/>
          <w:color w:val="000000" w:themeColor="text1"/>
          <w:sz w:val="24"/>
          <w:szCs w:val="24"/>
        </w:rPr>
        <w:footnoteReference w:id="13"/>
      </w:r>
      <w:r w:rsidR="00EC75A9" w:rsidRPr="6141D069">
        <w:rPr>
          <w:rFonts w:ascii="Times New Roman" w:eastAsia="Times New Roman" w:hAnsi="Times New Roman" w:cs="Times New Roman"/>
          <w:color w:val="000000" w:themeColor="text1"/>
          <w:sz w:val="24"/>
          <w:szCs w:val="24"/>
        </w:rPr>
        <w:t xml:space="preserve"> </w:t>
      </w:r>
      <w:r w:rsidR="008721EE" w:rsidRPr="6141D069">
        <w:rPr>
          <w:rFonts w:ascii="Times New Roman" w:eastAsia="Times New Roman" w:hAnsi="Times New Roman" w:cs="Times New Roman"/>
          <w:color w:val="000000" w:themeColor="text1"/>
          <w:sz w:val="24"/>
          <w:szCs w:val="24"/>
        </w:rPr>
        <w:t>“</w:t>
      </w:r>
      <w:r w:rsidR="00EC75A9" w:rsidRPr="6141D069">
        <w:rPr>
          <w:rFonts w:ascii="Times New Roman" w:eastAsia="Times New Roman" w:hAnsi="Times New Roman" w:cs="Times New Roman"/>
          <w:color w:val="000000" w:themeColor="text1"/>
          <w:sz w:val="24"/>
          <w:szCs w:val="24"/>
        </w:rPr>
        <w:t>Objectives</w:t>
      </w:r>
      <w:r w:rsidR="008721EE" w:rsidRPr="6141D069">
        <w:rPr>
          <w:rFonts w:ascii="Times New Roman" w:eastAsia="Times New Roman" w:hAnsi="Times New Roman" w:cs="Times New Roman"/>
          <w:color w:val="000000" w:themeColor="text1"/>
          <w:sz w:val="24"/>
          <w:szCs w:val="24"/>
        </w:rPr>
        <w:t>”</w:t>
      </w:r>
      <w:r w:rsidR="00EC75A9" w:rsidRPr="6141D069">
        <w:rPr>
          <w:rFonts w:ascii="Times New Roman" w:eastAsia="Times New Roman" w:hAnsi="Times New Roman" w:cs="Times New Roman"/>
          <w:color w:val="000000" w:themeColor="text1"/>
          <w:sz w:val="24"/>
          <w:szCs w:val="24"/>
        </w:rPr>
        <w:t xml:space="preserve"> are the </w:t>
      </w:r>
      <w:r w:rsidR="675B3314" w:rsidRPr="6141D069">
        <w:rPr>
          <w:rFonts w:ascii="Times New Roman" w:eastAsia="Times New Roman" w:hAnsi="Times New Roman" w:cs="Times New Roman"/>
          <w:color w:val="000000" w:themeColor="text1"/>
          <w:sz w:val="24"/>
          <w:szCs w:val="24"/>
        </w:rPr>
        <w:t>goal</w:t>
      </w:r>
      <w:r w:rsidR="7906E86B" w:rsidRPr="6141D069">
        <w:rPr>
          <w:rFonts w:ascii="Times New Roman" w:eastAsia="Times New Roman" w:hAnsi="Times New Roman" w:cs="Times New Roman"/>
          <w:color w:val="000000" w:themeColor="text1"/>
          <w:sz w:val="24"/>
          <w:szCs w:val="24"/>
        </w:rPr>
        <w:t>s</w:t>
      </w:r>
      <w:r w:rsidR="00EC75A9" w:rsidRPr="6141D069">
        <w:rPr>
          <w:rFonts w:ascii="Times New Roman" w:eastAsia="Times New Roman" w:hAnsi="Times New Roman" w:cs="Times New Roman"/>
          <w:color w:val="000000" w:themeColor="text1"/>
          <w:sz w:val="24"/>
          <w:szCs w:val="24"/>
        </w:rPr>
        <w:t xml:space="preserve"> or </w:t>
      </w:r>
      <w:r w:rsidR="675B3314" w:rsidRPr="6141D069">
        <w:rPr>
          <w:rFonts w:ascii="Times New Roman" w:eastAsia="Times New Roman" w:hAnsi="Times New Roman" w:cs="Times New Roman"/>
          <w:color w:val="000000" w:themeColor="text1"/>
          <w:sz w:val="24"/>
          <w:szCs w:val="24"/>
        </w:rPr>
        <w:t>purpose</w:t>
      </w:r>
      <w:r w:rsidR="6DAF67B7" w:rsidRPr="6141D069">
        <w:rPr>
          <w:rFonts w:ascii="Times New Roman" w:eastAsia="Times New Roman" w:hAnsi="Times New Roman" w:cs="Times New Roman"/>
          <w:color w:val="000000" w:themeColor="text1"/>
          <w:sz w:val="24"/>
          <w:szCs w:val="24"/>
        </w:rPr>
        <w:t>s</w:t>
      </w:r>
      <w:r w:rsidR="675B3314" w:rsidRPr="6141D069">
        <w:rPr>
          <w:rFonts w:ascii="Times New Roman" w:eastAsia="Times New Roman" w:hAnsi="Times New Roman" w:cs="Times New Roman"/>
          <w:color w:val="000000" w:themeColor="text1"/>
          <w:sz w:val="24"/>
          <w:szCs w:val="24"/>
        </w:rPr>
        <w:t xml:space="preserve"> </w:t>
      </w:r>
      <w:r w:rsidR="07C88996" w:rsidRPr="6141D069">
        <w:rPr>
          <w:rFonts w:ascii="Times New Roman" w:eastAsia="Times New Roman" w:hAnsi="Times New Roman" w:cs="Times New Roman"/>
          <w:color w:val="000000" w:themeColor="text1"/>
          <w:sz w:val="24"/>
          <w:szCs w:val="24"/>
        </w:rPr>
        <w:t xml:space="preserve">toward </w:t>
      </w:r>
      <w:r w:rsidR="33BE0BBB" w:rsidRPr="39A6C97D">
        <w:rPr>
          <w:rFonts w:ascii="Times New Roman" w:eastAsia="Times New Roman" w:hAnsi="Times New Roman" w:cs="Times New Roman"/>
          <w:color w:val="000000" w:themeColor="text1"/>
          <w:sz w:val="24"/>
          <w:szCs w:val="24"/>
        </w:rPr>
        <w:t>which</w:t>
      </w:r>
      <w:r w:rsidR="00EC75A9" w:rsidRPr="6141D069">
        <w:rPr>
          <w:rFonts w:ascii="Times New Roman" w:eastAsia="Times New Roman" w:hAnsi="Times New Roman" w:cs="Times New Roman"/>
          <w:color w:val="000000" w:themeColor="text1"/>
          <w:sz w:val="24"/>
          <w:szCs w:val="24"/>
        </w:rPr>
        <w:t xml:space="preserve"> an environmental control action is directed. “Criteria” </w:t>
      </w:r>
      <w:r w:rsidR="30C18885" w:rsidRPr="6141D069">
        <w:rPr>
          <w:rFonts w:ascii="Times New Roman" w:eastAsia="Times New Roman" w:hAnsi="Times New Roman" w:cs="Times New Roman"/>
          <w:color w:val="000000" w:themeColor="text1"/>
          <w:sz w:val="24"/>
          <w:szCs w:val="24"/>
        </w:rPr>
        <w:t xml:space="preserve">are </w:t>
      </w:r>
      <w:r w:rsidR="30C18885" w:rsidRPr="39A6C97D">
        <w:rPr>
          <w:rFonts w:ascii="Times New Roman" w:eastAsia="Times New Roman" w:hAnsi="Times New Roman" w:cs="Times New Roman"/>
          <w:color w:val="000000" w:themeColor="text1"/>
          <w:sz w:val="24"/>
          <w:szCs w:val="24"/>
        </w:rPr>
        <w:t>compi</w:t>
      </w:r>
      <w:r w:rsidR="0CEFE7DB" w:rsidRPr="39A6C97D">
        <w:rPr>
          <w:rFonts w:ascii="Times New Roman" w:eastAsia="Times New Roman" w:hAnsi="Times New Roman" w:cs="Times New Roman"/>
          <w:color w:val="000000" w:themeColor="text1"/>
          <w:sz w:val="24"/>
          <w:szCs w:val="24"/>
        </w:rPr>
        <w:t>l</w:t>
      </w:r>
      <w:r w:rsidR="30C18885" w:rsidRPr="6141D069">
        <w:rPr>
          <w:rFonts w:ascii="Times New Roman" w:eastAsia="Times New Roman" w:hAnsi="Times New Roman" w:cs="Times New Roman"/>
          <w:color w:val="000000" w:themeColor="text1"/>
          <w:sz w:val="24"/>
          <w:szCs w:val="24"/>
        </w:rPr>
        <w:t>ations</w:t>
      </w:r>
      <w:r w:rsidR="00EC75A9" w:rsidRPr="6141D069">
        <w:rPr>
          <w:rFonts w:ascii="Times New Roman" w:eastAsia="Times New Roman" w:hAnsi="Times New Roman" w:cs="Times New Roman"/>
          <w:color w:val="000000" w:themeColor="text1"/>
          <w:sz w:val="24"/>
          <w:szCs w:val="24"/>
        </w:rPr>
        <w:t xml:space="preserve"> of scientific data used to determine whether</w:t>
      </w:r>
      <w:r w:rsidR="008721EE" w:rsidRPr="6141D069">
        <w:rPr>
          <w:rFonts w:ascii="Times New Roman" w:eastAsia="Times New Roman" w:hAnsi="Times New Roman" w:cs="Times New Roman"/>
          <w:color w:val="000000" w:themeColor="text1"/>
          <w:sz w:val="24"/>
          <w:szCs w:val="24"/>
        </w:rPr>
        <w:t xml:space="preserve"> a certain quality of the environment would satisfy the determined objective. </w:t>
      </w:r>
      <w:r w:rsidR="78B4D113" w:rsidRPr="6141D069">
        <w:rPr>
          <w:rFonts w:ascii="Times New Roman" w:eastAsia="Times New Roman" w:hAnsi="Times New Roman" w:cs="Times New Roman"/>
          <w:color w:val="000000" w:themeColor="text1"/>
          <w:sz w:val="24"/>
          <w:szCs w:val="24"/>
        </w:rPr>
        <w:t>“Standard</w:t>
      </w:r>
      <w:r w:rsidR="3A2D48BF" w:rsidRPr="6141D069">
        <w:rPr>
          <w:rFonts w:ascii="Times New Roman" w:eastAsia="Times New Roman" w:hAnsi="Times New Roman" w:cs="Times New Roman"/>
          <w:color w:val="000000" w:themeColor="text1"/>
          <w:sz w:val="24"/>
          <w:szCs w:val="24"/>
        </w:rPr>
        <w:t>s</w:t>
      </w:r>
      <w:r w:rsidR="78B4D113" w:rsidRPr="6141D069">
        <w:rPr>
          <w:rFonts w:ascii="Times New Roman" w:eastAsia="Times New Roman" w:hAnsi="Times New Roman" w:cs="Times New Roman"/>
          <w:color w:val="000000" w:themeColor="text1"/>
          <w:sz w:val="24"/>
          <w:szCs w:val="24"/>
        </w:rPr>
        <w:t>” a</w:t>
      </w:r>
      <w:r w:rsidR="3DE8B459" w:rsidRPr="6141D069">
        <w:rPr>
          <w:rFonts w:ascii="Times New Roman" w:eastAsia="Times New Roman" w:hAnsi="Times New Roman" w:cs="Times New Roman"/>
          <w:color w:val="000000" w:themeColor="text1"/>
          <w:sz w:val="24"/>
          <w:szCs w:val="24"/>
        </w:rPr>
        <w:t>re</w:t>
      </w:r>
      <w:r w:rsidR="008721EE" w:rsidRPr="6141D069">
        <w:rPr>
          <w:rFonts w:ascii="Times New Roman" w:eastAsia="Times New Roman" w:hAnsi="Times New Roman" w:cs="Times New Roman"/>
          <w:color w:val="000000" w:themeColor="text1"/>
          <w:sz w:val="24"/>
          <w:szCs w:val="24"/>
        </w:rPr>
        <w:t xml:space="preserve"> prescribed </w:t>
      </w:r>
      <w:r w:rsidR="78B4D113" w:rsidRPr="6141D069">
        <w:rPr>
          <w:rFonts w:ascii="Times New Roman" w:eastAsia="Times New Roman" w:hAnsi="Times New Roman" w:cs="Times New Roman"/>
          <w:color w:val="000000" w:themeColor="text1"/>
          <w:sz w:val="24"/>
          <w:szCs w:val="24"/>
        </w:rPr>
        <w:t>set</w:t>
      </w:r>
      <w:r w:rsidR="5CCAC724" w:rsidRPr="6141D069">
        <w:rPr>
          <w:rFonts w:ascii="Times New Roman" w:eastAsia="Times New Roman" w:hAnsi="Times New Roman" w:cs="Times New Roman"/>
          <w:color w:val="000000" w:themeColor="text1"/>
          <w:sz w:val="24"/>
          <w:szCs w:val="24"/>
        </w:rPr>
        <w:t>s</w:t>
      </w:r>
      <w:r w:rsidR="008721EE" w:rsidRPr="6141D069">
        <w:rPr>
          <w:rFonts w:ascii="Times New Roman" w:eastAsia="Times New Roman" w:hAnsi="Times New Roman" w:cs="Times New Roman"/>
          <w:color w:val="000000" w:themeColor="text1"/>
          <w:sz w:val="24"/>
          <w:szCs w:val="24"/>
        </w:rPr>
        <w:t xml:space="preserve"> of values </w:t>
      </w:r>
      <w:r w:rsidR="008721EE" w:rsidRPr="6141D069">
        <w:rPr>
          <w:rFonts w:ascii="Times New Roman" w:eastAsia="Times New Roman" w:hAnsi="Times New Roman" w:cs="Times New Roman"/>
          <w:color w:val="000000" w:themeColor="text1"/>
          <w:sz w:val="24"/>
          <w:szCs w:val="24"/>
        </w:rPr>
        <w:lastRenderedPageBreak/>
        <w:t xml:space="preserve">(numerical or otherwise) to which individual cases will be compared in order to ensure regulatory compliance. </w:t>
      </w:r>
    </w:p>
    <w:p w14:paraId="38C75D5D" w14:textId="3D453079" w:rsidR="008721EE" w:rsidRDefault="008721EE" w:rsidP="39A6C97D">
      <w:pPr>
        <w:spacing w:after="0" w:line="480" w:lineRule="auto"/>
        <w:ind w:firstLine="720"/>
        <w:rPr>
          <w:rFonts w:ascii="Times New Roman" w:eastAsia="Times New Roman" w:hAnsi="Times New Roman" w:cs="Times New Roman"/>
          <w:color w:val="000000"/>
          <w:sz w:val="24"/>
          <w:szCs w:val="24"/>
        </w:rPr>
      </w:pPr>
      <w:r w:rsidRPr="6141D069">
        <w:rPr>
          <w:rFonts w:ascii="Times New Roman" w:eastAsia="Times New Roman" w:hAnsi="Times New Roman" w:cs="Times New Roman"/>
          <w:color w:val="000000" w:themeColor="text1"/>
          <w:sz w:val="24"/>
          <w:szCs w:val="24"/>
        </w:rPr>
        <w:t xml:space="preserve">The Report </w:t>
      </w:r>
      <w:r w:rsidR="009610E0">
        <w:rPr>
          <w:rFonts w:ascii="Times New Roman" w:eastAsia="Times New Roman" w:hAnsi="Times New Roman" w:cs="Times New Roman"/>
          <w:color w:val="000000" w:themeColor="text1"/>
          <w:sz w:val="24"/>
          <w:szCs w:val="24"/>
        </w:rPr>
        <w:t>requests</w:t>
      </w:r>
      <w:r w:rsidRPr="6141D069">
        <w:rPr>
          <w:rFonts w:ascii="Times New Roman" w:eastAsia="Times New Roman" w:hAnsi="Times New Roman" w:cs="Times New Roman"/>
          <w:color w:val="000000" w:themeColor="text1"/>
          <w:sz w:val="24"/>
          <w:szCs w:val="24"/>
        </w:rPr>
        <w:t xml:space="preserve"> </w:t>
      </w:r>
      <w:r w:rsidRPr="00466F44">
        <w:rPr>
          <w:rFonts w:ascii="Times New Roman" w:eastAsia="Times New Roman" w:hAnsi="Times New Roman" w:cs="Times New Roman"/>
          <w:color w:val="000000" w:themeColor="text1"/>
          <w:sz w:val="24"/>
          <w:szCs w:val="24"/>
        </w:rPr>
        <w:t xml:space="preserve">that the </w:t>
      </w:r>
      <w:r w:rsidR="5C3F26D4" w:rsidRPr="00466F44">
        <w:rPr>
          <w:rFonts w:ascii="Times New Roman" w:eastAsia="Times New Roman" w:hAnsi="Times New Roman" w:cs="Times New Roman"/>
          <w:color w:val="000000" w:themeColor="text1"/>
          <w:sz w:val="24"/>
          <w:szCs w:val="24"/>
        </w:rPr>
        <w:t>Ministry approve the Facility’s</w:t>
      </w:r>
      <w:r w:rsidRPr="00466F44">
        <w:rPr>
          <w:rFonts w:ascii="Times New Roman" w:eastAsia="Times New Roman" w:hAnsi="Times New Roman" w:cs="Times New Roman"/>
          <w:color w:val="000000" w:themeColor="text1"/>
          <w:sz w:val="24"/>
          <w:szCs w:val="24"/>
        </w:rPr>
        <w:t xml:space="preserve"> emissions </w:t>
      </w:r>
      <w:r w:rsidR="5C3F26D4" w:rsidRPr="00466F44">
        <w:rPr>
          <w:rFonts w:ascii="Times New Roman" w:eastAsia="Times New Roman" w:hAnsi="Times New Roman" w:cs="Times New Roman"/>
          <w:color w:val="000000" w:themeColor="text1"/>
          <w:sz w:val="24"/>
          <w:szCs w:val="24"/>
        </w:rPr>
        <w:t>of zinc oxide, which the report estimate</w:t>
      </w:r>
      <w:r w:rsidR="7FB96DFE" w:rsidRPr="00466F44">
        <w:rPr>
          <w:rFonts w:ascii="Times New Roman" w:eastAsia="Times New Roman" w:hAnsi="Times New Roman" w:cs="Times New Roman"/>
          <w:color w:val="000000" w:themeColor="text1"/>
          <w:sz w:val="24"/>
          <w:szCs w:val="24"/>
        </w:rPr>
        <w:t>s</w:t>
      </w:r>
      <w:r w:rsidR="5C3F26D4" w:rsidRPr="00466F44">
        <w:rPr>
          <w:rFonts w:ascii="Times New Roman" w:eastAsia="Times New Roman" w:hAnsi="Times New Roman" w:cs="Times New Roman"/>
          <w:color w:val="000000" w:themeColor="text1"/>
          <w:sz w:val="24"/>
          <w:szCs w:val="24"/>
        </w:rPr>
        <w:t xml:space="preserve"> at 3.61 micrograms</w:t>
      </w:r>
      <w:r w:rsidR="79122AA1" w:rsidRPr="00466F44">
        <w:rPr>
          <w:rFonts w:ascii="Times New Roman" w:eastAsia="Times New Roman" w:hAnsi="Times New Roman" w:cs="Times New Roman"/>
          <w:color w:val="000000" w:themeColor="text1"/>
          <w:sz w:val="24"/>
          <w:szCs w:val="24"/>
        </w:rPr>
        <w:t xml:space="preserve"> at the POI</w:t>
      </w:r>
      <w:r w:rsidR="6474C773" w:rsidRPr="00466F44">
        <w:rPr>
          <w:rFonts w:ascii="Times New Roman" w:eastAsia="Times New Roman" w:hAnsi="Times New Roman" w:cs="Times New Roman"/>
          <w:color w:val="000000" w:themeColor="text1"/>
          <w:sz w:val="24"/>
          <w:szCs w:val="24"/>
        </w:rPr>
        <w:t>.</w:t>
      </w:r>
      <w:r w:rsidRPr="39A6C97D">
        <w:rPr>
          <w:rStyle w:val="FootnoteReference"/>
          <w:rFonts w:ascii="Times New Roman" w:eastAsia="Times New Roman" w:hAnsi="Times New Roman" w:cs="Times New Roman"/>
          <w:color w:val="000000" w:themeColor="text1"/>
          <w:sz w:val="24"/>
          <w:szCs w:val="24"/>
        </w:rPr>
        <w:footnoteReference w:id="14"/>
      </w:r>
      <w:r w:rsidRPr="6141D069">
        <w:rPr>
          <w:rFonts w:ascii="Times New Roman" w:eastAsia="Times New Roman" w:hAnsi="Times New Roman" w:cs="Times New Roman"/>
          <w:color w:val="000000" w:themeColor="text1"/>
          <w:sz w:val="24"/>
          <w:szCs w:val="24"/>
        </w:rPr>
        <w:t xml:space="preserve"> </w:t>
      </w:r>
      <w:r w:rsidR="009610E0">
        <w:rPr>
          <w:rFonts w:ascii="Times New Roman" w:eastAsia="Times New Roman" w:hAnsi="Times New Roman" w:cs="Times New Roman"/>
          <w:color w:val="000000" w:themeColor="text1"/>
          <w:sz w:val="24"/>
          <w:szCs w:val="24"/>
        </w:rPr>
        <w:t>In assessing this figure, it is necessary</w:t>
      </w:r>
      <w:r w:rsidRPr="6141D069">
        <w:rPr>
          <w:rFonts w:ascii="Times New Roman" w:eastAsia="Times New Roman" w:hAnsi="Times New Roman" w:cs="Times New Roman"/>
          <w:color w:val="000000" w:themeColor="text1"/>
          <w:sz w:val="24"/>
          <w:szCs w:val="24"/>
        </w:rPr>
        <w:t xml:space="preserve"> </w:t>
      </w:r>
      <w:r w:rsidR="009610E0">
        <w:rPr>
          <w:rFonts w:ascii="Times New Roman" w:eastAsia="Times New Roman" w:hAnsi="Times New Roman" w:cs="Times New Roman"/>
          <w:color w:val="000000" w:themeColor="text1"/>
          <w:sz w:val="24"/>
          <w:szCs w:val="24"/>
        </w:rPr>
        <w:t xml:space="preserve">to consider </w:t>
      </w:r>
      <w:r w:rsidRPr="6141D069">
        <w:rPr>
          <w:rFonts w:ascii="Times New Roman" w:eastAsia="Times New Roman" w:hAnsi="Times New Roman" w:cs="Times New Roman"/>
          <w:color w:val="000000" w:themeColor="text1"/>
          <w:sz w:val="24"/>
          <w:szCs w:val="24"/>
        </w:rPr>
        <w:t xml:space="preserve">whether appropriate deliberation was undertaken to determine </w:t>
      </w:r>
      <w:r w:rsidR="009610E0">
        <w:rPr>
          <w:rFonts w:ascii="Times New Roman" w:eastAsia="Times New Roman" w:hAnsi="Times New Roman" w:cs="Times New Roman"/>
          <w:color w:val="000000" w:themeColor="text1"/>
          <w:sz w:val="24"/>
          <w:szCs w:val="24"/>
        </w:rPr>
        <w:t>whether the proposed emissions number achieves</w:t>
      </w:r>
      <w:r w:rsidRPr="6141D069">
        <w:rPr>
          <w:rFonts w:ascii="Times New Roman" w:eastAsia="Times New Roman" w:hAnsi="Times New Roman" w:cs="Times New Roman"/>
          <w:color w:val="000000" w:themeColor="text1"/>
          <w:sz w:val="24"/>
          <w:szCs w:val="24"/>
        </w:rPr>
        <w:t xml:space="preserve"> the </w:t>
      </w:r>
      <w:r w:rsidR="009610E0">
        <w:rPr>
          <w:rFonts w:ascii="Times New Roman" w:eastAsia="Times New Roman" w:hAnsi="Times New Roman" w:cs="Times New Roman"/>
          <w:color w:val="000000" w:themeColor="text1"/>
          <w:sz w:val="24"/>
          <w:szCs w:val="24"/>
        </w:rPr>
        <w:t xml:space="preserve">broader </w:t>
      </w:r>
      <w:r w:rsidRPr="6141D069">
        <w:rPr>
          <w:rFonts w:ascii="Times New Roman" w:eastAsia="Times New Roman" w:hAnsi="Times New Roman" w:cs="Times New Roman"/>
          <w:color w:val="000000" w:themeColor="text1"/>
          <w:sz w:val="24"/>
          <w:szCs w:val="24"/>
        </w:rPr>
        <w:t>objective of</w:t>
      </w:r>
      <w:r w:rsidR="00006F6F">
        <w:rPr>
          <w:rFonts w:ascii="Times New Roman" w:eastAsia="Times New Roman" w:hAnsi="Times New Roman" w:cs="Times New Roman"/>
          <w:color w:val="000000" w:themeColor="text1"/>
          <w:sz w:val="24"/>
          <w:szCs w:val="24"/>
        </w:rPr>
        <w:t xml:space="preserve"> </w:t>
      </w:r>
      <w:r w:rsidR="00FF1050">
        <w:rPr>
          <w:rFonts w:ascii="Times New Roman" w:eastAsia="Times New Roman" w:hAnsi="Times New Roman" w:cs="Times New Roman"/>
          <w:color w:val="000000" w:themeColor="text1"/>
          <w:sz w:val="24"/>
          <w:szCs w:val="24"/>
        </w:rPr>
        <w:t>sustainable development</w:t>
      </w:r>
      <w:r w:rsidR="009610E0">
        <w:rPr>
          <w:rFonts w:ascii="Times New Roman" w:eastAsia="Times New Roman" w:hAnsi="Times New Roman" w:cs="Times New Roman"/>
          <w:color w:val="000000" w:themeColor="text1"/>
          <w:sz w:val="24"/>
          <w:szCs w:val="24"/>
        </w:rPr>
        <w:t xml:space="preserve"> and emission regulations</w:t>
      </w:r>
      <w:r w:rsidR="00D65F49">
        <w:rPr>
          <w:rFonts w:ascii="Times New Roman" w:eastAsia="Times New Roman" w:hAnsi="Times New Roman" w:cs="Times New Roman"/>
          <w:color w:val="000000" w:themeColor="text1"/>
          <w:sz w:val="24"/>
          <w:szCs w:val="24"/>
        </w:rPr>
        <w:t xml:space="preserve">. </w:t>
      </w:r>
      <w:r w:rsidRPr="6141D069">
        <w:rPr>
          <w:rFonts w:ascii="Times New Roman" w:eastAsia="Times New Roman" w:hAnsi="Times New Roman" w:cs="Times New Roman"/>
          <w:color w:val="000000" w:themeColor="text1"/>
          <w:sz w:val="24"/>
          <w:szCs w:val="24"/>
        </w:rPr>
        <w:t xml:space="preserve">It is suggested that the technical </w:t>
      </w:r>
      <w:r w:rsidR="00D65F49">
        <w:rPr>
          <w:rFonts w:ascii="Times New Roman" w:eastAsia="Times New Roman" w:hAnsi="Times New Roman" w:cs="Times New Roman"/>
          <w:color w:val="000000" w:themeColor="text1"/>
          <w:sz w:val="24"/>
          <w:szCs w:val="24"/>
        </w:rPr>
        <w:t xml:space="preserve">process of </w:t>
      </w:r>
      <w:r w:rsidRPr="6141D069">
        <w:rPr>
          <w:rFonts w:ascii="Times New Roman" w:eastAsia="Times New Roman" w:hAnsi="Times New Roman" w:cs="Times New Roman"/>
          <w:color w:val="000000" w:themeColor="text1"/>
          <w:sz w:val="24"/>
          <w:szCs w:val="24"/>
        </w:rPr>
        <w:t>standard</w:t>
      </w:r>
      <w:r w:rsidR="009610E0">
        <w:rPr>
          <w:rFonts w:ascii="Times New Roman" w:eastAsia="Times New Roman" w:hAnsi="Times New Roman" w:cs="Times New Roman"/>
          <w:color w:val="000000" w:themeColor="text1"/>
          <w:sz w:val="24"/>
          <w:szCs w:val="24"/>
        </w:rPr>
        <w:t>-</w:t>
      </w:r>
      <w:r w:rsidRPr="6141D069">
        <w:rPr>
          <w:rFonts w:ascii="Times New Roman" w:eastAsia="Times New Roman" w:hAnsi="Times New Roman" w:cs="Times New Roman"/>
          <w:color w:val="000000" w:themeColor="text1"/>
          <w:sz w:val="24"/>
          <w:szCs w:val="24"/>
        </w:rPr>
        <w:t>setting ought to involve:</w:t>
      </w:r>
    </w:p>
    <w:p w14:paraId="7F32777A" w14:textId="7B62121D" w:rsidR="008721EE" w:rsidRDefault="008721EE" w:rsidP="00466F44">
      <w:pPr>
        <w:pStyle w:val="ListParagraph"/>
        <w:numPr>
          <w:ilvl w:val="0"/>
          <w:numId w:val="9"/>
        </w:numPr>
        <w:spacing w:after="0" w:line="480" w:lineRule="auto"/>
        <w:rPr>
          <w:rFonts w:ascii="Times New Roman" w:eastAsia="Times New Roman" w:hAnsi="Times New Roman" w:cs="Times New Roman"/>
          <w:color w:val="000000"/>
          <w:sz w:val="24"/>
          <w:szCs w:val="24"/>
        </w:rPr>
      </w:pPr>
      <w:r w:rsidRPr="5692BC35">
        <w:rPr>
          <w:rFonts w:ascii="Times New Roman" w:eastAsia="Times New Roman" w:hAnsi="Times New Roman" w:cs="Times New Roman"/>
          <w:color w:val="000000" w:themeColor="text1"/>
          <w:sz w:val="24"/>
          <w:szCs w:val="24"/>
        </w:rPr>
        <w:t>Identification of uses of the ambient resources to be protected or objectives to be met;</w:t>
      </w:r>
    </w:p>
    <w:p w14:paraId="7C5DD3D3" w14:textId="6F1914DE" w:rsidR="008721EE" w:rsidRDefault="008721EE" w:rsidP="00466F44">
      <w:pPr>
        <w:pStyle w:val="ListParagraph"/>
        <w:numPr>
          <w:ilvl w:val="0"/>
          <w:numId w:val="9"/>
        </w:numPr>
        <w:spacing w:after="0" w:line="480" w:lineRule="auto"/>
        <w:rPr>
          <w:rFonts w:ascii="Times New Roman" w:eastAsia="Times New Roman" w:hAnsi="Times New Roman" w:cs="Times New Roman"/>
          <w:color w:val="000000"/>
          <w:sz w:val="24"/>
          <w:szCs w:val="24"/>
        </w:rPr>
      </w:pPr>
      <w:r w:rsidRPr="5692BC35">
        <w:rPr>
          <w:rFonts w:ascii="Times New Roman" w:eastAsia="Times New Roman" w:hAnsi="Times New Roman" w:cs="Times New Roman"/>
          <w:color w:val="000000" w:themeColor="text1"/>
          <w:sz w:val="24"/>
          <w:szCs w:val="24"/>
        </w:rPr>
        <w:t xml:space="preserve">Formulation of criteria through collection and or generation of scientific information; </w:t>
      </w:r>
    </w:p>
    <w:p w14:paraId="3042851B" w14:textId="53BF7770" w:rsidR="008721EE" w:rsidRDefault="008721EE" w:rsidP="00466F44">
      <w:pPr>
        <w:pStyle w:val="ListParagraph"/>
        <w:numPr>
          <w:ilvl w:val="0"/>
          <w:numId w:val="9"/>
        </w:numPr>
        <w:spacing w:after="0" w:line="480" w:lineRule="auto"/>
        <w:rPr>
          <w:rFonts w:ascii="Times New Roman" w:eastAsia="Times New Roman" w:hAnsi="Times New Roman" w:cs="Times New Roman"/>
          <w:color w:val="000000"/>
          <w:sz w:val="24"/>
          <w:szCs w:val="24"/>
        </w:rPr>
      </w:pPr>
      <w:r w:rsidRPr="5692BC35">
        <w:rPr>
          <w:rFonts w:ascii="Times New Roman" w:eastAsia="Times New Roman" w:hAnsi="Times New Roman" w:cs="Times New Roman"/>
          <w:color w:val="000000" w:themeColor="text1"/>
          <w:sz w:val="24"/>
          <w:szCs w:val="24"/>
        </w:rPr>
        <w:t xml:space="preserve">Formulation of ambient quality standards from the criteria; </w:t>
      </w:r>
    </w:p>
    <w:p w14:paraId="7355F6A0" w14:textId="79412FB5" w:rsidR="008721EE" w:rsidRDefault="008721EE" w:rsidP="00466F44">
      <w:pPr>
        <w:pStyle w:val="ListParagraph"/>
        <w:numPr>
          <w:ilvl w:val="0"/>
          <w:numId w:val="9"/>
        </w:numPr>
        <w:spacing w:after="0" w:line="480" w:lineRule="auto"/>
        <w:rPr>
          <w:rFonts w:ascii="Times New Roman" w:eastAsia="Times New Roman" w:hAnsi="Times New Roman" w:cs="Times New Roman"/>
          <w:color w:val="000000"/>
          <w:sz w:val="24"/>
          <w:szCs w:val="24"/>
        </w:rPr>
      </w:pPr>
      <w:r w:rsidRPr="5692BC35">
        <w:rPr>
          <w:rFonts w:ascii="Times New Roman" w:eastAsia="Times New Roman" w:hAnsi="Times New Roman" w:cs="Times New Roman"/>
          <w:color w:val="000000" w:themeColor="text1"/>
          <w:sz w:val="24"/>
          <w:szCs w:val="24"/>
        </w:rPr>
        <w:t xml:space="preserve">Development of effluent standards for discharges into the environment that will produce a quality meeting the ambient standard; </w:t>
      </w:r>
    </w:p>
    <w:p w14:paraId="54D02CBC" w14:textId="7E9ADDBA" w:rsidR="008721EE" w:rsidRDefault="0036548D" w:rsidP="00466F44">
      <w:pPr>
        <w:pStyle w:val="ListParagraph"/>
        <w:numPr>
          <w:ilvl w:val="0"/>
          <w:numId w:val="9"/>
        </w:numPr>
        <w:spacing w:after="0" w:line="480" w:lineRule="auto"/>
        <w:rPr>
          <w:rFonts w:ascii="Times New Roman" w:eastAsia="Times New Roman" w:hAnsi="Times New Roman" w:cs="Times New Roman"/>
          <w:color w:val="000000"/>
          <w:sz w:val="24"/>
          <w:szCs w:val="24"/>
        </w:rPr>
      </w:pPr>
      <w:r w:rsidRPr="39A6C97D">
        <w:rPr>
          <w:rFonts w:ascii="Times New Roman" w:eastAsia="Times New Roman" w:hAnsi="Times New Roman" w:cs="Times New Roman"/>
          <w:color w:val="000000" w:themeColor="text1"/>
          <w:sz w:val="24"/>
          <w:szCs w:val="24"/>
        </w:rPr>
        <w:t>Development</w:t>
      </w:r>
      <w:r w:rsidR="008721EE" w:rsidRPr="39A6C97D">
        <w:rPr>
          <w:rFonts w:ascii="Times New Roman" w:eastAsia="Times New Roman" w:hAnsi="Times New Roman" w:cs="Times New Roman"/>
          <w:color w:val="000000" w:themeColor="text1"/>
          <w:sz w:val="24"/>
          <w:szCs w:val="24"/>
        </w:rPr>
        <w:t xml:space="preserve"> of monitoring and other information gathering programs that will refine the data inputs to the previous steps and provide feedb</w:t>
      </w:r>
      <w:r w:rsidRPr="39A6C97D">
        <w:rPr>
          <w:rFonts w:ascii="Times New Roman" w:eastAsia="Times New Roman" w:hAnsi="Times New Roman" w:cs="Times New Roman"/>
          <w:color w:val="000000" w:themeColor="text1"/>
          <w:sz w:val="24"/>
          <w:szCs w:val="24"/>
        </w:rPr>
        <w:t>a</w:t>
      </w:r>
      <w:r w:rsidR="008721EE" w:rsidRPr="39A6C97D">
        <w:rPr>
          <w:rFonts w:ascii="Times New Roman" w:eastAsia="Times New Roman" w:hAnsi="Times New Roman" w:cs="Times New Roman"/>
          <w:color w:val="000000" w:themeColor="text1"/>
          <w:sz w:val="24"/>
          <w:szCs w:val="24"/>
        </w:rPr>
        <w:t>ck on whether the object</w:t>
      </w:r>
      <w:r w:rsidRPr="39A6C97D">
        <w:rPr>
          <w:rFonts w:ascii="Times New Roman" w:eastAsia="Times New Roman" w:hAnsi="Times New Roman" w:cs="Times New Roman"/>
          <w:color w:val="000000" w:themeColor="text1"/>
          <w:sz w:val="24"/>
          <w:szCs w:val="24"/>
        </w:rPr>
        <w:t>i</w:t>
      </w:r>
      <w:r w:rsidR="008721EE" w:rsidRPr="39A6C97D">
        <w:rPr>
          <w:rFonts w:ascii="Times New Roman" w:eastAsia="Times New Roman" w:hAnsi="Times New Roman" w:cs="Times New Roman"/>
          <w:color w:val="000000" w:themeColor="text1"/>
          <w:sz w:val="24"/>
          <w:szCs w:val="24"/>
        </w:rPr>
        <w:t>ves are being met.</w:t>
      </w:r>
      <w:r w:rsidR="008721EE">
        <w:rPr>
          <w:rStyle w:val="FootnoteReference"/>
          <w:rFonts w:ascii="Times New Roman" w:eastAsia="Times New Roman" w:hAnsi="Times New Roman" w:cs="Times New Roman"/>
          <w:color w:val="000000"/>
          <w:sz w:val="24"/>
          <w:szCs w:val="24"/>
        </w:rPr>
        <w:footnoteReference w:id="15"/>
      </w:r>
    </w:p>
    <w:p w14:paraId="65B91FB0" w14:textId="6AF88D7B" w:rsidR="009254FF" w:rsidRPr="00D65F49" w:rsidRDefault="008721EE" w:rsidP="00D65F49">
      <w:pPr>
        <w:spacing w:line="480" w:lineRule="auto"/>
        <w:ind w:firstLine="720"/>
        <w:rPr>
          <w:rFonts w:ascii="Times New Roman" w:eastAsia="Times New Roman" w:hAnsi="Times New Roman" w:cs="Times New Roman"/>
          <w:color w:val="000000"/>
          <w:sz w:val="24"/>
          <w:szCs w:val="24"/>
          <w:lang w:val="en-CA"/>
        </w:rPr>
      </w:pPr>
      <w:r w:rsidRPr="6141D069">
        <w:rPr>
          <w:rFonts w:ascii="Times New Roman" w:eastAsia="Times New Roman" w:hAnsi="Times New Roman" w:cs="Times New Roman"/>
          <w:color w:val="000000" w:themeColor="text1"/>
          <w:sz w:val="24"/>
          <w:szCs w:val="24"/>
        </w:rPr>
        <w:t xml:space="preserve">If the proposed zinc oxide emission standard is taken </w:t>
      </w:r>
      <w:r w:rsidR="0036548D" w:rsidRPr="6141D069">
        <w:rPr>
          <w:rFonts w:ascii="Times New Roman" w:eastAsia="Times New Roman" w:hAnsi="Times New Roman" w:cs="Times New Roman"/>
          <w:color w:val="000000" w:themeColor="text1"/>
          <w:sz w:val="24"/>
          <w:szCs w:val="24"/>
        </w:rPr>
        <w:t xml:space="preserve">under advisement without </w:t>
      </w:r>
      <w:r w:rsidR="009610E0">
        <w:rPr>
          <w:rFonts w:ascii="Times New Roman" w:eastAsia="Times New Roman" w:hAnsi="Times New Roman" w:cs="Times New Roman"/>
          <w:color w:val="000000" w:themeColor="text1"/>
          <w:sz w:val="24"/>
          <w:szCs w:val="24"/>
        </w:rPr>
        <w:t xml:space="preserve">the opportunity for </w:t>
      </w:r>
      <w:r w:rsidR="0036548D" w:rsidRPr="6141D069">
        <w:rPr>
          <w:rFonts w:ascii="Times New Roman" w:eastAsia="Times New Roman" w:hAnsi="Times New Roman" w:cs="Times New Roman"/>
          <w:color w:val="000000" w:themeColor="text1"/>
          <w:sz w:val="24"/>
          <w:szCs w:val="24"/>
        </w:rPr>
        <w:t xml:space="preserve">additional consultation or feedback, the Ministry </w:t>
      </w:r>
      <w:r w:rsidR="0F0B65FB" w:rsidRPr="6141D069">
        <w:rPr>
          <w:rFonts w:ascii="Times New Roman" w:eastAsia="Times New Roman" w:hAnsi="Times New Roman" w:cs="Times New Roman"/>
          <w:color w:val="000000" w:themeColor="text1"/>
          <w:sz w:val="24"/>
          <w:szCs w:val="24"/>
        </w:rPr>
        <w:t>should</w:t>
      </w:r>
      <w:r w:rsidR="0036548D" w:rsidRPr="6141D069">
        <w:rPr>
          <w:rFonts w:ascii="Times New Roman" w:eastAsia="Times New Roman" w:hAnsi="Times New Roman" w:cs="Times New Roman"/>
          <w:color w:val="000000" w:themeColor="text1"/>
          <w:sz w:val="24"/>
          <w:szCs w:val="24"/>
        </w:rPr>
        <w:t xml:space="preserve"> consider whether </w:t>
      </w:r>
      <w:r w:rsidR="009610E0">
        <w:rPr>
          <w:rFonts w:ascii="Times New Roman" w:eastAsia="Times New Roman" w:hAnsi="Times New Roman" w:cs="Times New Roman"/>
          <w:color w:val="000000" w:themeColor="text1"/>
          <w:sz w:val="24"/>
          <w:szCs w:val="24"/>
        </w:rPr>
        <w:t xml:space="preserve">the </w:t>
      </w:r>
      <w:r w:rsidR="0036548D" w:rsidRPr="6141D069">
        <w:rPr>
          <w:rFonts w:ascii="Times New Roman" w:eastAsia="Times New Roman" w:hAnsi="Times New Roman" w:cs="Times New Roman"/>
          <w:color w:val="000000" w:themeColor="text1"/>
          <w:sz w:val="24"/>
          <w:szCs w:val="24"/>
        </w:rPr>
        <w:t xml:space="preserve">consideration </w:t>
      </w:r>
      <w:r w:rsidR="009610E0">
        <w:rPr>
          <w:rFonts w:ascii="Times New Roman" w:eastAsia="Times New Roman" w:hAnsi="Times New Roman" w:cs="Times New Roman"/>
          <w:color w:val="000000" w:themeColor="text1"/>
          <w:sz w:val="24"/>
          <w:szCs w:val="24"/>
        </w:rPr>
        <w:t xml:space="preserve">process was sufficiently rigorous to assess most, if not all </w:t>
      </w:r>
      <w:r w:rsidR="0036548D" w:rsidRPr="6141D069">
        <w:rPr>
          <w:rFonts w:ascii="Times New Roman" w:eastAsia="Times New Roman" w:hAnsi="Times New Roman" w:cs="Times New Roman"/>
          <w:color w:val="000000" w:themeColor="text1"/>
          <w:sz w:val="24"/>
          <w:szCs w:val="24"/>
        </w:rPr>
        <w:t>aspects of the standard</w:t>
      </w:r>
      <w:r w:rsidR="27B3084B" w:rsidRPr="6141D069">
        <w:rPr>
          <w:rFonts w:ascii="Times New Roman" w:eastAsia="Times New Roman" w:hAnsi="Times New Roman" w:cs="Times New Roman"/>
          <w:color w:val="000000" w:themeColor="text1"/>
          <w:sz w:val="24"/>
          <w:szCs w:val="24"/>
        </w:rPr>
        <w:t>-</w:t>
      </w:r>
      <w:r w:rsidR="0036548D" w:rsidRPr="6141D069">
        <w:rPr>
          <w:rFonts w:ascii="Times New Roman" w:eastAsia="Times New Roman" w:hAnsi="Times New Roman" w:cs="Times New Roman"/>
          <w:color w:val="000000" w:themeColor="text1"/>
          <w:sz w:val="24"/>
          <w:szCs w:val="24"/>
        </w:rPr>
        <w:t xml:space="preserve">setting process. </w:t>
      </w:r>
      <w:r w:rsidR="003E2E2F" w:rsidRPr="003E2E2F">
        <w:rPr>
          <w:rFonts w:ascii="Times New Roman" w:eastAsia="Times New Roman" w:hAnsi="Times New Roman" w:cs="Times New Roman"/>
          <w:color w:val="000000"/>
          <w:sz w:val="24"/>
          <w:szCs w:val="24"/>
          <w:lang w:val="en-CA"/>
        </w:rPr>
        <w:t xml:space="preserve">Such </w:t>
      </w:r>
      <w:r w:rsidR="009610E0" w:rsidRPr="003E2E2F">
        <w:rPr>
          <w:rFonts w:ascii="Times New Roman" w:eastAsia="Times New Roman" w:hAnsi="Times New Roman" w:cs="Times New Roman"/>
          <w:color w:val="000000"/>
          <w:sz w:val="24"/>
          <w:szCs w:val="24"/>
          <w:lang w:val="en-CA"/>
        </w:rPr>
        <w:t>attention</w:t>
      </w:r>
      <w:r w:rsidR="003E2E2F" w:rsidRPr="003E2E2F">
        <w:rPr>
          <w:rFonts w:ascii="Times New Roman" w:eastAsia="Times New Roman" w:hAnsi="Times New Roman" w:cs="Times New Roman"/>
          <w:color w:val="000000"/>
          <w:sz w:val="24"/>
          <w:szCs w:val="24"/>
          <w:lang w:val="en-CA"/>
        </w:rPr>
        <w:t xml:space="preserve"> is consistent with the language and intent of the Canada-Wide Environmental Standards Sub-agreement</w:t>
      </w:r>
      <w:r w:rsidR="00A0028A">
        <w:rPr>
          <w:rFonts w:ascii="Times New Roman" w:eastAsia="Times New Roman" w:hAnsi="Times New Roman" w:cs="Times New Roman"/>
          <w:color w:val="000000"/>
          <w:sz w:val="24"/>
          <w:szCs w:val="24"/>
          <w:lang w:val="en-CA"/>
        </w:rPr>
        <w:t xml:space="preserve">, </w:t>
      </w:r>
      <w:r w:rsidR="003E2E2F" w:rsidRPr="003E2E2F">
        <w:rPr>
          <w:rFonts w:ascii="Times New Roman" w:eastAsia="Times New Roman" w:hAnsi="Times New Roman" w:cs="Times New Roman"/>
          <w:color w:val="000000"/>
          <w:sz w:val="24"/>
          <w:szCs w:val="24"/>
          <w:lang w:val="en-CA"/>
        </w:rPr>
        <w:t>which sets forth the framework of the Canada-</w:t>
      </w:r>
      <w:r w:rsidR="009610E0">
        <w:rPr>
          <w:rFonts w:ascii="Times New Roman" w:eastAsia="Times New Roman" w:hAnsi="Times New Roman" w:cs="Times New Roman"/>
          <w:color w:val="000000"/>
          <w:sz w:val="24"/>
          <w:szCs w:val="24"/>
          <w:lang w:val="en-CA"/>
        </w:rPr>
        <w:t>W</w:t>
      </w:r>
      <w:r w:rsidR="003E2E2F" w:rsidRPr="003E2E2F">
        <w:rPr>
          <w:rFonts w:ascii="Times New Roman" w:eastAsia="Times New Roman" w:hAnsi="Times New Roman" w:cs="Times New Roman"/>
          <w:color w:val="000000"/>
          <w:sz w:val="24"/>
          <w:szCs w:val="24"/>
          <w:lang w:val="en-CA"/>
        </w:rPr>
        <w:t xml:space="preserve">ide Standards (CWS) for environmental quality and human health. The standards can encompass </w:t>
      </w:r>
      <w:r w:rsidR="003E2E2F" w:rsidRPr="003E2E2F">
        <w:rPr>
          <w:rFonts w:ascii="Times New Roman" w:eastAsia="Times New Roman" w:hAnsi="Times New Roman" w:cs="Times New Roman"/>
          <w:color w:val="000000"/>
          <w:sz w:val="24"/>
          <w:szCs w:val="24"/>
          <w:lang w:val="en-CA"/>
        </w:rPr>
        <w:lastRenderedPageBreak/>
        <w:t>objectives, guidelines and legally enforceable standards.</w:t>
      </w:r>
      <w:r w:rsidR="003E2E2F" w:rsidRPr="003E2E2F">
        <w:rPr>
          <w:rFonts w:ascii="Times New Roman" w:eastAsia="Times New Roman" w:hAnsi="Times New Roman" w:cs="Times New Roman"/>
          <w:color w:val="000000"/>
          <w:sz w:val="24"/>
          <w:szCs w:val="24"/>
          <w:vertAlign w:val="superscript"/>
          <w:lang w:val="en-CA"/>
        </w:rPr>
        <w:footnoteReference w:id="16"/>
      </w:r>
      <w:r w:rsidR="003E2E2F" w:rsidRPr="5692BC35">
        <w:rPr>
          <w:rFonts w:ascii="Times New Roman" w:eastAsia="Times New Roman" w:hAnsi="Times New Roman" w:cs="Times New Roman"/>
          <w:color w:val="000000" w:themeColor="text1"/>
          <w:sz w:val="24"/>
          <w:szCs w:val="24"/>
          <w:lang w:val="en-CA"/>
        </w:rPr>
        <w:t xml:space="preserve"> The Sub-agreement is particularly focused on “ambient standards” which are defined as levels of environmental quality across different resources such as water and air. The Sub-agreement acknowledges the importance of fulfilling these principles by “call[</w:t>
      </w:r>
      <w:proofErr w:type="spellStart"/>
      <w:r w:rsidR="003E2E2F" w:rsidRPr="5692BC35">
        <w:rPr>
          <w:rFonts w:ascii="Times New Roman" w:eastAsia="Times New Roman" w:hAnsi="Times New Roman" w:cs="Times New Roman"/>
          <w:color w:val="000000" w:themeColor="text1"/>
          <w:sz w:val="24"/>
          <w:szCs w:val="24"/>
          <w:lang w:val="en-CA"/>
        </w:rPr>
        <w:t>ing</w:t>
      </w:r>
      <w:proofErr w:type="spellEnd"/>
      <w:r w:rsidR="003E2E2F" w:rsidRPr="003E2E2F">
        <w:rPr>
          <w:rFonts w:ascii="Times New Roman" w:eastAsia="Times New Roman" w:hAnsi="Times New Roman" w:cs="Times New Roman"/>
          <w:color w:val="000000"/>
          <w:sz w:val="24"/>
          <w:szCs w:val="24"/>
          <w:lang w:val="en-CA"/>
        </w:rPr>
        <w:t>] for governments to establish priorities for the development of CWSs and to allow for public involvement.”</w:t>
      </w:r>
      <w:r w:rsidR="003E2E2F" w:rsidRPr="003E2E2F">
        <w:rPr>
          <w:rFonts w:ascii="Times New Roman" w:eastAsia="Times New Roman" w:hAnsi="Times New Roman" w:cs="Times New Roman"/>
          <w:color w:val="000000"/>
          <w:sz w:val="24"/>
          <w:szCs w:val="24"/>
          <w:vertAlign w:val="superscript"/>
          <w:lang w:val="en-CA"/>
        </w:rPr>
        <w:footnoteReference w:id="17"/>
      </w:r>
      <w:r w:rsidR="003E2E2F" w:rsidRPr="5692BC35">
        <w:rPr>
          <w:rFonts w:ascii="Times New Roman" w:eastAsia="Times New Roman" w:hAnsi="Times New Roman" w:cs="Times New Roman"/>
          <w:color w:val="000000" w:themeColor="text1"/>
          <w:sz w:val="24"/>
          <w:szCs w:val="24"/>
          <w:lang w:val="en-CA"/>
        </w:rPr>
        <w:t xml:space="preserve"> The emission standard proposed in the Report</w:t>
      </w:r>
      <w:r w:rsidR="009610E0">
        <w:rPr>
          <w:rFonts w:ascii="Times New Roman" w:eastAsia="Times New Roman" w:hAnsi="Times New Roman" w:cs="Times New Roman"/>
          <w:color w:val="000000" w:themeColor="text1"/>
          <w:sz w:val="24"/>
          <w:szCs w:val="24"/>
          <w:lang w:val="en-CA"/>
        </w:rPr>
        <w:t>,</w:t>
      </w:r>
      <w:r w:rsidR="003E2E2F" w:rsidRPr="5692BC35">
        <w:rPr>
          <w:rFonts w:ascii="Times New Roman" w:eastAsia="Times New Roman" w:hAnsi="Times New Roman" w:cs="Times New Roman"/>
          <w:color w:val="000000" w:themeColor="text1"/>
          <w:sz w:val="24"/>
          <w:szCs w:val="24"/>
          <w:lang w:val="en-CA"/>
        </w:rPr>
        <w:t xml:space="preserve"> establishes that an ambient resource (air) will be affected by the decision reached by the Ministry. As such, it is pertinent to discuss Ambient Air Quality </w:t>
      </w:r>
      <w:r w:rsidR="006F6F51" w:rsidRPr="5692BC35">
        <w:rPr>
          <w:rFonts w:ascii="Times New Roman" w:eastAsia="Times New Roman" w:hAnsi="Times New Roman" w:cs="Times New Roman"/>
          <w:color w:val="000000" w:themeColor="text1"/>
          <w:sz w:val="24"/>
          <w:szCs w:val="24"/>
          <w:lang w:val="en-CA"/>
        </w:rPr>
        <w:t>Criteria</w:t>
      </w:r>
      <w:r w:rsidR="003E2E2F" w:rsidRPr="003E2E2F">
        <w:rPr>
          <w:rFonts w:ascii="Times New Roman" w:eastAsia="Times New Roman" w:hAnsi="Times New Roman" w:cs="Times New Roman"/>
          <w:color w:val="000000"/>
          <w:sz w:val="24"/>
          <w:szCs w:val="24"/>
          <w:lang w:val="en-CA"/>
        </w:rPr>
        <w:t xml:space="preserve"> (AAQC), which were established under the EPA. The Report does not specify whether the recommendations incorporate the National Ambient Air Quality Objectives into its justifying rationale.</w:t>
      </w:r>
      <w:r w:rsidR="003E2E2F" w:rsidRPr="003E2E2F">
        <w:rPr>
          <w:rFonts w:ascii="Times New Roman" w:eastAsia="Times New Roman" w:hAnsi="Times New Roman" w:cs="Times New Roman"/>
          <w:color w:val="000000"/>
          <w:sz w:val="24"/>
          <w:szCs w:val="24"/>
          <w:vertAlign w:val="superscript"/>
          <w:lang w:val="en-CA"/>
        </w:rPr>
        <w:footnoteReference w:id="18"/>
      </w:r>
      <w:r w:rsidR="003E2E2F" w:rsidRPr="003E2E2F">
        <w:rPr>
          <w:rFonts w:ascii="Times New Roman" w:eastAsia="Times New Roman" w:hAnsi="Times New Roman" w:cs="Times New Roman"/>
          <w:color w:val="000000"/>
          <w:sz w:val="24"/>
          <w:szCs w:val="24"/>
          <w:lang w:val="en-CA"/>
        </w:rPr>
        <w:t xml:space="preserve"> Following the methodology highlighted </w:t>
      </w:r>
      <w:r w:rsidR="009610E0">
        <w:rPr>
          <w:rFonts w:ascii="Times New Roman" w:eastAsia="Times New Roman" w:hAnsi="Times New Roman" w:cs="Times New Roman"/>
          <w:color w:val="000000"/>
          <w:sz w:val="24"/>
          <w:szCs w:val="24"/>
          <w:lang w:val="en-CA"/>
        </w:rPr>
        <w:t>in this section,</w:t>
      </w:r>
      <w:r w:rsidR="003E2E2F" w:rsidRPr="003E2E2F">
        <w:rPr>
          <w:rFonts w:ascii="Times New Roman" w:eastAsia="Times New Roman" w:hAnsi="Times New Roman" w:cs="Times New Roman"/>
          <w:color w:val="000000"/>
          <w:sz w:val="24"/>
          <w:szCs w:val="24"/>
          <w:lang w:val="en-CA"/>
        </w:rPr>
        <w:t xml:space="preserve"> it would be contrary to </w:t>
      </w:r>
      <w:r w:rsidR="3E98E8CF" w:rsidRPr="003E2E2F">
        <w:rPr>
          <w:rFonts w:ascii="Times New Roman" w:eastAsia="Times New Roman" w:hAnsi="Times New Roman" w:cs="Times New Roman"/>
          <w:color w:val="000000"/>
          <w:sz w:val="24"/>
          <w:szCs w:val="24"/>
          <w:lang w:val="en-CA"/>
        </w:rPr>
        <w:t xml:space="preserve">sound </w:t>
      </w:r>
      <w:r w:rsidR="003E2E2F" w:rsidRPr="003E2E2F">
        <w:rPr>
          <w:rFonts w:ascii="Times New Roman" w:eastAsia="Times New Roman" w:hAnsi="Times New Roman" w:cs="Times New Roman"/>
          <w:color w:val="000000"/>
          <w:sz w:val="24"/>
          <w:szCs w:val="24"/>
          <w:lang w:val="en-CA"/>
        </w:rPr>
        <w:t xml:space="preserve">methodological practice to set a standard without appropriate consideration of relevant environmental criterion and objectives.  </w:t>
      </w:r>
    </w:p>
    <w:p w14:paraId="44A0E16B" w14:textId="03A096C7" w:rsidR="00EE62A0" w:rsidRPr="00A0028A" w:rsidRDefault="00824B1D" w:rsidP="00A87AB4">
      <w:pPr>
        <w:spacing w:after="0" w:line="480" w:lineRule="auto"/>
        <w:rPr>
          <w:rFonts w:ascii="Times New Roman" w:eastAsia="Times New Roman" w:hAnsi="Times New Roman" w:cs="Times New Roman"/>
          <w:color w:val="000000"/>
          <w:sz w:val="24"/>
          <w:szCs w:val="24"/>
        </w:rPr>
      </w:pPr>
      <w:r w:rsidRPr="00A0028A">
        <w:rPr>
          <w:rFonts w:ascii="Times New Roman" w:eastAsia="Times New Roman" w:hAnsi="Times New Roman" w:cs="Times New Roman"/>
          <w:b/>
          <w:i/>
          <w:color w:val="000000" w:themeColor="text1"/>
          <w:sz w:val="24"/>
          <w:szCs w:val="24"/>
        </w:rPr>
        <w:t>En</w:t>
      </w:r>
      <w:r w:rsidR="002E14D1" w:rsidRPr="00A0028A">
        <w:rPr>
          <w:rFonts w:ascii="Times New Roman" w:eastAsia="Times New Roman" w:hAnsi="Times New Roman" w:cs="Times New Roman"/>
          <w:b/>
          <w:i/>
          <w:color w:val="000000" w:themeColor="text1"/>
          <w:sz w:val="24"/>
          <w:szCs w:val="24"/>
        </w:rPr>
        <w:t>vironmental and Impact Assessment Methodology</w:t>
      </w:r>
    </w:p>
    <w:p w14:paraId="13218469" w14:textId="77777777" w:rsidR="00E73686" w:rsidRDefault="005420B2" w:rsidP="00A87AB4">
      <w:pPr>
        <w:spacing w:line="480" w:lineRule="auto"/>
        <w:ind w:firstLine="720"/>
        <w:rPr>
          <w:rFonts w:ascii="Times New Roman" w:hAnsi="Times New Roman" w:cs="Times New Roman"/>
          <w:color w:val="000000"/>
          <w:sz w:val="24"/>
          <w:szCs w:val="24"/>
        </w:rPr>
      </w:pPr>
      <w:r w:rsidRPr="002B109E">
        <w:rPr>
          <w:rFonts w:ascii="Times New Roman" w:hAnsi="Times New Roman" w:cs="Times New Roman"/>
          <w:color w:val="000000"/>
          <w:sz w:val="24"/>
          <w:szCs w:val="24"/>
        </w:rPr>
        <w:t>The International Association for Impact Assessment (IAIA) defines an environmental or impact assessment as “the process of identifying the future consequences of a current or proposed action.”</w:t>
      </w:r>
      <w:r w:rsidRPr="00637F29">
        <w:rPr>
          <w:rStyle w:val="FootnoteReference"/>
          <w:rFonts w:ascii="Times New Roman" w:hAnsi="Times New Roman" w:cs="Times New Roman"/>
          <w:color w:val="000000"/>
          <w:sz w:val="24"/>
          <w:szCs w:val="24"/>
        </w:rPr>
        <w:footnoteReference w:id="19"/>
      </w:r>
      <w:r w:rsidRPr="002B109E">
        <w:rPr>
          <w:rFonts w:ascii="Times New Roman" w:hAnsi="Times New Roman" w:cs="Times New Roman"/>
          <w:color w:val="000000"/>
          <w:sz w:val="24"/>
          <w:szCs w:val="24"/>
        </w:rPr>
        <w:t xml:space="preserve"> Canada’s current approach does not restrict the government from approving projects or proposals. However, in </w:t>
      </w:r>
      <w:r w:rsidRPr="002B109E">
        <w:rPr>
          <w:rFonts w:ascii="Times New Roman" w:hAnsi="Times New Roman" w:cs="Times New Roman"/>
          <w:i/>
          <w:iCs/>
          <w:color w:val="000000"/>
          <w:sz w:val="24"/>
          <w:szCs w:val="24"/>
        </w:rPr>
        <w:t>Friends of the Oldman River Society v Canada (Ministry of Transport)</w:t>
      </w:r>
      <w:r w:rsidRPr="002B109E">
        <w:rPr>
          <w:rFonts w:ascii="Times New Roman" w:hAnsi="Times New Roman" w:cs="Times New Roman"/>
          <w:color w:val="000000"/>
          <w:sz w:val="24"/>
          <w:szCs w:val="24"/>
        </w:rPr>
        <w:t xml:space="preserve"> the Supreme Court described that “environmental impact assessment is in its simplest form, a planning tool that is generally regarded as an integral component of sound decision-making…it has both information-gathering and decision-making components which provide the </w:t>
      </w:r>
      <w:r w:rsidRPr="002B109E">
        <w:rPr>
          <w:rFonts w:ascii="Times New Roman" w:hAnsi="Times New Roman" w:cs="Times New Roman"/>
          <w:color w:val="000000"/>
          <w:sz w:val="24"/>
          <w:szCs w:val="24"/>
        </w:rPr>
        <w:lastRenderedPageBreak/>
        <w:t>decision maker with the objective basis for granting or denying approval.”</w:t>
      </w:r>
      <w:r w:rsidRPr="00637F29">
        <w:rPr>
          <w:rStyle w:val="FootnoteReference"/>
          <w:rFonts w:ascii="Times New Roman" w:hAnsi="Times New Roman" w:cs="Times New Roman"/>
          <w:color w:val="000000"/>
          <w:sz w:val="24"/>
          <w:szCs w:val="24"/>
        </w:rPr>
        <w:footnoteReference w:id="20"/>
      </w:r>
      <w:r w:rsidRPr="00E00D25">
        <w:rPr>
          <w:rFonts w:ascii="Times New Roman" w:hAnsi="Times New Roman" w:cs="Times New Roman"/>
          <w:color w:val="000000" w:themeColor="text1"/>
          <w:sz w:val="24"/>
          <w:szCs w:val="24"/>
        </w:rPr>
        <w:t xml:space="preserve"> This approach necessarily requires transparent and rigorous review of potential projects in order to account for the impacts. </w:t>
      </w:r>
    </w:p>
    <w:p w14:paraId="06140786" w14:textId="1A24495D" w:rsidR="00E73686" w:rsidRPr="00E73686" w:rsidRDefault="00E73686" w:rsidP="00E73686">
      <w:pPr>
        <w:spacing w:line="480" w:lineRule="auto"/>
        <w:ind w:firstLine="720"/>
        <w:rPr>
          <w:rFonts w:ascii="Times New Roman" w:hAnsi="Times New Roman" w:cs="Times New Roman"/>
          <w:color w:val="000000"/>
          <w:sz w:val="24"/>
          <w:szCs w:val="24"/>
        </w:rPr>
      </w:pPr>
      <w:r w:rsidRPr="00E73686">
        <w:rPr>
          <w:rFonts w:ascii="Times New Roman" w:hAnsi="Times New Roman" w:cs="Times New Roman"/>
          <w:color w:val="000000"/>
          <w:sz w:val="24"/>
          <w:szCs w:val="24"/>
        </w:rPr>
        <w:t xml:space="preserve">Additionally, it is necessary to consider the Environmental Assessment and Review Process Guidelines Order (EARPGO). While at the time of conception, EARPGO was not seen as a binding doctrine, </w:t>
      </w:r>
      <w:r w:rsidRPr="00E73686">
        <w:rPr>
          <w:rFonts w:ascii="Times New Roman" w:hAnsi="Times New Roman" w:cs="Times New Roman"/>
          <w:i/>
          <w:iCs/>
          <w:color w:val="000000"/>
          <w:sz w:val="24"/>
          <w:szCs w:val="24"/>
        </w:rPr>
        <w:t>Canadian Wildlife Federation Inc. v Canada (Minister of the Environment)</w:t>
      </w:r>
      <w:r w:rsidRPr="00E73686">
        <w:rPr>
          <w:rFonts w:ascii="Times New Roman" w:hAnsi="Times New Roman" w:cs="Times New Roman"/>
          <w:color w:val="000000"/>
          <w:sz w:val="24"/>
          <w:szCs w:val="24"/>
        </w:rPr>
        <w:t xml:space="preserve"> established that EARPGO could be legally binding.</w:t>
      </w:r>
      <w:r w:rsidRPr="00E73686">
        <w:rPr>
          <w:rStyle w:val="FootnoteReference"/>
          <w:rFonts w:ascii="Times New Roman" w:hAnsi="Times New Roman" w:cs="Times New Roman"/>
          <w:color w:val="000000"/>
          <w:sz w:val="24"/>
          <w:szCs w:val="24"/>
        </w:rPr>
        <w:footnoteReference w:id="21"/>
      </w:r>
      <w:r w:rsidRPr="00E73686">
        <w:rPr>
          <w:rFonts w:ascii="Times New Roman" w:hAnsi="Times New Roman" w:cs="Times New Roman"/>
          <w:color w:val="000000"/>
          <w:sz w:val="24"/>
          <w:szCs w:val="24"/>
        </w:rPr>
        <w:t xml:space="preserve"> As further clarified in </w:t>
      </w:r>
      <w:r w:rsidRPr="00E73686">
        <w:rPr>
          <w:rFonts w:ascii="Times New Roman" w:hAnsi="Times New Roman" w:cs="Times New Roman"/>
          <w:i/>
          <w:iCs/>
          <w:color w:val="000000"/>
          <w:sz w:val="24"/>
          <w:szCs w:val="24"/>
        </w:rPr>
        <w:t xml:space="preserve">Friends of the Oldman River Society v Canada (Ministry of Transport), </w:t>
      </w:r>
      <w:r w:rsidRPr="00E73686">
        <w:rPr>
          <w:rFonts w:ascii="Times New Roman" w:hAnsi="Times New Roman" w:cs="Times New Roman"/>
          <w:color w:val="000000"/>
          <w:sz w:val="24"/>
          <w:szCs w:val="24"/>
        </w:rPr>
        <w:t>all government agencies who have the decision</w:t>
      </w:r>
      <w:r w:rsidR="72A6B548" w:rsidRPr="00E73686">
        <w:rPr>
          <w:rFonts w:ascii="Times New Roman" w:hAnsi="Times New Roman" w:cs="Times New Roman"/>
          <w:color w:val="000000"/>
          <w:sz w:val="24"/>
          <w:szCs w:val="24"/>
        </w:rPr>
        <w:t>-</w:t>
      </w:r>
      <w:r w:rsidRPr="00E73686">
        <w:rPr>
          <w:rFonts w:ascii="Times New Roman" w:hAnsi="Times New Roman" w:cs="Times New Roman"/>
          <w:color w:val="000000"/>
          <w:sz w:val="24"/>
          <w:szCs w:val="24"/>
        </w:rPr>
        <w:t>making authority to approve or deny a proposal, must consider whether undertaking such activity would have an environmental effect.</w:t>
      </w:r>
      <w:r w:rsidRPr="00E73686">
        <w:rPr>
          <w:rStyle w:val="FootnoteReference"/>
          <w:rFonts w:ascii="Times New Roman" w:hAnsi="Times New Roman" w:cs="Times New Roman"/>
          <w:color w:val="000000"/>
          <w:sz w:val="24"/>
          <w:szCs w:val="24"/>
        </w:rPr>
        <w:footnoteReference w:id="22"/>
      </w:r>
      <w:r w:rsidRPr="00E73686">
        <w:rPr>
          <w:rFonts w:ascii="Times New Roman" w:hAnsi="Times New Roman" w:cs="Times New Roman"/>
          <w:color w:val="000000"/>
          <w:sz w:val="24"/>
          <w:szCs w:val="24"/>
        </w:rPr>
        <w:t xml:space="preserve"> If so, the provision of public review by an unbiased panel, with the necessary knowledge to assess the proposal</w:t>
      </w:r>
      <w:r w:rsidR="4CB6FDE3" w:rsidRPr="00E73686">
        <w:rPr>
          <w:rFonts w:ascii="Times New Roman" w:hAnsi="Times New Roman" w:cs="Times New Roman"/>
          <w:color w:val="000000"/>
          <w:sz w:val="24"/>
          <w:szCs w:val="24"/>
        </w:rPr>
        <w:t>,</w:t>
      </w:r>
      <w:r w:rsidRPr="00E73686">
        <w:rPr>
          <w:rFonts w:ascii="Times New Roman" w:hAnsi="Times New Roman" w:cs="Times New Roman"/>
          <w:color w:val="000000"/>
          <w:sz w:val="24"/>
          <w:szCs w:val="24"/>
        </w:rPr>
        <w:t xml:space="preserve"> is required.</w:t>
      </w:r>
      <w:r w:rsidRPr="00E73686">
        <w:rPr>
          <w:rStyle w:val="FootnoteReference"/>
          <w:rFonts w:ascii="Times New Roman" w:hAnsi="Times New Roman" w:cs="Times New Roman"/>
          <w:color w:val="000000"/>
          <w:sz w:val="24"/>
          <w:szCs w:val="24"/>
        </w:rPr>
        <w:footnoteReference w:id="23"/>
      </w:r>
    </w:p>
    <w:p w14:paraId="07E16DBD" w14:textId="497165D0" w:rsidR="005420B2" w:rsidRPr="00E00D25" w:rsidRDefault="005420B2" w:rsidP="00A87AB4">
      <w:pPr>
        <w:spacing w:line="480" w:lineRule="auto"/>
        <w:ind w:firstLine="720"/>
        <w:rPr>
          <w:rFonts w:ascii="Times New Roman" w:hAnsi="Times New Roman" w:cs="Times New Roman"/>
          <w:color w:val="000000"/>
          <w:sz w:val="24"/>
          <w:szCs w:val="24"/>
        </w:rPr>
      </w:pPr>
      <w:r w:rsidRPr="4007C741">
        <w:rPr>
          <w:rFonts w:ascii="Times New Roman" w:hAnsi="Times New Roman" w:cs="Times New Roman"/>
          <w:color w:val="000000" w:themeColor="text1"/>
          <w:sz w:val="24"/>
          <w:szCs w:val="24"/>
        </w:rPr>
        <w:t xml:space="preserve">It may be argued that the proposal at hand is not of considerable scope, and therefore ought to be exempt from such review. However, this perception diminishes the effectiveness of environmental assessment as a means of achieving sustainable development. </w:t>
      </w:r>
      <w:r w:rsidR="00D65F49">
        <w:rPr>
          <w:rFonts w:ascii="Times New Roman" w:hAnsi="Times New Roman" w:cs="Times New Roman"/>
          <w:color w:val="000000" w:themeColor="text1"/>
          <w:sz w:val="24"/>
          <w:szCs w:val="24"/>
        </w:rPr>
        <w:t xml:space="preserve">As </w:t>
      </w:r>
      <w:r w:rsidRPr="4007C741">
        <w:rPr>
          <w:rFonts w:ascii="Times New Roman" w:hAnsi="Times New Roman" w:cs="Times New Roman"/>
          <w:color w:val="000000" w:themeColor="text1"/>
          <w:sz w:val="24"/>
          <w:szCs w:val="24"/>
        </w:rPr>
        <w:t>Robert Gibson observes, this practice causes incremental steps away from sustainable development because it presumes that lack of significant adverse impact ought not to be cause for concern.</w:t>
      </w:r>
      <w:r w:rsidRPr="00637F29">
        <w:rPr>
          <w:rStyle w:val="FootnoteReference"/>
          <w:rFonts w:ascii="Times New Roman" w:hAnsi="Times New Roman" w:cs="Times New Roman"/>
          <w:color w:val="000000"/>
          <w:sz w:val="24"/>
          <w:szCs w:val="24"/>
        </w:rPr>
        <w:footnoteReference w:id="24"/>
      </w:r>
    </w:p>
    <w:p w14:paraId="7723897C" w14:textId="20A93BD3" w:rsidR="009C52D1" w:rsidRPr="00A0028A" w:rsidRDefault="009C52D1" w:rsidP="00A87AB4">
      <w:pPr>
        <w:spacing w:after="0" w:line="480" w:lineRule="auto"/>
        <w:rPr>
          <w:rFonts w:ascii="Times New Roman" w:eastAsia="Times New Roman" w:hAnsi="Times New Roman" w:cs="Times New Roman"/>
          <w:b/>
          <w:bCs/>
          <w:i/>
          <w:iCs/>
          <w:color w:val="000000"/>
          <w:sz w:val="24"/>
          <w:szCs w:val="24"/>
          <w:lang w:val="en-CA"/>
        </w:rPr>
      </w:pPr>
      <w:r w:rsidRPr="00A0028A">
        <w:rPr>
          <w:rFonts w:ascii="Times New Roman" w:eastAsia="Times New Roman" w:hAnsi="Times New Roman" w:cs="Times New Roman"/>
          <w:b/>
          <w:i/>
          <w:color w:val="000000" w:themeColor="text1"/>
          <w:sz w:val="24"/>
          <w:szCs w:val="24"/>
        </w:rPr>
        <w:t>Public Participation Necessary with Standard-Setting Implications</w:t>
      </w:r>
    </w:p>
    <w:p w14:paraId="295E4D70" w14:textId="350B5058" w:rsidR="009C52D1" w:rsidRPr="009C52D1" w:rsidRDefault="009C52D1" w:rsidP="00A87AB4">
      <w:pPr>
        <w:spacing w:after="0" w:line="480" w:lineRule="auto"/>
        <w:ind w:firstLine="720"/>
        <w:rPr>
          <w:rFonts w:ascii="Times New Roman" w:eastAsia="Times New Roman" w:hAnsi="Times New Roman" w:cs="Times New Roman"/>
          <w:b/>
          <w:bCs/>
          <w:color w:val="000000"/>
          <w:sz w:val="24"/>
          <w:szCs w:val="24"/>
        </w:rPr>
      </w:pPr>
      <w:r w:rsidRPr="009C52D1">
        <w:rPr>
          <w:rFonts w:ascii="Times New Roman" w:eastAsia="Times New Roman" w:hAnsi="Times New Roman" w:cs="Times New Roman"/>
          <w:color w:val="000000" w:themeColor="text1"/>
          <w:sz w:val="24"/>
          <w:szCs w:val="24"/>
        </w:rPr>
        <w:t xml:space="preserve">The Report requests that the Ministry approve its emissions of zinc oxide, a compound not currently subject to a POI regulatory standard. The Applicant recommends that </w:t>
      </w:r>
      <w:r w:rsidR="42B97247" w:rsidRPr="2597570E">
        <w:rPr>
          <w:rFonts w:ascii="Times New Roman" w:eastAsia="Times New Roman" w:hAnsi="Times New Roman" w:cs="Times New Roman"/>
          <w:color w:val="000000" w:themeColor="text1"/>
          <w:sz w:val="24"/>
          <w:szCs w:val="24"/>
        </w:rPr>
        <w:t xml:space="preserve">its emissions of 3.61 </w:t>
      </w:r>
      <w:r w:rsidR="42B97247" w:rsidRPr="2F4CE475">
        <w:rPr>
          <w:rFonts w:ascii="Times New Roman" w:eastAsia="Times New Roman" w:hAnsi="Times New Roman" w:cs="Times New Roman"/>
          <w:color w:val="000000" w:themeColor="text1"/>
          <w:sz w:val="24"/>
          <w:szCs w:val="24"/>
        </w:rPr>
        <w:t>micrograms be approved</w:t>
      </w:r>
      <w:r w:rsidRPr="2F4CE475">
        <w:rPr>
          <w:rFonts w:ascii="Times New Roman" w:eastAsia="Times New Roman" w:hAnsi="Times New Roman" w:cs="Times New Roman"/>
          <w:color w:val="000000" w:themeColor="text1"/>
          <w:sz w:val="24"/>
          <w:szCs w:val="24"/>
        </w:rPr>
        <w:t>.</w:t>
      </w:r>
      <w:r w:rsidRPr="009C52D1">
        <w:rPr>
          <w:rFonts w:ascii="Times New Roman" w:eastAsia="Times New Roman" w:hAnsi="Times New Roman" w:cs="Times New Roman"/>
          <w:color w:val="000000" w:themeColor="text1"/>
          <w:sz w:val="24"/>
          <w:szCs w:val="24"/>
        </w:rPr>
        <w:t xml:space="preserve"> Thus, the outcome of this application could </w:t>
      </w:r>
      <w:r w:rsidR="356255AB" w:rsidRPr="2F4CE475">
        <w:rPr>
          <w:rFonts w:ascii="Times New Roman" w:eastAsia="Times New Roman" w:hAnsi="Times New Roman" w:cs="Times New Roman"/>
          <w:color w:val="000000" w:themeColor="text1"/>
          <w:sz w:val="24"/>
          <w:szCs w:val="24"/>
        </w:rPr>
        <w:t xml:space="preserve">effectively </w:t>
      </w:r>
      <w:r w:rsidRPr="009C52D1">
        <w:rPr>
          <w:rFonts w:ascii="Times New Roman" w:eastAsia="Times New Roman" w:hAnsi="Times New Roman" w:cs="Times New Roman"/>
          <w:color w:val="000000" w:themeColor="text1"/>
          <w:sz w:val="24"/>
          <w:szCs w:val="24"/>
        </w:rPr>
        <w:lastRenderedPageBreak/>
        <w:t>establish a new regulatory standard applicable to all industries that emit zinc oxide. Given the broader implications of this decision, we recommend that the Ministry issue a new invitation for public comments on the specific issue of zinc oxide emissions.</w:t>
      </w:r>
      <w:r w:rsidRPr="009C52D1">
        <w:rPr>
          <w:rFonts w:ascii="Times New Roman" w:eastAsia="Times New Roman" w:hAnsi="Times New Roman" w:cs="Times New Roman"/>
          <w:b/>
          <w:color w:val="000000" w:themeColor="text1"/>
          <w:sz w:val="24"/>
          <w:szCs w:val="24"/>
        </w:rPr>
        <w:t xml:space="preserve"> </w:t>
      </w:r>
    </w:p>
    <w:p w14:paraId="423F9E6D" w14:textId="2179E08A" w:rsidR="00AF3533" w:rsidRDefault="009C52D1" w:rsidP="009C52D1">
      <w:pPr>
        <w:spacing w:after="0" w:line="480" w:lineRule="auto"/>
        <w:rPr>
          <w:rFonts w:ascii="Times New Roman" w:eastAsia="Times New Roman" w:hAnsi="Times New Roman" w:cs="Times New Roman"/>
          <w:color w:val="000000"/>
          <w:sz w:val="24"/>
          <w:szCs w:val="24"/>
        </w:rPr>
      </w:pPr>
      <w:r w:rsidRPr="009C52D1">
        <w:rPr>
          <w:rFonts w:ascii="Times New Roman" w:eastAsia="Times New Roman" w:hAnsi="Times New Roman" w:cs="Times New Roman"/>
          <w:b/>
          <w:bCs/>
          <w:color w:val="000000"/>
          <w:sz w:val="24"/>
          <w:szCs w:val="24"/>
        </w:rPr>
        <w:tab/>
      </w:r>
      <w:r w:rsidRPr="009C52D1">
        <w:rPr>
          <w:rFonts w:ascii="Times New Roman" w:eastAsia="Times New Roman" w:hAnsi="Times New Roman" w:cs="Times New Roman"/>
          <w:color w:val="000000"/>
          <w:sz w:val="24"/>
          <w:szCs w:val="24"/>
        </w:rPr>
        <w:t>Facilitating the opportunity for increased public participation is beneficial to investigative and adjudicative processes</w:t>
      </w:r>
      <w:r w:rsidR="00570E53">
        <w:rPr>
          <w:rFonts w:ascii="Times New Roman" w:eastAsia="Times New Roman" w:hAnsi="Times New Roman" w:cs="Times New Roman"/>
          <w:color w:val="000000"/>
          <w:sz w:val="24"/>
          <w:szCs w:val="24"/>
        </w:rPr>
        <w:t xml:space="preserve"> as it</w:t>
      </w:r>
      <w:r w:rsidRPr="009C52D1">
        <w:rPr>
          <w:rFonts w:ascii="Times New Roman" w:eastAsia="Times New Roman" w:hAnsi="Times New Roman" w:cs="Times New Roman"/>
          <w:color w:val="000000"/>
          <w:sz w:val="24"/>
          <w:szCs w:val="24"/>
        </w:rPr>
        <w:t xml:space="preserve"> provides decision makers with a greater range of ideas and information on which to base their decisions.</w:t>
      </w:r>
      <w:r w:rsidRPr="009C52D1">
        <w:rPr>
          <w:rFonts w:ascii="Times New Roman" w:eastAsia="Times New Roman" w:hAnsi="Times New Roman" w:cs="Times New Roman"/>
          <w:color w:val="000000"/>
          <w:sz w:val="24"/>
          <w:szCs w:val="24"/>
          <w:vertAlign w:val="superscript"/>
        </w:rPr>
        <w:footnoteReference w:id="25"/>
      </w:r>
      <w:r w:rsidRPr="009C52D1">
        <w:rPr>
          <w:rFonts w:ascii="Times New Roman" w:eastAsia="Times New Roman" w:hAnsi="Times New Roman" w:cs="Times New Roman"/>
          <w:color w:val="000000"/>
          <w:sz w:val="24"/>
          <w:szCs w:val="24"/>
        </w:rPr>
        <w:t xml:space="preserve"> In the</w:t>
      </w:r>
      <w:r w:rsidR="00C93F65">
        <w:rPr>
          <w:rFonts w:ascii="Times New Roman" w:eastAsia="Times New Roman" w:hAnsi="Times New Roman" w:cs="Times New Roman"/>
          <w:color w:val="000000"/>
          <w:sz w:val="24"/>
          <w:szCs w:val="24"/>
        </w:rPr>
        <w:t xml:space="preserve"> proposal </w:t>
      </w:r>
      <w:r w:rsidRPr="009C52D1">
        <w:rPr>
          <w:rFonts w:ascii="Times New Roman" w:eastAsia="Times New Roman" w:hAnsi="Times New Roman" w:cs="Times New Roman"/>
          <w:color w:val="000000"/>
          <w:sz w:val="24"/>
          <w:szCs w:val="24"/>
        </w:rPr>
        <w:t>at hand, engaging with facilities in the metal galvanizing industry would provide useful context on whether the standard proposed could feasibly be implemented.</w:t>
      </w:r>
      <w:r w:rsidR="00D80AB8" w:rsidRPr="4007C741">
        <w:rPr>
          <w:rFonts w:ascii="Times New Roman" w:eastAsia="Times New Roman" w:hAnsi="Times New Roman" w:cs="Times New Roman"/>
          <w:color w:val="000000" w:themeColor="text1"/>
          <w:sz w:val="24"/>
          <w:szCs w:val="24"/>
        </w:rPr>
        <w:t xml:space="preserve"> </w:t>
      </w:r>
      <w:r w:rsidR="00AF3533" w:rsidRPr="4007C741">
        <w:rPr>
          <w:rFonts w:ascii="Times New Roman" w:eastAsia="Times New Roman" w:hAnsi="Times New Roman" w:cs="Times New Roman"/>
          <w:color w:val="000000" w:themeColor="text1"/>
          <w:sz w:val="24"/>
          <w:szCs w:val="24"/>
        </w:rPr>
        <w:t xml:space="preserve">While we do not suggest that this point </w:t>
      </w:r>
      <w:r w:rsidR="00A1379E" w:rsidRPr="4007C741">
        <w:rPr>
          <w:rFonts w:ascii="Times New Roman" w:eastAsia="Times New Roman" w:hAnsi="Times New Roman" w:cs="Times New Roman"/>
          <w:color w:val="000000" w:themeColor="text1"/>
          <w:sz w:val="24"/>
          <w:szCs w:val="24"/>
        </w:rPr>
        <w:t xml:space="preserve">be central to the review of the Report, it is necessary to consider the practical </w:t>
      </w:r>
      <w:r w:rsidR="00A37184" w:rsidRPr="4007C741">
        <w:rPr>
          <w:rFonts w:ascii="Times New Roman" w:eastAsia="Times New Roman" w:hAnsi="Times New Roman" w:cs="Times New Roman"/>
          <w:color w:val="000000" w:themeColor="text1"/>
          <w:sz w:val="24"/>
          <w:szCs w:val="24"/>
        </w:rPr>
        <w:t xml:space="preserve">economic </w:t>
      </w:r>
      <w:r w:rsidR="00A1379E" w:rsidRPr="4007C741">
        <w:rPr>
          <w:rFonts w:ascii="Times New Roman" w:eastAsia="Times New Roman" w:hAnsi="Times New Roman" w:cs="Times New Roman"/>
          <w:color w:val="000000" w:themeColor="text1"/>
          <w:sz w:val="24"/>
          <w:szCs w:val="24"/>
        </w:rPr>
        <w:t xml:space="preserve">realities that exist </w:t>
      </w:r>
      <w:r w:rsidR="00E656A8" w:rsidRPr="4007C741">
        <w:rPr>
          <w:rFonts w:ascii="Times New Roman" w:eastAsia="Times New Roman" w:hAnsi="Times New Roman" w:cs="Times New Roman"/>
          <w:color w:val="000000" w:themeColor="text1"/>
          <w:sz w:val="24"/>
          <w:szCs w:val="24"/>
        </w:rPr>
        <w:t xml:space="preserve">and could have an impact on the </w:t>
      </w:r>
      <w:r w:rsidR="00B21D92" w:rsidRPr="4007C741">
        <w:rPr>
          <w:rFonts w:ascii="Times New Roman" w:eastAsia="Times New Roman" w:hAnsi="Times New Roman" w:cs="Times New Roman"/>
          <w:color w:val="000000" w:themeColor="text1"/>
          <w:sz w:val="24"/>
          <w:szCs w:val="24"/>
        </w:rPr>
        <w:t>implementation of a standard</w:t>
      </w:r>
      <w:r w:rsidR="00907E19" w:rsidRPr="4007C741">
        <w:rPr>
          <w:rFonts w:ascii="Times New Roman" w:eastAsia="Times New Roman" w:hAnsi="Times New Roman" w:cs="Times New Roman"/>
          <w:color w:val="000000" w:themeColor="text1"/>
          <w:sz w:val="24"/>
          <w:szCs w:val="24"/>
        </w:rPr>
        <w:t>.</w:t>
      </w:r>
      <w:r w:rsidR="00A0029F" w:rsidRPr="4007C741">
        <w:rPr>
          <w:rFonts w:ascii="Times New Roman" w:eastAsia="Times New Roman" w:hAnsi="Times New Roman" w:cs="Times New Roman"/>
          <w:color w:val="000000" w:themeColor="text1"/>
          <w:sz w:val="24"/>
          <w:szCs w:val="24"/>
        </w:rPr>
        <w:t xml:space="preserve"> In order to guarantee the feasibility of </w:t>
      </w:r>
      <w:r w:rsidR="00283C37" w:rsidRPr="4007C741">
        <w:rPr>
          <w:rFonts w:ascii="Times New Roman" w:eastAsia="Times New Roman" w:hAnsi="Times New Roman" w:cs="Times New Roman"/>
          <w:color w:val="000000" w:themeColor="text1"/>
          <w:sz w:val="24"/>
          <w:szCs w:val="24"/>
        </w:rPr>
        <w:t>standard enactment it is</w:t>
      </w:r>
      <w:r w:rsidR="006101D1" w:rsidRPr="4007C741">
        <w:rPr>
          <w:rFonts w:ascii="Times New Roman" w:eastAsia="Times New Roman" w:hAnsi="Times New Roman" w:cs="Times New Roman"/>
          <w:color w:val="000000" w:themeColor="text1"/>
          <w:sz w:val="24"/>
          <w:szCs w:val="24"/>
        </w:rPr>
        <w:t xml:space="preserve"> necessa</w:t>
      </w:r>
      <w:r w:rsidR="00542396" w:rsidRPr="4007C741">
        <w:rPr>
          <w:rFonts w:ascii="Times New Roman" w:eastAsia="Times New Roman" w:hAnsi="Times New Roman" w:cs="Times New Roman"/>
          <w:color w:val="000000" w:themeColor="text1"/>
          <w:sz w:val="24"/>
          <w:szCs w:val="24"/>
        </w:rPr>
        <w:t xml:space="preserve">ry to </w:t>
      </w:r>
      <w:r w:rsidR="008830D7" w:rsidRPr="4007C741">
        <w:rPr>
          <w:rFonts w:ascii="Times New Roman" w:eastAsia="Times New Roman" w:hAnsi="Times New Roman" w:cs="Times New Roman"/>
          <w:color w:val="000000" w:themeColor="text1"/>
          <w:sz w:val="24"/>
          <w:szCs w:val="24"/>
        </w:rPr>
        <w:t xml:space="preserve">understand how </w:t>
      </w:r>
      <w:r w:rsidR="00C32988" w:rsidRPr="4007C741">
        <w:rPr>
          <w:rFonts w:ascii="Times New Roman" w:eastAsia="Times New Roman" w:hAnsi="Times New Roman" w:cs="Times New Roman"/>
          <w:color w:val="000000" w:themeColor="text1"/>
          <w:sz w:val="24"/>
          <w:szCs w:val="24"/>
        </w:rPr>
        <w:t>the industry as a whole could implement such requirements. It is equally important to assess whether a</w:t>
      </w:r>
      <w:r w:rsidR="00252AD1" w:rsidRPr="4007C741">
        <w:rPr>
          <w:rFonts w:ascii="Times New Roman" w:eastAsia="Times New Roman" w:hAnsi="Times New Roman" w:cs="Times New Roman"/>
          <w:color w:val="000000" w:themeColor="text1"/>
          <w:sz w:val="24"/>
          <w:szCs w:val="24"/>
        </w:rPr>
        <w:t xml:space="preserve">n industry-wide </w:t>
      </w:r>
      <w:r w:rsidR="00C32988" w:rsidRPr="4007C741">
        <w:rPr>
          <w:rFonts w:ascii="Times New Roman" w:eastAsia="Times New Roman" w:hAnsi="Times New Roman" w:cs="Times New Roman"/>
          <w:color w:val="000000" w:themeColor="text1"/>
          <w:sz w:val="24"/>
          <w:szCs w:val="24"/>
        </w:rPr>
        <w:t xml:space="preserve">transitionary period would be needed or permissible to </w:t>
      </w:r>
      <w:r w:rsidR="00BA4739" w:rsidRPr="4007C741">
        <w:rPr>
          <w:rFonts w:ascii="Times New Roman" w:eastAsia="Times New Roman" w:hAnsi="Times New Roman" w:cs="Times New Roman"/>
          <w:color w:val="000000" w:themeColor="text1"/>
          <w:sz w:val="24"/>
          <w:szCs w:val="24"/>
        </w:rPr>
        <w:t>encourage adherence to the standard</w:t>
      </w:r>
      <w:r w:rsidR="00252AD1" w:rsidRPr="4007C741">
        <w:rPr>
          <w:rFonts w:ascii="Times New Roman" w:eastAsia="Times New Roman" w:hAnsi="Times New Roman" w:cs="Times New Roman"/>
          <w:color w:val="000000" w:themeColor="text1"/>
          <w:sz w:val="24"/>
          <w:szCs w:val="24"/>
        </w:rPr>
        <w:t xml:space="preserve">. </w:t>
      </w:r>
      <w:r w:rsidR="00A06070" w:rsidRPr="4007C741">
        <w:rPr>
          <w:rFonts w:ascii="Times New Roman" w:eastAsia="Times New Roman" w:hAnsi="Times New Roman" w:cs="Times New Roman"/>
          <w:color w:val="000000" w:themeColor="text1"/>
          <w:sz w:val="24"/>
          <w:szCs w:val="24"/>
        </w:rPr>
        <w:t xml:space="preserve"> </w:t>
      </w:r>
      <w:r w:rsidR="00C32988" w:rsidRPr="4007C741">
        <w:rPr>
          <w:rFonts w:ascii="Times New Roman" w:eastAsia="Times New Roman" w:hAnsi="Times New Roman" w:cs="Times New Roman"/>
          <w:color w:val="000000" w:themeColor="text1"/>
          <w:sz w:val="24"/>
          <w:szCs w:val="24"/>
        </w:rPr>
        <w:t xml:space="preserve"> </w:t>
      </w:r>
    </w:p>
    <w:p w14:paraId="21CD910A" w14:textId="1ACBBA82" w:rsidR="009C52D1" w:rsidRPr="009C52D1" w:rsidRDefault="009C52D1" w:rsidP="002B109E">
      <w:pPr>
        <w:spacing w:after="0" w:line="480" w:lineRule="auto"/>
        <w:ind w:firstLine="720"/>
        <w:rPr>
          <w:rFonts w:ascii="Times New Roman" w:eastAsia="Times New Roman" w:hAnsi="Times New Roman" w:cs="Times New Roman"/>
          <w:color w:val="000000"/>
          <w:sz w:val="24"/>
          <w:szCs w:val="24"/>
        </w:rPr>
      </w:pPr>
      <w:r w:rsidRPr="009C52D1">
        <w:rPr>
          <w:rFonts w:ascii="Times New Roman" w:eastAsia="Times New Roman" w:hAnsi="Times New Roman" w:cs="Times New Roman"/>
          <w:color w:val="000000"/>
          <w:sz w:val="24"/>
          <w:szCs w:val="24"/>
        </w:rPr>
        <w:t>Additionally</w:t>
      </w:r>
      <w:r w:rsidRPr="009C52D1">
        <w:rPr>
          <w:rFonts w:ascii="Times New Roman" w:eastAsia="Times New Roman" w:hAnsi="Times New Roman" w:cs="Times New Roman"/>
          <w:color w:val="000000" w:themeColor="text1"/>
          <w:sz w:val="24"/>
          <w:szCs w:val="24"/>
        </w:rPr>
        <w:t xml:space="preserve">, allowing organizations </w:t>
      </w:r>
      <w:r w:rsidR="0F5EF2A4" w:rsidRPr="5E638383">
        <w:rPr>
          <w:rFonts w:ascii="Times New Roman" w:eastAsia="Times New Roman" w:hAnsi="Times New Roman" w:cs="Times New Roman"/>
          <w:color w:val="000000" w:themeColor="text1"/>
          <w:sz w:val="24"/>
          <w:szCs w:val="24"/>
        </w:rPr>
        <w:t xml:space="preserve">that </w:t>
      </w:r>
      <w:r w:rsidRPr="009C52D1">
        <w:rPr>
          <w:rFonts w:ascii="Times New Roman" w:eastAsia="Times New Roman" w:hAnsi="Times New Roman" w:cs="Times New Roman"/>
          <w:color w:val="000000"/>
          <w:sz w:val="24"/>
          <w:szCs w:val="24"/>
        </w:rPr>
        <w:t xml:space="preserve">are familiar with the potentially detrimental impacts of zinc oxide emissions may lead the Ministry to raise the standard </w:t>
      </w:r>
      <w:r w:rsidR="7CE13B0A" w:rsidRPr="009C52D1">
        <w:rPr>
          <w:rFonts w:ascii="Times New Roman" w:eastAsia="Times New Roman" w:hAnsi="Times New Roman" w:cs="Times New Roman"/>
          <w:color w:val="000000"/>
          <w:sz w:val="24"/>
          <w:szCs w:val="24"/>
        </w:rPr>
        <w:t xml:space="preserve">by </w:t>
      </w:r>
      <w:r w:rsidRPr="009C52D1">
        <w:rPr>
          <w:rFonts w:ascii="Times New Roman" w:eastAsia="Times New Roman" w:hAnsi="Times New Roman" w:cs="Times New Roman"/>
          <w:color w:val="000000"/>
          <w:sz w:val="24"/>
          <w:szCs w:val="24"/>
        </w:rPr>
        <w:t xml:space="preserve">lowering the </w:t>
      </w:r>
      <w:r w:rsidR="0CE5F625" w:rsidRPr="009C52D1">
        <w:rPr>
          <w:rFonts w:ascii="Times New Roman" w:eastAsia="Times New Roman" w:hAnsi="Times New Roman" w:cs="Times New Roman"/>
          <w:color w:val="000000"/>
          <w:sz w:val="24"/>
          <w:szCs w:val="24"/>
        </w:rPr>
        <w:t xml:space="preserve">acceptable number of </w:t>
      </w:r>
      <w:r w:rsidRPr="009C52D1">
        <w:rPr>
          <w:rFonts w:ascii="Times New Roman" w:eastAsia="Times New Roman" w:hAnsi="Times New Roman" w:cs="Times New Roman"/>
          <w:color w:val="000000"/>
          <w:sz w:val="24"/>
          <w:szCs w:val="24"/>
        </w:rPr>
        <w:t>micrograms per meter. Engaging in such consultation will lead to enhanced public acceptance of the decision reached</w:t>
      </w:r>
      <w:r w:rsidRPr="009C52D1">
        <w:rPr>
          <w:rFonts w:ascii="Times New Roman" w:eastAsia="Times New Roman" w:hAnsi="Times New Roman" w:cs="Times New Roman"/>
          <w:color w:val="000000"/>
          <w:sz w:val="24"/>
          <w:szCs w:val="24"/>
          <w:vertAlign w:val="superscript"/>
        </w:rPr>
        <w:footnoteReference w:id="26"/>
      </w:r>
      <w:r w:rsidRPr="009C52D1">
        <w:rPr>
          <w:rFonts w:ascii="Times New Roman" w:eastAsia="Times New Roman" w:hAnsi="Times New Roman" w:cs="Times New Roman"/>
          <w:color w:val="000000"/>
          <w:sz w:val="24"/>
          <w:szCs w:val="24"/>
        </w:rPr>
        <w:t xml:space="preserve"> and will induce the Ministry to undergo thorough analysis and provide a rationale for the decision reached.</w:t>
      </w:r>
      <w:r w:rsidRPr="009C52D1">
        <w:rPr>
          <w:rFonts w:ascii="Times New Roman" w:eastAsia="Times New Roman" w:hAnsi="Times New Roman" w:cs="Times New Roman"/>
          <w:color w:val="000000"/>
          <w:sz w:val="24"/>
          <w:szCs w:val="24"/>
          <w:vertAlign w:val="superscript"/>
        </w:rPr>
        <w:footnoteReference w:id="27"/>
      </w:r>
      <w:r w:rsidRPr="009C52D1">
        <w:rPr>
          <w:rFonts w:ascii="Times New Roman" w:eastAsia="Times New Roman" w:hAnsi="Times New Roman" w:cs="Times New Roman"/>
          <w:color w:val="000000"/>
          <w:sz w:val="24"/>
          <w:szCs w:val="24"/>
        </w:rPr>
        <w:t xml:space="preserve"> </w:t>
      </w:r>
    </w:p>
    <w:p w14:paraId="367289B0" w14:textId="3B8637B4" w:rsidR="00FD3177" w:rsidRDefault="009C52D1" w:rsidP="002B109E">
      <w:pPr>
        <w:spacing w:after="0" w:line="480" w:lineRule="auto"/>
        <w:ind w:firstLine="720"/>
        <w:rPr>
          <w:rFonts w:ascii="Times New Roman" w:eastAsia="Times New Roman" w:hAnsi="Times New Roman" w:cs="Times New Roman"/>
          <w:color w:val="000000" w:themeColor="text1"/>
          <w:sz w:val="24"/>
          <w:szCs w:val="24"/>
        </w:rPr>
      </w:pPr>
      <w:r w:rsidRPr="009C52D1">
        <w:rPr>
          <w:rFonts w:ascii="Times New Roman" w:eastAsia="Times New Roman" w:hAnsi="Times New Roman" w:cs="Times New Roman"/>
          <w:color w:val="000000" w:themeColor="text1"/>
          <w:sz w:val="24"/>
          <w:szCs w:val="24"/>
        </w:rPr>
        <w:t xml:space="preserve">It is important to consider the precedent that </w:t>
      </w:r>
      <w:r w:rsidR="0F1C26D1" w:rsidRPr="5E638383">
        <w:rPr>
          <w:rFonts w:ascii="Times New Roman" w:eastAsia="Times New Roman" w:hAnsi="Times New Roman" w:cs="Times New Roman"/>
          <w:color w:val="000000" w:themeColor="text1"/>
          <w:sz w:val="24"/>
          <w:szCs w:val="24"/>
        </w:rPr>
        <w:t xml:space="preserve">accepting this proposal </w:t>
      </w:r>
      <w:r w:rsidRPr="009C52D1">
        <w:rPr>
          <w:rFonts w:ascii="Times New Roman" w:eastAsia="Times New Roman" w:hAnsi="Times New Roman" w:cs="Times New Roman"/>
          <w:color w:val="000000" w:themeColor="text1"/>
          <w:sz w:val="24"/>
          <w:szCs w:val="24"/>
        </w:rPr>
        <w:t xml:space="preserve">will set. </w:t>
      </w:r>
      <w:r w:rsidR="000106A7">
        <w:rPr>
          <w:rFonts w:ascii="Times New Roman" w:eastAsia="Times New Roman" w:hAnsi="Times New Roman" w:cs="Times New Roman"/>
          <w:color w:val="000000" w:themeColor="text1"/>
          <w:sz w:val="24"/>
          <w:szCs w:val="24"/>
        </w:rPr>
        <w:t>In s</w:t>
      </w:r>
      <w:r w:rsidRPr="009C52D1">
        <w:rPr>
          <w:rFonts w:ascii="Times New Roman" w:eastAsia="Times New Roman" w:hAnsi="Times New Roman" w:cs="Times New Roman"/>
          <w:color w:val="000000" w:themeColor="text1"/>
          <w:sz w:val="24"/>
          <w:szCs w:val="24"/>
        </w:rPr>
        <w:t>etting a new regulatory standard</w:t>
      </w:r>
      <w:r w:rsidR="000106A7">
        <w:rPr>
          <w:rFonts w:ascii="Times New Roman" w:eastAsia="Times New Roman" w:hAnsi="Times New Roman" w:cs="Times New Roman"/>
          <w:color w:val="000000" w:themeColor="text1"/>
          <w:sz w:val="24"/>
          <w:szCs w:val="24"/>
        </w:rPr>
        <w:t xml:space="preserve">, it is </w:t>
      </w:r>
      <w:r w:rsidR="173EE27B">
        <w:rPr>
          <w:rFonts w:ascii="Times New Roman" w:eastAsia="Times New Roman" w:hAnsi="Times New Roman" w:cs="Times New Roman"/>
          <w:color w:val="000000" w:themeColor="text1"/>
          <w:sz w:val="24"/>
          <w:szCs w:val="24"/>
        </w:rPr>
        <w:t>possible to enable</w:t>
      </w:r>
      <w:r w:rsidR="003523FF">
        <w:rPr>
          <w:rFonts w:ascii="Times New Roman" w:eastAsia="Times New Roman" w:hAnsi="Times New Roman" w:cs="Times New Roman"/>
          <w:color w:val="000000" w:themeColor="text1"/>
          <w:sz w:val="24"/>
          <w:szCs w:val="24"/>
        </w:rPr>
        <w:t xml:space="preserve"> actions (in this case</w:t>
      </w:r>
      <w:r w:rsidR="460C90A5">
        <w:rPr>
          <w:rFonts w:ascii="Times New Roman" w:eastAsia="Times New Roman" w:hAnsi="Times New Roman" w:cs="Times New Roman"/>
          <w:color w:val="000000" w:themeColor="text1"/>
          <w:sz w:val="24"/>
          <w:szCs w:val="24"/>
        </w:rPr>
        <w:t>,</w:t>
      </w:r>
      <w:r w:rsidR="003523FF">
        <w:rPr>
          <w:rFonts w:ascii="Times New Roman" w:eastAsia="Times New Roman" w:hAnsi="Times New Roman" w:cs="Times New Roman"/>
          <w:color w:val="000000" w:themeColor="text1"/>
          <w:sz w:val="24"/>
          <w:szCs w:val="24"/>
        </w:rPr>
        <w:t xml:space="preserve"> the release of zinc emissions into the air)</w:t>
      </w:r>
      <w:r w:rsidR="00907545">
        <w:rPr>
          <w:rFonts w:ascii="Times New Roman" w:eastAsia="Times New Roman" w:hAnsi="Times New Roman" w:cs="Times New Roman"/>
          <w:color w:val="000000" w:themeColor="text1"/>
          <w:sz w:val="24"/>
          <w:szCs w:val="24"/>
        </w:rPr>
        <w:t xml:space="preserve"> </w:t>
      </w:r>
      <w:r w:rsidR="54900084" w:rsidRPr="009C52D1">
        <w:rPr>
          <w:rFonts w:ascii="Times New Roman" w:eastAsia="Times New Roman" w:hAnsi="Times New Roman" w:cs="Times New Roman"/>
          <w:color w:val="000000" w:themeColor="text1"/>
          <w:sz w:val="24"/>
          <w:szCs w:val="24"/>
        </w:rPr>
        <w:t>t</w:t>
      </w:r>
      <w:r w:rsidR="05FDB331" w:rsidRPr="009C52D1">
        <w:rPr>
          <w:rFonts w:ascii="Times New Roman" w:eastAsia="Times New Roman" w:hAnsi="Times New Roman" w:cs="Times New Roman"/>
          <w:color w:val="000000" w:themeColor="text1"/>
          <w:sz w:val="24"/>
          <w:szCs w:val="24"/>
        </w:rPr>
        <w:t>hat could</w:t>
      </w:r>
      <w:r w:rsidRPr="009C52D1">
        <w:rPr>
          <w:rFonts w:ascii="Times New Roman" w:eastAsia="Times New Roman" w:hAnsi="Times New Roman" w:cs="Times New Roman"/>
          <w:color w:val="000000" w:themeColor="text1"/>
          <w:sz w:val="24"/>
          <w:szCs w:val="24"/>
        </w:rPr>
        <w:t xml:space="preserve"> </w:t>
      </w:r>
      <w:r w:rsidR="7132766C" w:rsidRPr="5E638383">
        <w:rPr>
          <w:rFonts w:ascii="Times New Roman" w:eastAsia="Times New Roman" w:hAnsi="Times New Roman" w:cs="Times New Roman"/>
          <w:color w:val="000000" w:themeColor="text1"/>
          <w:sz w:val="24"/>
          <w:szCs w:val="24"/>
        </w:rPr>
        <w:t xml:space="preserve">adversely </w:t>
      </w:r>
      <w:r w:rsidRPr="009C52D1">
        <w:rPr>
          <w:rFonts w:ascii="Times New Roman" w:eastAsia="Times New Roman" w:hAnsi="Times New Roman" w:cs="Times New Roman"/>
          <w:color w:val="000000" w:themeColor="text1"/>
          <w:sz w:val="24"/>
          <w:szCs w:val="24"/>
        </w:rPr>
        <w:t xml:space="preserve">affect human and environmental health. </w:t>
      </w:r>
      <w:r w:rsidR="00164E96" w:rsidRPr="00E00D25">
        <w:rPr>
          <w:rFonts w:ascii="Times New Roman" w:eastAsia="Times New Roman" w:hAnsi="Times New Roman" w:cs="Times New Roman"/>
          <w:i/>
          <w:iCs/>
          <w:color w:val="000000" w:themeColor="text1"/>
          <w:sz w:val="24"/>
          <w:szCs w:val="24"/>
        </w:rPr>
        <w:t>Cas</w:t>
      </w:r>
      <w:r w:rsidR="00FD06A2" w:rsidRPr="00E00D25">
        <w:rPr>
          <w:rFonts w:ascii="Times New Roman" w:eastAsia="Times New Roman" w:hAnsi="Times New Roman" w:cs="Times New Roman"/>
          <w:i/>
          <w:iCs/>
          <w:color w:val="000000" w:themeColor="text1"/>
          <w:sz w:val="24"/>
          <w:szCs w:val="24"/>
        </w:rPr>
        <w:t xml:space="preserve">tonguay </w:t>
      </w:r>
      <w:r w:rsidR="00FD06A2" w:rsidRPr="00E00D25">
        <w:rPr>
          <w:rFonts w:ascii="Times New Roman" w:eastAsia="Times New Roman" w:hAnsi="Times New Roman" w:cs="Times New Roman"/>
          <w:i/>
          <w:iCs/>
          <w:color w:val="000000" w:themeColor="text1"/>
          <w:sz w:val="24"/>
          <w:szCs w:val="24"/>
        </w:rPr>
        <w:lastRenderedPageBreak/>
        <w:t>Blasting Ltd v Ontario (Environment)</w:t>
      </w:r>
      <w:r w:rsidR="00570E53">
        <w:rPr>
          <w:rStyle w:val="FootnoteReference"/>
          <w:rFonts w:ascii="Times New Roman" w:eastAsia="Times New Roman" w:hAnsi="Times New Roman" w:cs="Times New Roman"/>
          <w:i/>
          <w:iCs/>
          <w:color w:val="000000" w:themeColor="text1"/>
          <w:sz w:val="24"/>
          <w:szCs w:val="24"/>
        </w:rPr>
        <w:footnoteReference w:id="28"/>
      </w:r>
      <w:r w:rsidR="00FD06A2">
        <w:rPr>
          <w:rFonts w:ascii="Times New Roman" w:eastAsia="Times New Roman" w:hAnsi="Times New Roman" w:cs="Times New Roman"/>
          <w:color w:val="000000" w:themeColor="text1"/>
          <w:sz w:val="24"/>
          <w:szCs w:val="24"/>
        </w:rPr>
        <w:t xml:space="preserve"> provides that </w:t>
      </w:r>
      <w:r w:rsidR="00C10E01">
        <w:rPr>
          <w:rFonts w:ascii="Times New Roman" w:eastAsia="Times New Roman" w:hAnsi="Times New Roman" w:cs="Times New Roman"/>
          <w:color w:val="000000" w:themeColor="text1"/>
          <w:sz w:val="24"/>
          <w:szCs w:val="24"/>
        </w:rPr>
        <w:t>“</w:t>
      </w:r>
      <w:r w:rsidR="00FD06A2">
        <w:rPr>
          <w:rFonts w:ascii="Times New Roman" w:eastAsia="Times New Roman" w:hAnsi="Times New Roman" w:cs="Times New Roman"/>
          <w:color w:val="000000" w:themeColor="text1"/>
          <w:sz w:val="24"/>
          <w:szCs w:val="24"/>
        </w:rPr>
        <w:t>a</w:t>
      </w:r>
      <w:r w:rsidR="00C10E01">
        <w:rPr>
          <w:rFonts w:ascii="Times New Roman" w:eastAsia="Times New Roman" w:hAnsi="Times New Roman" w:cs="Times New Roman"/>
          <w:color w:val="000000" w:themeColor="text1"/>
          <w:sz w:val="24"/>
          <w:szCs w:val="24"/>
        </w:rPr>
        <w:t xml:space="preserve">dverse effect” </w:t>
      </w:r>
      <w:r w:rsidR="00D24882">
        <w:rPr>
          <w:rFonts w:ascii="Times New Roman" w:eastAsia="Times New Roman" w:hAnsi="Times New Roman" w:cs="Times New Roman"/>
          <w:color w:val="000000" w:themeColor="text1"/>
          <w:sz w:val="24"/>
          <w:szCs w:val="24"/>
        </w:rPr>
        <w:t>includes the “i</w:t>
      </w:r>
      <w:r w:rsidR="00C36154">
        <w:rPr>
          <w:rFonts w:ascii="Times New Roman" w:eastAsia="Times New Roman" w:hAnsi="Times New Roman" w:cs="Times New Roman"/>
          <w:color w:val="000000" w:themeColor="text1"/>
          <w:sz w:val="24"/>
          <w:szCs w:val="24"/>
        </w:rPr>
        <w:t>mpairment of the quality of the natural environment for any use that can be made of it</w:t>
      </w:r>
      <w:r w:rsidR="00CC5B05">
        <w:rPr>
          <w:rFonts w:ascii="Times New Roman" w:eastAsia="Times New Roman" w:hAnsi="Times New Roman" w:cs="Times New Roman"/>
          <w:color w:val="000000" w:themeColor="text1"/>
          <w:sz w:val="24"/>
          <w:szCs w:val="24"/>
        </w:rPr>
        <w:t>.</w:t>
      </w:r>
      <w:r w:rsidR="00D24882">
        <w:rPr>
          <w:rFonts w:ascii="Times New Roman" w:eastAsia="Times New Roman" w:hAnsi="Times New Roman" w:cs="Times New Roman"/>
          <w:color w:val="000000" w:themeColor="text1"/>
          <w:sz w:val="24"/>
          <w:szCs w:val="24"/>
        </w:rPr>
        <w:t>”</w:t>
      </w:r>
      <w:r w:rsidR="006A79FC">
        <w:rPr>
          <w:rStyle w:val="FootnoteReference"/>
          <w:rFonts w:ascii="Times New Roman" w:eastAsia="Times New Roman" w:hAnsi="Times New Roman" w:cs="Times New Roman"/>
          <w:color w:val="000000" w:themeColor="text1"/>
          <w:sz w:val="24"/>
          <w:szCs w:val="24"/>
        </w:rPr>
        <w:footnoteReference w:id="29"/>
      </w:r>
      <w:r w:rsidR="005F1A14">
        <w:rPr>
          <w:rFonts w:ascii="Times New Roman" w:eastAsia="Times New Roman" w:hAnsi="Times New Roman" w:cs="Times New Roman"/>
          <w:color w:val="000000" w:themeColor="text1"/>
          <w:sz w:val="24"/>
          <w:szCs w:val="24"/>
        </w:rPr>
        <w:t xml:space="preserve"> </w:t>
      </w:r>
      <w:r w:rsidR="00E53BAA">
        <w:rPr>
          <w:rFonts w:ascii="Times New Roman" w:eastAsia="Times New Roman" w:hAnsi="Times New Roman" w:cs="Times New Roman"/>
          <w:color w:val="000000" w:themeColor="text1"/>
          <w:sz w:val="24"/>
          <w:szCs w:val="24"/>
        </w:rPr>
        <w:t>Normative policy inter</w:t>
      </w:r>
      <w:r w:rsidR="00517F5B">
        <w:rPr>
          <w:rFonts w:ascii="Times New Roman" w:eastAsia="Times New Roman" w:hAnsi="Times New Roman" w:cs="Times New Roman"/>
          <w:color w:val="000000" w:themeColor="text1"/>
          <w:sz w:val="24"/>
          <w:szCs w:val="24"/>
        </w:rPr>
        <w:t xml:space="preserve">prets this </w:t>
      </w:r>
      <w:r w:rsidR="009A3A9A">
        <w:rPr>
          <w:rFonts w:ascii="Times New Roman" w:eastAsia="Times New Roman" w:hAnsi="Times New Roman" w:cs="Times New Roman"/>
          <w:color w:val="000000" w:themeColor="text1"/>
          <w:sz w:val="24"/>
          <w:szCs w:val="24"/>
        </w:rPr>
        <w:t xml:space="preserve">term broadly, so as not </w:t>
      </w:r>
      <w:r w:rsidR="6129667F">
        <w:rPr>
          <w:rFonts w:ascii="Times New Roman" w:eastAsia="Times New Roman" w:hAnsi="Times New Roman" w:cs="Times New Roman"/>
          <w:color w:val="000000" w:themeColor="text1"/>
          <w:sz w:val="24"/>
          <w:szCs w:val="24"/>
        </w:rPr>
        <w:t>to</w:t>
      </w:r>
      <w:r w:rsidR="009A3A9A">
        <w:rPr>
          <w:rFonts w:ascii="Times New Roman" w:eastAsia="Times New Roman" w:hAnsi="Times New Roman" w:cs="Times New Roman"/>
          <w:color w:val="000000" w:themeColor="text1"/>
          <w:sz w:val="24"/>
          <w:szCs w:val="24"/>
        </w:rPr>
        <w:t xml:space="preserve"> </w:t>
      </w:r>
      <w:r w:rsidR="00BD16A7">
        <w:rPr>
          <w:rFonts w:ascii="Times New Roman" w:eastAsia="Times New Roman" w:hAnsi="Times New Roman" w:cs="Times New Roman"/>
          <w:color w:val="000000" w:themeColor="text1"/>
          <w:sz w:val="24"/>
          <w:szCs w:val="24"/>
        </w:rPr>
        <w:t>limit the scope of the EPA’S preventative and protective capacities.</w:t>
      </w:r>
      <w:r w:rsidR="00BD16A7">
        <w:rPr>
          <w:rStyle w:val="FootnoteReference"/>
          <w:rFonts w:ascii="Times New Roman" w:eastAsia="Times New Roman" w:hAnsi="Times New Roman" w:cs="Times New Roman"/>
          <w:color w:val="000000" w:themeColor="text1"/>
          <w:sz w:val="24"/>
          <w:szCs w:val="24"/>
        </w:rPr>
        <w:footnoteReference w:id="30"/>
      </w:r>
    </w:p>
    <w:p w14:paraId="6641EDD2" w14:textId="1622B9EC" w:rsidR="009C52D1" w:rsidRPr="009C52D1" w:rsidRDefault="00B17D70" w:rsidP="009C52D1">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However, both narrow and broad interpretive </w:t>
      </w:r>
      <w:r w:rsidR="3E7416D9">
        <w:rPr>
          <w:rFonts w:ascii="Times New Roman" w:eastAsia="Times New Roman" w:hAnsi="Times New Roman" w:cs="Times New Roman"/>
          <w:color w:val="000000" w:themeColor="text1"/>
          <w:sz w:val="24"/>
          <w:szCs w:val="24"/>
        </w:rPr>
        <w:t>lens</w:t>
      </w:r>
      <w:r w:rsidR="68E36656">
        <w:rPr>
          <w:rFonts w:ascii="Times New Roman" w:eastAsia="Times New Roman" w:hAnsi="Times New Roman" w:cs="Times New Roman"/>
          <w:color w:val="000000" w:themeColor="text1"/>
          <w:sz w:val="24"/>
          <w:szCs w:val="24"/>
        </w:rPr>
        <w:t>es</w:t>
      </w:r>
      <w:r>
        <w:rPr>
          <w:rFonts w:ascii="Times New Roman" w:eastAsia="Times New Roman" w:hAnsi="Times New Roman" w:cs="Times New Roman"/>
          <w:color w:val="000000" w:themeColor="text1"/>
          <w:sz w:val="24"/>
          <w:szCs w:val="24"/>
        </w:rPr>
        <w:t xml:space="preserve"> </w:t>
      </w:r>
      <w:r w:rsidR="00F83440">
        <w:rPr>
          <w:rFonts w:ascii="Times New Roman" w:eastAsia="Times New Roman" w:hAnsi="Times New Roman" w:cs="Times New Roman"/>
          <w:color w:val="000000" w:themeColor="text1"/>
          <w:sz w:val="24"/>
          <w:szCs w:val="24"/>
        </w:rPr>
        <w:t xml:space="preserve">would </w:t>
      </w:r>
      <w:r w:rsidR="00B80B98">
        <w:rPr>
          <w:rFonts w:ascii="Times New Roman" w:eastAsia="Times New Roman" w:hAnsi="Times New Roman" w:cs="Times New Roman"/>
          <w:color w:val="000000" w:themeColor="text1"/>
          <w:sz w:val="24"/>
          <w:szCs w:val="24"/>
        </w:rPr>
        <w:t>likely</w:t>
      </w:r>
      <w:r w:rsidR="00EC11BD">
        <w:rPr>
          <w:rFonts w:ascii="Times New Roman" w:eastAsia="Times New Roman" w:hAnsi="Times New Roman" w:cs="Times New Roman"/>
          <w:color w:val="000000" w:themeColor="text1"/>
          <w:sz w:val="24"/>
          <w:szCs w:val="24"/>
        </w:rPr>
        <w:t xml:space="preserve"> </w:t>
      </w:r>
      <w:r w:rsidR="1E160036">
        <w:rPr>
          <w:rFonts w:ascii="Times New Roman" w:eastAsia="Times New Roman" w:hAnsi="Times New Roman" w:cs="Times New Roman"/>
          <w:color w:val="000000" w:themeColor="text1"/>
          <w:sz w:val="24"/>
          <w:szCs w:val="24"/>
        </w:rPr>
        <w:t>show</w:t>
      </w:r>
      <w:r w:rsidR="00B80B98">
        <w:rPr>
          <w:rFonts w:ascii="Times New Roman" w:eastAsia="Times New Roman" w:hAnsi="Times New Roman" w:cs="Times New Roman"/>
          <w:color w:val="000000" w:themeColor="text1"/>
          <w:sz w:val="24"/>
          <w:szCs w:val="24"/>
        </w:rPr>
        <w:t xml:space="preserve"> </w:t>
      </w:r>
      <w:r w:rsidR="00F6063E">
        <w:rPr>
          <w:rFonts w:ascii="Times New Roman" w:eastAsia="Times New Roman" w:hAnsi="Times New Roman" w:cs="Times New Roman"/>
          <w:color w:val="000000" w:themeColor="text1"/>
          <w:sz w:val="24"/>
          <w:szCs w:val="24"/>
        </w:rPr>
        <w:t xml:space="preserve">that the </w:t>
      </w:r>
      <w:r w:rsidR="00036387">
        <w:rPr>
          <w:rFonts w:ascii="Times New Roman" w:eastAsia="Times New Roman" w:hAnsi="Times New Roman" w:cs="Times New Roman"/>
          <w:color w:val="000000" w:themeColor="text1"/>
          <w:sz w:val="24"/>
          <w:szCs w:val="24"/>
        </w:rPr>
        <w:t>re</w:t>
      </w:r>
      <w:r w:rsidR="00743752">
        <w:rPr>
          <w:rFonts w:ascii="Times New Roman" w:eastAsia="Times New Roman" w:hAnsi="Times New Roman" w:cs="Times New Roman"/>
          <w:color w:val="000000" w:themeColor="text1"/>
          <w:sz w:val="24"/>
          <w:szCs w:val="24"/>
        </w:rPr>
        <w:t xml:space="preserve">quests in the Report </w:t>
      </w:r>
      <w:r w:rsidR="00106499">
        <w:rPr>
          <w:rFonts w:ascii="Times New Roman" w:eastAsia="Times New Roman" w:hAnsi="Times New Roman" w:cs="Times New Roman"/>
          <w:color w:val="000000" w:themeColor="text1"/>
          <w:sz w:val="24"/>
          <w:szCs w:val="24"/>
        </w:rPr>
        <w:t xml:space="preserve">could </w:t>
      </w:r>
      <w:r w:rsidR="00C47C1B">
        <w:rPr>
          <w:rFonts w:ascii="Times New Roman" w:eastAsia="Times New Roman" w:hAnsi="Times New Roman" w:cs="Times New Roman"/>
          <w:color w:val="000000" w:themeColor="text1"/>
          <w:sz w:val="24"/>
          <w:szCs w:val="24"/>
        </w:rPr>
        <w:t>produce adverse effects.</w:t>
      </w:r>
      <w:r w:rsidR="00F4294C">
        <w:rPr>
          <w:rFonts w:ascii="Times New Roman" w:eastAsia="Times New Roman" w:hAnsi="Times New Roman" w:cs="Times New Roman"/>
          <w:color w:val="000000" w:themeColor="text1"/>
          <w:sz w:val="24"/>
          <w:szCs w:val="24"/>
        </w:rPr>
        <w:t xml:space="preserve"> </w:t>
      </w:r>
      <w:r w:rsidR="6C7D42E7" w:rsidRPr="5E638383">
        <w:rPr>
          <w:rFonts w:ascii="Times New Roman" w:eastAsia="Times New Roman" w:hAnsi="Times New Roman" w:cs="Times New Roman"/>
          <w:color w:val="000000" w:themeColor="text1"/>
          <w:sz w:val="24"/>
          <w:szCs w:val="24"/>
        </w:rPr>
        <w:t>Accordingly</w:t>
      </w:r>
      <w:r w:rsidR="009C52D1" w:rsidRPr="5E638383">
        <w:rPr>
          <w:rFonts w:ascii="Times New Roman" w:eastAsia="Times New Roman" w:hAnsi="Times New Roman" w:cs="Times New Roman"/>
          <w:color w:val="000000" w:themeColor="text1"/>
          <w:sz w:val="24"/>
          <w:szCs w:val="24"/>
        </w:rPr>
        <w:t xml:space="preserve">, </w:t>
      </w:r>
      <w:r w:rsidR="27A878E5" w:rsidRPr="5E638383">
        <w:rPr>
          <w:rFonts w:ascii="Times New Roman" w:eastAsia="Times New Roman" w:hAnsi="Times New Roman" w:cs="Times New Roman"/>
          <w:color w:val="000000" w:themeColor="text1"/>
          <w:sz w:val="24"/>
          <w:szCs w:val="24"/>
        </w:rPr>
        <w:t>th</w:t>
      </w:r>
      <w:r w:rsidR="006A79FC">
        <w:rPr>
          <w:rFonts w:ascii="Times New Roman" w:eastAsia="Times New Roman" w:hAnsi="Times New Roman" w:cs="Times New Roman"/>
          <w:color w:val="000000" w:themeColor="text1"/>
          <w:sz w:val="24"/>
          <w:szCs w:val="24"/>
        </w:rPr>
        <w:t xml:space="preserve">e </w:t>
      </w:r>
      <w:r w:rsidR="2279C7FA" w:rsidRPr="5E638383">
        <w:rPr>
          <w:rFonts w:ascii="Times New Roman" w:eastAsia="Times New Roman" w:hAnsi="Times New Roman" w:cs="Times New Roman"/>
          <w:color w:val="000000" w:themeColor="text1"/>
          <w:sz w:val="24"/>
          <w:szCs w:val="24"/>
        </w:rPr>
        <w:t xml:space="preserve">potentially </w:t>
      </w:r>
      <w:r w:rsidR="006A79FC">
        <w:rPr>
          <w:rFonts w:ascii="Times New Roman" w:eastAsia="Times New Roman" w:hAnsi="Times New Roman" w:cs="Times New Roman"/>
          <w:color w:val="000000" w:themeColor="text1"/>
          <w:sz w:val="24"/>
          <w:szCs w:val="24"/>
        </w:rPr>
        <w:t xml:space="preserve">adverse effects of this proposal </w:t>
      </w:r>
      <w:r w:rsidR="00907545">
        <w:rPr>
          <w:rFonts w:ascii="Times New Roman" w:eastAsia="Times New Roman" w:hAnsi="Times New Roman" w:cs="Times New Roman"/>
          <w:color w:val="000000" w:themeColor="text1"/>
          <w:sz w:val="24"/>
          <w:szCs w:val="24"/>
        </w:rPr>
        <w:t>enga</w:t>
      </w:r>
      <w:r w:rsidR="006A79FC">
        <w:rPr>
          <w:rFonts w:ascii="Times New Roman" w:eastAsia="Times New Roman" w:hAnsi="Times New Roman" w:cs="Times New Roman"/>
          <w:color w:val="000000" w:themeColor="text1"/>
          <w:sz w:val="24"/>
          <w:szCs w:val="24"/>
        </w:rPr>
        <w:t xml:space="preserve">ge </w:t>
      </w:r>
      <w:r w:rsidR="009C52D1" w:rsidRPr="009C52D1">
        <w:rPr>
          <w:rFonts w:ascii="Times New Roman" w:eastAsia="Times New Roman" w:hAnsi="Times New Roman" w:cs="Times New Roman"/>
          <w:color w:val="000000" w:themeColor="text1"/>
          <w:sz w:val="24"/>
          <w:szCs w:val="24"/>
        </w:rPr>
        <w:t>the rights of individuals to clean air</w:t>
      </w:r>
      <w:r w:rsidR="78106B5C" w:rsidRPr="5E638383">
        <w:rPr>
          <w:rFonts w:ascii="Times New Roman" w:eastAsia="Times New Roman" w:hAnsi="Times New Roman" w:cs="Times New Roman"/>
          <w:color w:val="000000" w:themeColor="text1"/>
          <w:sz w:val="24"/>
          <w:szCs w:val="24"/>
        </w:rPr>
        <w:t>,</w:t>
      </w:r>
      <w:r w:rsidR="00D74BB5">
        <w:rPr>
          <w:rFonts w:ascii="Times New Roman" w:eastAsia="Times New Roman" w:hAnsi="Times New Roman" w:cs="Times New Roman"/>
          <w:color w:val="000000" w:themeColor="text1"/>
          <w:sz w:val="24"/>
          <w:szCs w:val="24"/>
        </w:rPr>
        <w:t xml:space="preserve"> </w:t>
      </w:r>
      <w:r w:rsidR="009C52D1" w:rsidRPr="009C52D1">
        <w:rPr>
          <w:rFonts w:ascii="Times New Roman" w:eastAsia="Times New Roman" w:hAnsi="Times New Roman" w:cs="Times New Roman"/>
          <w:color w:val="000000" w:themeColor="text1"/>
          <w:sz w:val="24"/>
          <w:szCs w:val="24"/>
        </w:rPr>
        <w:t>water</w:t>
      </w:r>
      <w:r w:rsidR="102C500E" w:rsidRPr="5E638383">
        <w:rPr>
          <w:rFonts w:ascii="Times New Roman" w:eastAsia="Times New Roman" w:hAnsi="Times New Roman" w:cs="Times New Roman"/>
          <w:color w:val="000000" w:themeColor="text1"/>
          <w:sz w:val="24"/>
          <w:szCs w:val="24"/>
        </w:rPr>
        <w:t>,</w:t>
      </w:r>
      <w:r w:rsidR="009C52D1" w:rsidRPr="009C52D1">
        <w:rPr>
          <w:rFonts w:ascii="Times New Roman" w:eastAsia="Times New Roman" w:hAnsi="Times New Roman" w:cs="Times New Roman"/>
          <w:color w:val="000000" w:themeColor="text1"/>
          <w:sz w:val="24"/>
          <w:szCs w:val="24"/>
        </w:rPr>
        <w:t xml:space="preserve"> and a healthy</w:t>
      </w:r>
      <w:r w:rsidR="1EC4D368" w:rsidRPr="5E638383">
        <w:rPr>
          <w:rFonts w:ascii="Times New Roman" w:eastAsia="Times New Roman" w:hAnsi="Times New Roman" w:cs="Times New Roman"/>
          <w:color w:val="000000" w:themeColor="text1"/>
          <w:sz w:val="24"/>
          <w:szCs w:val="24"/>
        </w:rPr>
        <w:t xml:space="preserve"> and</w:t>
      </w:r>
      <w:r w:rsidR="009C52D1" w:rsidRPr="009C52D1">
        <w:rPr>
          <w:rFonts w:ascii="Times New Roman" w:eastAsia="Times New Roman" w:hAnsi="Times New Roman" w:cs="Times New Roman"/>
          <w:color w:val="000000" w:themeColor="text1"/>
          <w:sz w:val="24"/>
          <w:szCs w:val="24"/>
        </w:rPr>
        <w:t xml:space="preserve"> ecologically balanced environment.</w:t>
      </w:r>
      <w:r w:rsidR="009C52D1" w:rsidRPr="009C52D1">
        <w:rPr>
          <w:rFonts w:ascii="Times New Roman" w:eastAsia="Times New Roman" w:hAnsi="Times New Roman" w:cs="Times New Roman"/>
          <w:color w:val="000000"/>
          <w:sz w:val="24"/>
          <w:szCs w:val="24"/>
          <w:vertAlign w:val="superscript"/>
        </w:rPr>
        <w:footnoteReference w:id="31"/>
      </w:r>
      <w:r w:rsidR="009C52D1" w:rsidRPr="009C52D1">
        <w:rPr>
          <w:rFonts w:ascii="Times New Roman" w:eastAsia="Times New Roman" w:hAnsi="Times New Roman" w:cs="Times New Roman"/>
          <w:color w:val="000000" w:themeColor="text1"/>
          <w:sz w:val="24"/>
          <w:szCs w:val="24"/>
        </w:rPr>
        <w:t xml:space="preserve"> </w:t>
      </w:r>
      <w:r w:rsidR="7650B4E9" w:rsidRPr="5E638383">
        <w:rPr>
          <w:rFonts w:ascii="Times New Roman" w:eastAsia="Times New Roman" w:hAnsi="Times New Roman" w:cs="Times New Roman"/>
          <w:color w:val="000000" w:themeColor="text1"/>
          <w:sz w:val="24"/>
          <w:szCs w:val="24"/>
        </w:rPr>
        <w:t xml:space="preserve">Moreover, the </w:t>
      </w:r>
      <w:r w:rsidR="009C52D1" w:rsidRPr="009C52D1">
        <w:rPr>
          <w:rFonts w:ascii="Times New Roman" w:eastAsia="Times New Roman" w:hAnsi="Times New Roman" w:cs="Times New Roman"/>
          <w:color w:val="000000" w:themeColor="text1"/>
          <w:sz w:val="24"/>
          <w:szCs w:val="24"/>
        </w:rPr>
        <w:t>preceden</w:t>
      </w:r>
      <w:r w:rsidR="6AB810CF" w:rsidRPr="009C52D1">
        <w:rPr>
          <w:rFonts w:ascii="Times New Roman" w:eastAsia="Times New Roman" w:hAnsi="Times New Roman" w:cs="Times New Roman"/>
          <w:color w:val="000000" w:themeColor="text1"/>
          <w:sz w:val="24"/>
          <w:szCs w:val="24"/>
        </w:rPr>
        <w:t>t</w:t>
      </w:r>
      <w:r w:rsidR="0036548D" w:rsidRPr="6141D069">
        <w:rPr>
          <w:rFonts w:ascii="Times New Roman" w:eastAsia="Times New Roman" w:hAnsi="Times New Roman" w:cs="Times New Roman"/>
          <w:color w:val="000000" w:themeColor="text1"/>
          <w:sz w:val="24"/>
          <w:szCs w:val="24"/>
        </w:rPr>
        <w:t xml:space="preserve">-setting implication of the Report </w:t>
      </w:r>
      <w:r w:rsidR="009C52D1" w:rsidRPr="009C52D1">
        <w:rPr>
          <w:rFonts w:ascii="Times New Roman" w:eastAsia="Times New Roman" w:hAnsi="Times New Roman" w:cs="Times New Roman"/>
          <w:color w:val="000000" w:themeColor="text1"/>
          <w:sz w:val="24"/>
          <w:szCs w:val="24"/>
        </w:rPr>
        <w:t>engages the procedural rights of individuals to have access to information and publicly participate in environmental decision making.</w:t>
      </w:r>
      <w:r w:rsidR="009C52D1" w:rsidRPr="009C52D1">
        <w:rPr>
          <w:rFonts w:ascii="Times New Roman" w:eastAsia="Times New Roman" w:hAnsi="Times New Roman" w:cs="Times New Roman"/>
          <w:color w:val="000000"/>
          <w:sz w:val="24"/>
          <w:szCs w:val="24"/>
          <w:vertAlign w:val="superscript"/>
        </w:rPr>
        <w:footnoteReference w:id="32"/>
      </w:r>
    </w:p>
    <w:p w14:paraId="0A4D6C2E" w14:textId="511AA027" w:rsidR="009C52D1" w:rsidRPr="009C52D1" w:rsidRDefault="009C52D1" w:rsidP="009C52D1">
      <w:pPr>
        <w:spacing w:after="0" w:line="480" w:lineRule="auto"/>
        <w:ind w:firstLine="720"/>
        <w:rPr>
          <w:rFonts w:ascii="Times New Roman" w:eastAsia="Times New Roman" w:hAnsi="Times New Roman" w:cs="Times New Roman"/>
          <w:color w:val="000000"/>
          <w:sz w:val="24"/>
          <w:szCs w:val="24"/>
        </w:rPr>
      </w:pPr>
      <w:r w:rsidRPr="009C52D1">
        <w:rPr>
          <w:rFonts w:ascii="Times New Roman" w:eastAsia="Times New Roman" w:hAnsi="Times New Roman" w:cs="Times New Roman"/>
          <w:color w:val="000000" w:themeColor="text1"/>
          <w:sz w:val="24"/>
          <w:szCs w:val="24"/>
        </w:rPr>
        <w:t>A common argument against increased public participation is the presumption that third</w:t>
      </w:r>
      <w:r w:rsidR="0A8606AB" w:rsidRPr="009C52D1">
        <w:rPr>
          <w:rFonts w:ascii="Times New Roman" w:eastAsia="Times New Roman" w:hAnsi="Times New Roman" w:cs="Times New Roman"/>
          <w:color w:val="000000" w:themeColor="text1"/>
          <w:sz w:val="24"/>
          <w:szCs w:val="24"/>
        </w:rPr>
        <w:t xml:space="preserve"> </w:t>
      </w:r>
      <w:r w:rsidRPr="009C52D1">
        <w:rPr>
          <w:rFonts w:ascii="Times New Roman" w:eastAsia="Times New Roman" w:hAnsi="Times New Roman" w:cs="Times New Roman"/>
          <w:color w:val="000000" w:themeColor="text1"/>
          <w:sz w:val="24"/>
          <w:szCs w:val="24"/>
        </w:rPr>
        <w:t>parties cannot significantly or usefully contribute given that administrative bodies are entrusted with the preservation of public interest.</w:t>
      </w:r>
      <w:r w:rsidR="00A00375">
        <w:rPr>
          <w:rStyle w:val="FootnoteReference"/>
          <w:rFonts w:ascii="Times New Roman" w:eastAsia="Times New Roman" w:hAnsi="Times New Roman" w:cs="Times New Roman"/>
          <w:color w:val="000000" w:themeColor="text1"/>
          <w:sz w:val="24"/>
          <w:szCs w:val="24"/>
        </w:rPr>
        <w:footnoteReference w:id="33"/>
      </w:r>
      <w:r w:rsidRPr="009C52D1">
        <w:rPr>
          <w:rFonts w:ascii="Times New Roman" w:eastAsia="Times New Roman" w:hAnsi="Times New Roman" w:cs="Times New Roman"/>
          <w:color w:val="000000" w:themeColor="text1"/>
          <w:sz w:val="24"/>
          <w:szCs w:val="24"/>
        </w:rPr>
        <w:t xml:space="preserve"> However, there are </w:t>
      </w:r>
      <w:r w:rsidR="155BB44F" w:rsidRPr="009C52D1">
        <w:rPr>
          <w:rFonts w:ascii="Times New Roman" w:eastAsia="Times New Roman" w:hAnsi="Times New Roman" w:cs="Times New Roman"/>
          <w:color w:val="000000" w:themeColor="text1"/>
          <w:sz w:val="24"/>
          <w:szCs w:val="24"/>
        </w:rPr>
        <w:t>numerous</w:t>
      </w:r>
      <w:r w:rsidRPr="009C52D1">
        <w:rPr>
          <w:rFonts w:ascii="Times New Roman" w:eastAsia="Times New Roman" w:hAnsi="Times New Roman" w:cs="Times New Roman"/>
          <w:color w:val="000000" w:themeColor="text1"/>
          <w:sz w:val="24"/>
          <w:szCs w:val="24"/>
        </w:rPr>
        <w:t xml:space="preserve"> factors that impede the ability of administrative agencies to pursue this function to the necessary extent. First, such agencies operate on invariably limited resources, and are responsible for monitoring, testing</w:t>
      </w:r>
      <w:r w:rsidR="1818BEBC" w:rsidRPr="009C52D1">
        <w:rPr>
          <w:rFonts w:ascii="Times New Roman" w:eastAsia="Times New Roman" w:hAnsi="Times New Roman" w:cs="Times New Roman"/>
          <w:color w:val="000000" w:themeColor="text1"/>
          <w:sz w:val="24"/>
          <w:szCs w:val="24"/>
        </w:rPr>
        <w:t>,</w:t>
      </w:r>
      <w:r w:rsidRPr="009C52D1">
        <w:rPr>
          <w:rFonts w:ascii="Times New Roman" w:eastAsia="Times New Roman" w:hAnsi="Times New Roman" w:cs="Times New Roman"/>
          <w:color w:val="000000" w:themeColor="text1"/>
          <w:sz w:val="24"/>
          <w:szCs w:val="24"/>
        </w:rPr>
        <w:t xml:space="preserve"> and enforcing proposals and applications</w:t>
      </w:r>
      <w:r w:rsidR="1733E477" w:rsidRPr="009C52D1">
        <w:rPr>
          <w:rFonts w:ascii="Times New Roman" w:eastAsia="Times New Roman" w:hAnsi="Times New Roman" w:cs="Times New Roman"/>
          <w:color w:val="000000" w:themeColor="text1"/>
          <w:sz w:val="24"/>
          <w:szCs w:val="24"/>
        </w:rPr>
        <w:t xml:space="preserve"> </w:t>
      </w:r>
      <w:r w:rsidR="33168116" w:rsidRPr="5E638383">
        <w:rPr>
          <w:rFonts w:ascii="Times New Roman" w:eastAsia="Times New Roman" w:hAnsi="Times New Roman" w:cs="Times New Roman"/>
          <w:color w:val="000000" w:themeColor="text1"/>
          <w:sz w:val="24"/>
          <w:szCs w:val="24"/>
        </w:rPr>
        <w:t>-</w:t>
      </w:r>
      <w:r w:rsidR="1733E477" w:rsidRPr="6141D069">
        <w:rPr>
          <w:rFonts w:ascii="Times New Roman" w:eastAsia="Times New Roman" w:hAnsi="Times New Roman" w:cs="Times New Roman"/>
          <w:color w:val="000000" w:themeColor="text1"/>
          <w:sz w:val="24"/>
          <w:szCs w:val="24"/>
        </w:rPr>
        <w:t xml:space="preserve"> </w:t>
      </w:r>
      <w:r w:rsidRPr="009C52D1">
        <w:rPr>
          <w:rFonts w:ascii="Times New Roman" w:eastAsia="Times New Roman" w:hAnsi="Times New Roman" w:cs="Times New Roman"/>
          <w:color w:val="000000" w:themeColor="text1"/>
          <w:sz w:val="24"/>
          <w:szCs w:val="24"/>
        </w:rPr>
        <w:t>an inherently onerous process. The complexity of the aforementioned responsibilities typically requires administrative agencies to rely on industry participants as providers of information.</w:t>
      </w:r>
      <w:r w:rsidRPr="009C52D1">
        <w:rPr>
          <w:rFonts w:ascii="Times New Roman" w:eastAsia="Times New Roman" w:hAnsi="Times New Roman" w:cs="Times New Roman"/>
          <w:color w:val="000000"/>
          <w:sz w:val="24"/>
          <w:szCs w:val="24"/>
          <w:vertAlign w:val="superscript"/>
        </w:rPr>
        <w:footnoteReference w:id="34"/>
      </w:r>
      <w:r w:rsidRPr="009C52D1">
        <w:rPr>
          <w:rFonts w:ascii="Times New Roman" w:eastAsia="Times New Roman" w:hAnsi="Times New Roman" w:cs="Times New Roman"/>
          <w:color w:val="000000" w:themeColor="text1"/>
          <w:sz w:val="24"/>
          <w:szCs w:val="24"/>
        </w:rPr>
        <w:t xml:space="preserve"> Deference to industry participants is also likely to occur in instances in which administrative or governmental agencies do not have </w:t>
      </w:r>
      <w:r w:rsidR="08ABF6F1" w:rsidRPr="0195822D">
        <w:rPr>
          <w:rFonts w:ascii="Times New Roman" w:eastAsia="Times New Roman" w:hAnsi="Times New Roman" w:cs="Times New Roman"/>
          <w:color w:val="000000" w:themeColor="text1"/>
          <w:sz w:val="24"/>
          <w:szCs w:val="24"/>
        </w:rPr>
        <w:t>a</w:t>
      </w:r>
      <w:r w:rsidR="00A00375">
        <w:rPr>
          <w:rFonts w:ascii="Times New Roman" w:eastAsia="Times New Roman" w:hAnsi="Times New Roman" w:cs="Times New Roman"/>
          <w:color w:val="000000" w:themeColor="text1"/>
          <w:sz w:val="24"/>
          <w:szCs w:val="24"/>
        </w:rPr>
        <w:t xml:space="preserve"> vested</w:t>
      </w:r>
      <w:r w:rsidR="08ABF6F1" w:rsidRPr="0195822D">
        <w:rPr>
          <w:rFonts w:ascii="Times New Roman" w:eastAsia="Times New Roman" w:hAnsi="Times New Roman" w:cs="Times New Roman"/>
          <w:color w:val="000000" w:themeColor="text1"/>
          <w:sz w:val="24"/>
          <w:szCs w:val="24"/>
        </w:rPr>
        <w:t xml:space="preserve"> </w:t>
      </w:r>
      <w:r w:rsidR="2FB0960C" w:rsidRPr="7AE23AD0">
        <w:rPr>
          <w:rFonts w:ascii="Times New Roman" w:eastAsia="Times New Roman" w:hAnsi="Times New Roman" w:cs="Times New Roman"/>
          <w:color w:val="000000" w:themeColor="text1"/>
          <w:sz w:val="24"/>
          <w:szCs w:val="24"/>
        </w:rPr>
        <w:t>interest</w:t>
      </w:r>
      <w:r w:rsidR="08ABF6F1" w:rsidRPr="7AE23AD0">
        <w:rPr>
          <w:rFonts w:ascii="Times New Roman" w:eastAsia="Times New Roman" w:hAnsi="Times New Roman" w:cs="Times New Roman"/>
          <w:color w:val="000000" w:themeColor="text1"/>
          <w:sz w:val="24"/>
          <w:szCs w:val="24"/>
        </w:rPr>
        <w:t xml:space="preserve"> </w:t>
      </w:r>
      <w:r w:rsidR="08ABF6F1" w:rsidRPr="7AE23AD0">
        <w:rPr>
          <w:rFonts w:ascii="Times New Roman" w:eastAsia="Times New Roman" w:hAnsi="Times New Roman" w:cs="Times New Roman"/>
          <w:color w:val="000000" w:themeColor="text1"/>
          <w:sz w:val="24"/>
          <w:szCs w:val="24"/>
        </w:rPr>
        <w:lastRenderedPageBreak/>
        <w:t>in the matter at hand</w:t>
      </w:r>
      <w:r w:rsidRPr="009C52D1">
        <w:rPr>
          <w:rFonts w:ascii="Times New Roman" w:eastAsia="Times New Roman" w:hAnsi="Times New Roman" w:cs="Times New Roman"/>
          <w:color w:val="000000" w:themeColor="text1"/>
          <w:sz w:val="24"/>
          <w:szCs w:val="24"/>
        </w:rPr>
        <w:t>.</w:t>
      </w:r>
      <w:r w:rsidR="00FF0A4D">
        <w:rPr>
          <w:rStyle w:val="FootnoteReference"/>
          <w:rFonts w:ascii="Times New Roman" w:eastAsia="Times New Roman" w:hAnsi="Times New Roman" w:cs="Times New Roman"/>
          <w:color w:val="000000" w:themeColor="text1"/>
          <w:sz w:val="24"/>
          <w:szCs w:val="24"/>
        </w:rPr>
        <w:footnoteReference w:id="35"/>
      </w:r>
      <w:r w:rsidRPr="009C52D1">
        <w:rPr>
          <w:rFonts w:ascii="Times New Roman" w:eastAsia="Times New Roman" w:hAnsi="Times New Roman" w:cs="Times New Roman"/>
          <w:color w:val="000000" w:themeColor="text1"/>
          <w:sz w:val="24"/>
          <w:szCs w:val="24"/>
        </w:rPr>
        <w:t xml:space="preserve"> Additionally, it is unlikely that the public interest could ever be summarized as a homogenous, unitary position; rather, it is necessarily diverse and complex.</w:t>
      </w:r>
      <w:r w:rsidR="00DF3C44">
        <w:rPr>
          <w:rStyle w:val="FootnoteReference"/>
          <w:rFonts w:ascii="Times New Roman" w:eastAsia="Times New Roman" w:hAnsi="Times New Roman" w:cs="Times New Roman"/>
          <w:color w:val="000000" w:themeColor="text1"/>
          <w:sz w:val="24"/>
          <w:szCs w:val="24"/>
        </w:rPr>
        <w:footnoteReference w:id="36"/>
      </w:r>
      <w:r w:rsidRPr="009C52D1">
        <w:rPr>
          <w:rFonts w:ascii="Times New Roman" w:eastAsia="Times New Roman" w:hAnsi="Times New Roman" w:cs="Times New Roman"/>
          <w:color w:val="000000" w:themeColor="text1"/>
          <w:sz w:val="24"/>
          <w:szCs w:val="24"/>
        </w:rPr>
        <w:t xml:space="preserve"> The mere existence of </w:t>
      </w:r>
      <w:r w:rsidR="7BA1A77A" w:rsidRPr="009C52D1">
        <w:rPr>
          <w:rFonts w:ascii="Times New Roman" w:eastAsia="Times New Roman" w:hAnsi="Times New Roman" w:cs="Times New Roman"/>
          <w:color w:val="000000" w:themeColor="text1"/>
          <w:sz w:val="24"/>
          <w:szCs w:val="24"/>
        </w:rPr>
        <w:t xml:space="preserve">an </w:t>
      </w:r>
      <w:r w:rsidRPr="009C52D1">
        <w:rPr>
          <w:rFonts w:ascii="Times New Roman" w:eastAsia="Times New Roman" w:hAnsi="Times New Roman" w:cs="Times New Roman"/>
          <w:color w:val="000000" w:themeColor="text1"/>
          <w:sz w:val="24"/>
          <w:szCs w:val="24"/>
        </w:rPr>
        <w:t>administrative or government agency is insufficient to adequately represent or protect the public interest, which in turn justifies the need for public comment on zinc emissions standards.</w:t>
      </w:r>
      <w:r w:rsidRPr="009C52D1">
        <w:rPr>
          <w:rFonts w:ascii="Times New Roman" w:eastAsia="Times New Roman" w:hAnsi="Times New Roman" w:cs="Times New Roman"/>
          <w:color w:val="000000"/>
          <w:sz w:val="24"/>
          <w:szCs w:val="24"/>
          <w:vertAlign w:val="superscript"/>
        </w:rPr>
        <w:footnoteReference w:id="37"/>
      </w:r>
    </w:p>
    <w:p w14:paraId="573BE0D9" w14:textId="12EB3213" w:rsidR="009C52D1" w:rsidRPr="00A0028A" w:rsidRDefault="009C52D1" w:rsidP="009C52D1">
      <w:pPr>
        <w:spacing w:after="0" w:line="480" w:lineRule="auto"/>
        <w:rPr>
          <w:rFonts w:ascii="Times New Roman" w:eastAsia="Times New Roman" w:hAnsi="Times New Roman" w:cs="Times New Roman"/>
          <w:b/>
          <w:bCs/>
          <w:i/>
          <w:iCs/>
          <w:color w:val="000000"/>
          <w:sz w:val="24"/>
          <w:szCs w:val="24"/>
        </w:rPr>
      </w:pPr>
      <w:r w:rsidRPr="00A0028A">
        <w:rPr>
          <w:rFonts w:ascii="Times New Roman" w:eastAsia="Times New Roman" w:hAnsi="Times New Roman" w:cs="Times New Roman"/>
          <w:b/>
          <w:i/>
          <w:color w:val="000000" w:themeColor="text1"/>
          <w:sz w:val="24"/>
          <w:szCs w:val="24"/>
        </w:rPr>
        <w:t>Exercising Precaution as a Principle</w:t>
      </w:r>
    </w:p>
    <w:p w14:paraId="0BC17E16" w14:textId="00C8DD5D" w:rsidR="009C52D1" w:rsidRPr="009C52D1" w:rsidRDefault="009C52D1" w:rsidP="00AA4063">
      <w:pPr>
        <w:spacing w:after="0" w:line="480" w:lineRule="auto"/>
        <w:ind w:firstLine="720"/>
        <w:rPr>
          <w:rFonts w:ascii="Times New Roman" w:eastAsia="Times New Roman" w:hAnsi="Times New Roman" w:cs="Times New Roman"/>
          <w:color w:val="000000"/>
          <w:sz w:val="24"/>
          <w:szCs w:val="24"/>
          <w:lang w:val="en-CA"/>
        </w:rPr>
      </w:pPr>
      <w:r w:rsidRPr="009C52D1">
        <w:rPr>
          <w:rFonts w:ascii="Times New Roman" w:eastAsia="Times New Roman" w:hAnsi="Times New Roman" w:cs="Times New Roman"/>
          <w:color w:val="000000" w:themeColor="text1"/>
          <w:sz w:val="24"/>
          <w:szCs w:val="24"/>
        </w:rPr>
        <w:t xml:space="preserve">The inherent vagueness of sustainable development doctrine can lead to ill-constructed legislative and regulatory frameworks. The interpretive difficulties can be observed when assessing whether the methodology proposed by the legislative framework is consistent with the precautionary principle. Principle 15 of the Rio Declaration provides a cogent expression of this principle by stating that </w:t>
      </w:r>
      <w:r w:rsidRPr="009C52D1">
        <w:rPr>
          <w:rFonts w:ascii="Times New Roman" w:eastAsia="Times New Roman" w:hAnsi="Times New Roman" w:cs="Times New Roman"/>
          <w:color w:val="000000" w:themeColor="text1"/>
          <w:sz w:val="24"/>
          <w:szCs w:val="24"/>
          <w:lang w:val="en-CA"/>
        </w:rPr>
        <w:t>“where there are threats of serious or irreversible damage, lack of full scientific certainty shall not be used as a reason for postponing cost-effective measures to prevent environmental degradation.”</w:t>
      </w:r>
      <w:r w:rsidRPr="009C52D1">
        <w:rPr>
          <w:rFonts w:ascii="Times New Roman" w:eastAsia="Times New Roman" w:hAnsi="Times New Roman" w:cs="Times New Roman"/>
          <w:color w:val="000000"/>
          <w:sz w:val="24"/>
          <w:szCs w:val="24"/>
          <w:vertAlign w:val="superscript"/>
          <w:lang w:val="en-CA"/>
        </w:rPr>
        <w:footnoteReference w:id="38"/>
      </w:r>
      <w:r w:rsidRPr="009C52D1">
        <w:rPr>
          <w:rFonts w:ascii="Times New Roman" w:eastAsia="Times New Roman" w:hAnsi="Times New Roman" w:cs="Times New Roman"/>
          <w:color w:val="000000" w:themeColor="text1"/>
          <w:sz w:val="24"/>
          <w:szCs w:val="24"/>
          <w:lang w:val="en-CA"/>
        </w:rPr>
        <w:t xml:space="preserve"> As established in </w:t>
      </w:r>
      <w:r w:rsidRPr="009C52D1">
        <w:rPr>
          <w:rFonts w:ascii="Times New Roman" w:eastAsia="Times New Roman" w:hAnsi="Times New Roman" w:cs="Times New Roman"/>
          <w:i/>
          <w:color w:val="000000" w:themeColor="text1"/>
          <w:sz w:val="24"/>
          <w:szCs w:val="24"/>
          <w:lang w:val="en-CA"/>
        </w:rPr>
        <w:t xml:space="preserve">Morton v. Canada (Fisheries and Oceans) FC 2019, </w:t>
      </w:r>
      <w:r w:rsidRPr="009C52D1">
        <w:rPr>
          <w:rFonts w:ascii="Times New Roman" w:eastAsia="Times New Roman" w:hAnsi="Times New Roman" w:cs="Times New Roman"/>
          <w:color w:val="000000" w:themeColor="text1"/>
          <w:sz w:val="24"/>
          <w:szCs w:val="24"/>
          <w:lang w:val="en-CA"/>
        </w:rPr>
        <w:t>the precautionary principle does not create substantive rights, nor does it indicate that the risk of any level of potential harm is acceptable until it reaches a state of irreversible harm.</w:t>
      </w:r>
      <w:r w:rsidR="0036548D">
        <w:rPr>
          <w:rStyle w:val="FootnoteReference"/>
          <w:rFonts w:ascii="Times New Roman" w:eastAsia="Times New Roman" w:hAnsi="Times New Roman" w:cs="Times New Roman"/>
          <w:color w:val="000000"/>
          <w:sz w:val="24"/>
          <w:szCs w:val="24"/>
          <w:lang w:val="en-CA"/>
        </w:rPr>
        <w:footnoteReference w:id="39"/>
      </w:r>
      <w:r w:rsidRPr="009C52D1">
        <w:rPr>
          <w:rFonts w:ascii="Times New Roman" w:eastAsia="Times New Roman" w:hAnsi="Times New Roman" w:cs="Times New Roman"/>
          <w:color w:val="000000" w:themeColor="text1"/>
          <w:sz w:val="24"/>
          <w:szCs w:val="24"/>
          <w:lang w:val="en-CA"/>
        </w:rPr>
        <w:t xml:space="preserve"> Rather, the principle urges the use of caution in situations in which information is uncertain. The Court further specified that steps must be taken in applicable circumstances to ensure that irreversible harm must be prevented, even in instances where the </w:t>
      </w:r>
      <w:r w:rsidRPr="009C52D1">
        <w:rPr>
          <w:rFonts w:ascii="Times New Roman" w:eastAsia="Times New Roman" w:hAnsi="Times New Roman" w:cs="Times New Roman"/>
          <w:color w:val="000000" w:themeColor="text1"/>
          <w:sz w:val="24"/>
          <w:szCs w:val="24"/>
          <w:lang w:val="en-CA"/>
        </w:rPr>
        <w:lastRenderedPageBreak/>
        <w:t>potential risk of harm is unclear.</w:t>
      </w:r>
      <w:r w:rsidRPr="009C52D1">
        <w:rPr>
          <w:rFonts w:ascii="Times New Roman" w:eastAsia="Times New Roman" w:hAnsi="Times New Roman" w:cs="Times New Roman"/>
          <w:color w:val="000000"/>
          <w:sz w:val="24"/>
          <w:szCs w:val="24"/>
          <w:vertAlign w:val="superscript"/>
          <w:lang w:val="en-CA"/>
        </w:rPr>
        <w:footnoteReference w:id="40"/>
      </w:r>
      <w:r w:rsidRPr="009C52D1">
        <w:rPr>
          <w:rFonts w:ascii="Times New Roman" w:eastAsia="Times New Roman" w:hAnsi="Times New Roman" w:cs="Times New Roman"/>
          <w:color w:val="000000" w:themeColor="text1"/>
          <w:sz w:val="24"/>
          <w:szCs w:val="24"/>
          <w:lang w:val="en-CA"/>
        </w:rPr>
        <w:t xml:space="preserve">  Given the unprecedented consideration of the adverse impacts of zinc emissions, it is necessary to engage the precautionary principle in this case. </w:t>
      </w:r>
    </w:p>
    <w:p w14:paraId="190ED2CF" w14:textId="1F5C2678" w:rsidR="009C52D1" w:rsidRPr="00A0028A" w:rsidRDefault="009C52D1" w:rsidP="00EA0303">
      <w:pPr>
        <w:spacing w:after="0" w:line="480" w:lineRule="auto"/>
        <w:rPr>
          <w:rFonts w:ascii="Times New Roman" w:eastAsia="Times New Roman" w:hAnsi="Times New Roman" w:cs="Times New Roman"/>
          <w:b/>
          <w:bCs/>
          <w:i/>
          <w:iCs/>
          <w:color w:val="000000"/>
          <w:sz w:val="24"/>
          <w:szCs w:val="24"/>
          <w:lang w:val="en-CA"/>
        </w:rPr>
      </w:pPr>
      <w:r w:rsidRPr="00A0028A">
        <w:rPr>
          <w:rFonts w:ascii="Times New Roman" w:eastAsia="Times New Roman" w:hAnsi="Times New Roman" w:cs="Times New Roman"/>
          <w:b/>
          <w:bCs/>
          <w:i/>
          <w:iCs/>
          <w:color w:val="000000"/>
          <w:sz w:val="24"/>
          <w:szCs w:val="24"/>
          <w:lang w:val="en-CA"/>
        </w:rPr>
        <w:t xml:space="preserve">Innovation through </w:t>
      </w:r>
      <w:r w:rsidR="00AA4063" w:rsidRPr="00A0028A">
        <w:rPr>
          <w:rFonts w:ascii="Times New Roman" w:eastAsia="Times New Roman" w:hAnsi="Times New Roman" w:cs="Times New Roman"/>
          <w:b/>
          <w:bCs/>
          <w:i/>
          <w:iCs/>
          <w:color w:val="000000"/>
          <w:sz w:val="24"/>
          <w:szCs w:val="24"/>
          <w:lang w:val="en-CA"/>
        </w:rPr>
        <w:t xml:space="preserve">Purposive </w:t>
      </w:r>
      <w:r w:rsidRPr="00A0028A">
        <w:rPr>
          <w:rFonts w:ascii="Times New Roman" w:eastAsia="Times New Roman" w:hAnsi="Times New Roman" w:cs="Times New Roman"/>
          <w:b/>
          <w:bCs/>
          <w:i/>
          <w:iCs/>
          <w:color w:val="000000"/>
          <w:sz w:val="24"/>
          <w:szCs w:val="24"/>
          <w:lang w:val="en-CA"/>
        </w:rPr>
        <w:t xml:space="preserve">Environmental Regulation </w:t>
      </w:r>
    </w:p>
    <w:p w14:paraId="377CFEAA" w14:textId="0AEE66CD" w:rsidR="004E676D" w:rsidRDefault="009C52D1" w:rsidP="00D33C67">
      <w:pPr>
        <w:spacing w:line="480" w:lineRule="auto"/>
        <w:ind w:firstLine="720"/>
        <w:rPr>
          <w:rFonts w:ascii="Times New Roman" w:eastAsia="Times New Roman" w:hAnsi="Times New Roman" w:cs="Times New Roman"/>
          <w:color w:val="000000" w:themeColor="text1"/>
          <w:sz w:val="24"/>
          <w:szCs w:val="24"/>
          <w:u w:val="single"/>
        </w:rPr>
      </w:pPr>
      <w:r w:rsidRPr="009C52D1">
        <w:rPr>
          <w:rFonts w:ascii="Times New Roman" w:eastAsia="Times New Roman" w:hAnsi="Times New Roman" w:cs="Times New Roman"/>
          <w:color w:val="000000" w:themeColor="text1"/>
          <w:sz w:val="24"/>
          <w:szCs w:val="24"/>
          <w:lang w:val="en-CA"/>
        </w:rPr>
        <w:t>Traditionally, environmental regulations such as emission requirements have been conceptualized as requiring firms to input resources (financial or labour) towards pollution reduction.</w:t>
      </w:r>
      <w:r w:rsidR="000104AA">
        <w:rPr>
          <w:rStyle w:val="FootnoteReference"/>
          <w:rFonts w:ascii="Times New Roman" w:eastAsia="Times New Roman" w:hAnsi="Times New Roman" w:cs="Times New Roman"/>
          <w:color w:val="000000" w:themeColor="text1"/>
          <w:sz w:val="24"/>
          <w:szCs w:val="24"/>
          <w:lang w:val="en-CA"/>
        </w:rPr>
        <w:footnoteReference w:id="41"/>
      </w:r>
      <w:r w:rsidRPr="009C52D1">
        <w:rPr>
          <w:rFonts w:ascii="Times New Roman" w:eastAsia="Times New Roman" w:hAnsi="Times New Roman" w:cs="Times New Roman"/>
          <w:color w:val="000000" w:themeColor="text1"/>
          <w:sz w:val="24"/>
          <w:szCs w:val="24"/>
          <w:lang w:val="en-CA"/>
        </w:rPr>
        <w:t xml:space="preserve"> However, this notion has been undermined by many who suggest that pollution often occurs as a result of wasteful practices. As posited by Professors Porter and van der Linde, often more stringent environmental regulations can reduce the waste of natural resources and trigger industry innovation.</w:t>
      </w:r>
      <w:r w:rsidR="007652A5">
        <w:rPr>
          <w:rStyle w:val="FootnoteReference"/>
          <w:rFonts w:ascii="Times New Roman" w:eastAsia="Times New Roman" w:hAnsi="Times New Roman" w:cs="Times New Roman"/>
          <w:color w:val="000000" w:themeColor="text1"/>
          <w:sz w:val="24"/>
          <w:szCs w:val="24"/>
          <w:lang w:val="en-CA"/>
        </w:rPr>
        <w:footnoteReference w:id="42"/>
      </w:r>
      <w:r w:rsidRPr="009C52D1">
        <w:rPr>
          <w:rFonts w:ascii="Times New Roman" w:eastAsia="Times New Roman" w:hAnsi="Times New Roman" w:cs="Times New Roman"/>
          <w:color w:val="000000" w:themeColor="text1"/>
          <w:sz w:val="24"/>
          <w:szCs w:val="24"/>
          <w:lang w:val="en-CA"/>
        </w:rPr>
        <w:t xml:space="preserve"> Specially, Porter and van der Linde provide five contextual factors that support the need for stringent yet carefully crafted environmental regulations.</w:t>
      </w:r>
      <w:r w:rsidR="00C26523">
        <w:rPr>
          <w:rStyle w:val="FootnoteReference"/>
          <w:rFonts w:ascii="Times New Roman" w:eastAsia="Times New Roman" w:hAnsi="Times New Roman" w:cs="Times New Roman"/>
          <w:color w:val="000000" w:themeColor="text1"/>
          <w:sz w:val="24"/>
          <w:szCs w:val="24"/>
          <w:lang w:val="en-CA"/>
        </w:rPr>
        <w:footnoteReference w:id="43"/>
      </w:r>
      <w:r w:rsidRPr="009C52D1">
        <w:rPr>
          <w:rFonts w:ascii="Times New Roman" w:eastAsia="Times New Roman" w:hAnsi="Times New Roman" w:cs="Times New Roman"/>
          <w:color w:val="000000" w:themeColor="text1"/>
          <w:sz w:val="24"/>
          <w:szCs w:val="24"/>
          <w:lang w:val="en-CA"/>
        </w:rPr>
        <w:t xml:space="preserve"> Particularly pertinent to the proposal at hand is the notion that the implementation of regulatory framework highlights potential inefficiencies which subsequently creates pressure to implement procedural or technological improvements. Additionally, Porter proposes that well-designed regulation can enhance competitiveness (the </w:t>
      </w:r>
      <w:r w:rsidR="0674D198" w:rsidRPr="6141D069">
        <w:rPr>
          <w:rFonts w:ascii="Times New Roman" w:eastAsia="Times New Roman" w:hAnsi="Times New Roman" w:cs="Times New Roman"/>
          <w:color w:val="000000" w:themeColor="text1"/>
          <w:sz w:val="24"/>
          <w:szCs w:val="24"/>
          <w:lang w:val="en-CA"/>
        </w:rPr>
        <w:t>“</w:t>
      </w:r>
      <w:r w:rsidRPr="009C52D1">
        <w:rPr>
          <w:rFonts w:ascii="Times New Roman" w:eastAsia="Times New Roman" w:hAnsi="Times New Roman" w:cs="Times New Roman"/>
          <w:color w:val="000000" w:themeColor="text1"/>
          <w:sz w:val="24"/>
          <w:szCs w:val="24"/>
          <w:lang w:val="en-CA"/>
        </w:rPr>
        <w:t>Porter Hypothesis</w:t>
      </w:r>
      <w:r w:rsidR="7AC78F78" w:rsidRPr="6141D069">
        <w:rPr>
          <w:rFonts w:ascii="Times New Roman" w:eastAsia="Times New Roman" w:hAnsi="Times New Roman" w:cs="Times New Roman"/>
          <w:color w:val="000000" w:themeColor="text1"/>
          <w:sz w:val="24"/>
          <w:szCs w:val="24"/>
          <w:lang w:val="en-CA"/>
        </w:rPr>
        <w:t>”</w:t>
      </w:r>
      <w:r w:rsidRPr="6141D069">
        <w:rPr>
          <w:rFonts w:ascii="Times New Roman" w:eastAsia="Times New Roman" w:hAnsi="Times New Roman" w:cs="Times New Roman"/>
          <w:color w:val="000000" w:themeColor="text1"/>
          <w:sz w:val="24"/>
          <w:szCs w:val="24"/>
          <w:lang w:val="en-CA"/>
        </w:rPr>
        <w:t>).</w:t>
      </w:r>
      <w:r w:rsidR="007652A5">
        <w:rPr>
          <w:rStyle w:val="FootnoteReference"/>
          <w:rFonts w:ascii="Times New Roman" w:eastAsia="Times New Roman" w:hAnsi="Times New Roman" w:cs="Times New Roman"/>
          <w:color w:val="000000" w:themeColor="text1"/>
          <w:sz w:val="24"/>
          <w:szCs w:val="24"/>
          <w:lang w:val="en-CA"/>
        </w:rPr>
        <w:footnoteReference w:id="44"/>
      </w:r>
      <w:r w:rsidR="007652A5">
        <w:rPr>
          <w:rFonts w:ascii="Times New Roman" w:eastAsia="Times New Roman" w:hAnsi="Times New Roman" w:cs="Times New Roman"/>
          <w:color w:val="000000" w:themeColor="text1"/>
          <w:sz w:val="24"/>
          <w:szCs w:val="24"/>
          <w:lang w:val="en-CA"/>
        </w:rPr>
        <w:t xml:space="preserve"> </w:t>
      </w:r>
      <w:r w:rsidR="00D05F2B">
        <w:rPr>
          <w:rFonts w:ascii="Times New Roman" w:eastAsia="Times New Roman" w:hAnsi="Times New Roman" w:cs="Times New Roman"/>
          <w:color w:val="000000" w:themeColor="text1"/>
          <w:sz w:val="24"/>
          <w:szCs w:val="24"/>
          <w:lang w:val="en-CA"/>
        </w:rPr>
        <w:t xml:space="preserve">The Porter Hypothesis has received wide-spread acclaim </w:t>
      </w:r>
      <w:r w:rsidR="004B62B8">
        <w:rPr>
          <w:rFonts w:ascii="Times New Roman" w:eastAsia="Times New Roman" w:hAnsi="Times New Roman" w:cs="Times New Roman"/>
          <w:color w:val="000000" w:themeColor="text1"/>
          <w:sz w:val="24"/>
          <w:szCs w:val="24"/>
          <w:lang w:val="en-CA"/>
        </w:rPr>
        <w:t>since its publication in</w:t>
      </w:r>
      <w:r w:rsidR="00ED0BDF">
        <w:rPr>
          <w:rFonts w:ascii="Times New Roman" w:eastAsia="Times New Roman" w:hAnsi="Times New Roman" w:cs="Times New Roman"/>
          <w:color w:val="000000" w:themeColor="text1"/>
          <w:sz w:val="24"/>
          <w:szCs w:val="24"/>
          <w:lang w:val="en-CA"/>
        </w:rPr>
        <w:t xml:space="preserve"> 1995</w:t>
      </w:r>
      <w:r w:rsidR="00A26D3A">
        <w:rPr>
          <w:rStyle w:val="FootnoteReference"/>
          <w:rFonts w:ascii="Times New Roman" w:eastAsia="Times New Roman" w:hAnsi="Times New Roman" w:cs="Times New Roman"/>
          <w:color w:val="000000" w:themeColor="text1"/>
          <w:sz w:val="24"/>
          <w:szCs w:val="24"/>
          <w:lang w:val="en-CA"/>
        </w:rPr>
        <w:footnoteReference w:id="45"/>
      </w:r>
      <w:r w:rsidR="00ED0BDF">
        <w:rPr>
          <w:rFonts w:ascii="Times New Roman" w:eastAsia="Times New Roman" w:hAnsi="Times New Roman" w:cs="Times New Roman"/>
          <w:color w:val="000000" w:themeColor="text1"/>
          <w:sz w:val="24"/>
          <w:szCs w:val="24"/>
          <w:lang w:val="en-CA"/>
        </w:rPr>
        <w:t xml:space="preserve">, if accepted, ought to be incorporated in standard setting discussions. </w:t>
      </w:r>
      <w:r w:rsidR="00D05F2B">
        <w:rPr>
          <w:rFonts w:ascii="Times New Roman" w:eastAsia="Times New Roman" w:hAnsi="Times New Roman" w:cs="Times New Roman"/>
          <w:color w:val="000000" w:themeColor="text1"/>
          <w:sz w:val="24"/>
          <w:szCs w:val="24"/>
          <w:lang w:val="en-CA"/>
        </w:rPr>
        <w:t xml:space="preserve"> </w:t>
      </w:r>
    </w:p>
    <w:p w14:paraId="50F2DA91" w14:textId="36D17760" w:rsidR="009C52D1" w:rsidRPr="00A0028A" w:rsidRDefault="00A916E5" w:rsidP="00A87AB4">
      <w:pPr>
        <w:spacing w:after="0" w:line="480" w:lineRule="auto"/>
        <w:rPr>
          <w:rFonts w:ascii="Times New Roman" w:eastAsia="Times New Roman" w:hAnsi="Times New Roman" w:cs="Times New Roman"/>
          <w:b/>
          <w:i/>
          <w:color w:val="000000"/>
          <w:sz w:val="24"/>
          <w:szCs w:val="24"/>
          <w:lang w:val="en-CA"/>
        </w:rPr>
      </w:pPr>
      <w:r w:rsidRPr="00A0028A">
        <w:rPr>
          <w:rFonts w:ascii="Times New Roman" w:eastAsia="Times New Roman" w:hAnsi="Times New Roman" w:cs="Times New Roman"/>
          <w:b/>
          <w:bCs/>
          <w:i/>
          <w:color w:val="000000" w:themeColor="text1"/>
          <w:sz w:val="24"/>
          <w:szCs w:val="24"/>
        </w:rPr>
        <w:t xml:space="preserve">Death by </w:t>
      </w:r>
      <w:r w:rsidR="009C52D1" w:rsidRPr="00A0028A">
        <w:rPr>
          <w:rFonts w:ascii="Times New Roman" w:eastAsia="Times New Roman" w:hAnsi="Times New Roman" w:cs="Times New Roman"/>
          <w:b/>
          <w:bCs/>
          <w:i/>
          <w:iCs/>
          <w:color w:val="000000" w:themeColor="text1"/>
          <w:sz w:val="24"/>
          <w:szCs w:val="24"/>
        </w:rPr>
        <w:t>one thousand</w:t>
      </w:r>
      <w:r w:rsidRPr="00A0028A">
        <w:rPr>
          <w:rFonts w:ascii="Times New Roman" w:eastAsia="Times New Roman" w:hAnsi="Times New Roman" w:cs="Times New Roman"/>
          <w:b/>
          <w:bCs/>
          <w:i/>
          <w:color w:val="000000" w:themeColor="text1"/>
          <w:sz w:val="24"/>
          <w:szCs w:val="24"/>
        </w:rPr>
        <w:t xml:space="preserve"> cuts</w:t>
      </w:r>
    </w:p>
    <w:p w14:paraId="31B113B8" w14:textId="23A34D67" w:rsidR="009C52D1" w:rsidRPr="002B109E" w:rsidRDefault="009C52D1" w:rsidP="00A87AB4">
      <w:pPr>
        <w:spacing w:after="0" w:line="480" w:lineRule="auto"/>
        <w:ind w:firstLine="720"/>
        <w:rPr>
          <w:rFonts w:ascii="Times New Roman" w:eastAsia="Times New Roman" w:hAnsi="Times New Roman" w:cs="Times New Roman"/>
          <w:color w:val="000000"/>
          <w:sz w:val="24"/>
          <w:szCs w:val="24"/>
        </w:rPr>
      </w:pPr>
      <w:r w:rsidRPr="6141D069">
        <w:rPr>
          <w:rFonts w:ascii="Times New Roman" w:eastAsia="Times New Roman" w:hAnsi="Times New Roman" w:cs="Times New Roman"/>
          <w:color w:val="000000" w:themeColor="text1"/>
          <w:sz w:val="24"/>
          <w:szCs w:val="24"/>
        </w:rPr>
        <w:t xml:space="preserve">All </w:t>
      </w:r>
      <w:r w:rsidRPr="009C52D1">
        <w:rPr>
          <w:rFonts w:ascii="Times New Roman" w:eastAsia="Times New Roman" w:hAnsi="Times New Roman" w:cs="Times New Roman"/>
          <w:color w:val="000000" w:themeColor="text1"/>
          <w:sz w:val="24"/>
          <w:szCs w:val="24"/>
        </w:rPr>
        <w:t>pollutants discussed in the Report</w:t>
      </w:r>
      <w:r w:rsidRPr="6141D069">
        <w:rPr>
          <w:rFonts w:ascii="Times New Roman" w:eastAsia="Times New Roman" w:hAnsi="Times New Roman" w:cs="Times New Roman"/>
          <w:color w:val="000000" w:themeColor="text1"/>
          <w:sz w:val="24"/>
          <w:szCs w:val="24"/>
        </w:rPr>
        <w:t xml:space="preserve"> are required to</w:t>
      </w:r>
      <w:r w:rsidRPr="009C52D1">
        <w:rPr>
          <w:rFonts w:ascii="Times New Roman" w:eastAsia="Times New Roman" w:hAnsi="Times New Roman" w:cs="Times New Roman"/>
          <w:color w:val="000000" w:themeColor="text1"/>
          <w:sz w:val="24"/>
          <w:szCs w:val="24"/>
        </w:rPr>
        <w:t xml:space="preserve"> comp</w:t>
      </w:r>
      <w:r w:rsidRPr="6141D069">
        <w:rPr>
          <w:rFonts w:ascii="Times New Roman" w:eastAsia="Times New Roman" w:hAnsi="Times New Roman" w:cs="Times New Roman"/>
          <w:color w:val="000000" w:themeColor="text1"/>
          <w:sz w:val="24"/>
          <w:szCs w:val="24"/>
        </w:rPr>
        <w:t>ly</w:t>
      </w:r>
      <w:r w:rsidRPr="009C52D1">
        <w:rPr>
          <w:rFonts w:ascii="Times New Roman" w:eastAsia="Times New Roman" w:hAnsi="Times New Roman" w:cs="Times New Roman"/>
          <w:color w:val="000000" w:themeColor="text1"/>
          <w:sz w:val="24"/>
          <w:szCs w:val="24"/>
        </w:rPr>
        <w:t xml:space="preserve"> with emission limits </w:t>
      </w:r>
      <w:r w:rsidRPr="6141D069">
        <w:rPr>
          <w:rFonts w:ascii="Times New Roman" w:eastAsia="Times New Roman" w:hAnsi="Times New Roman" w:cs="Times New Roman"/>
          <w:color w:val="000000" w:themeColor="text1"/>
          <w:sz w:val="24"/>
          <w:szCs w:val="24"/>
        </w:rPr>
        <w:t xml:space="preserve">on </w:t>
      </w:r>
      <w:r w:rsidRPr="009C52D1">
        <w:rPr>
          <w:rFonts w:ascii="Times New Roman" w:eastAsia="Times New Roman" w:hAnsi="Times New Roman" w:cs="Times New Roman"/>
          <w:color w:val="000000" w:themeColor="text1"/>
          <w:sz w:val="24"/>
          <w:szCs w:val="24"/>
        </w:rPr>
        <w:t>an emitter-by-emitter basis</w:t>
      </w:r>
      <w:r w:rsidR="64A77BDF" w:rsidRPr="39A6C97D">
        <w:rPr>
          <w:rFonts w:ascii="Times New Roman" w:eastAsia="Times New Roman" w:hAnsi="Times New Roman" w:cs="Times New Roman"/>
          <w:color w:val="000000" w:themeColor="text1"/>
          <w:sz w:val="24"/>
          <w:szCs w:val="24"/>
        </w:rPr>
        <w:t>, meaning that the cumulative effects of multiple emitters are not considered.</w:t>
      </w:r>
      <w:r w:rsidRPr="6141D069">
        <w:rPr>
          <w:rFonts w:ascii="Times New Roman" w:eastAsia="Times New Roman" w:hAnsi="Times New Roman" w:cs="Times New Roman"/>
          <w:color w:val="000000" w:themeColor="text1"/>
          <w:sz w:val="24"/>
          <w:szCs w:val="24"/>
        </w:rPr>
        <w:t xml:space="preserve"> </w:t>
      </w:r>
      <w:r w:rsidRPr="009C52D1">
        <w:rPr>
          <w:rFonts w:ascii="Times New Roman" w:eastAsia="Times New Roman" w:hAnsi="Times New Roman" w:cs="Times New Roman"/>
          <w:color w:val="000000" w:themeColor="text1"/>
          <w:sz w:val="24"/>
          <w:szCs w:val="24"/>
        </w:rPr>
        <w:t xml:space="preserve">Concentrations of these pollutants are measured in micrograms per square meter of </w:t>
      </w:r>
      <w:r w:rsidRPr="009C52D1">
        <w:rPr>
          <w:rFonts w:ascii="Times New Roman" w:eastAsia="Times New Roman" w:hAnsi="Times New Roman" w:cs="Times New Roman"/>
          <w:color w:val="000000" w:themeColor="text1"/>
          <w:sz w:val="24"/>
          <w:szCs w:val="24"/>
        </w:rPr>
        <w:lastRenderedPageBreak/>
        <w:t>airspace at the Point of Impingement (POI), which is where the contaminant makes contact with buildings or the ground.</w:t>
      </w:r>
      <w:r w:rsidRPr="39A6C97D">
        <w:rPr>
          <w:rStyle w:val="FootnoteReference"/>
          <w:rFonts w:ascii="Times New Roman" w:eastAsia="Times New Roman" w:hAnsi="Times New Roman" w:cs="Times New Roman"/>
          <w:color w:val="000000" w:themeColor="text1"/>
          <w:sz w:val="24"/>
          <w:szCs w:val="24"/>
        </w:rPr>
        <w:footnoteReference w:id="46"/>
      </w:r>
      <w:r w:rsidRPr="009C52D1">
        <w:rPr>
          <w:rFonts w:ascii="Times New Roman" w:eastAsia="Times New Roman" w:hAnsi="Times New Roman" w:cs="Times New Roman"/>
          <w:color w:val="000000" w:themeColor="text1"/>
          <w:sz w:val="24"/>
          <w:szCs w:val="24"/>
        </w:rPr>
        <w:t xml:space="preserve"> The estimated POI concentration must fall below the level specified by the regulations everywhere within a 5-kilometer radius of the emissions site.</w:t>
      </w:r>
      <w:r w:rsidRPr="009C52D1">
        <w:rPr>
          <w:rFonts w:ascii="Times New Roman" w:eastAsia="Times New Roman" w:hAnsi="Times New Roman" w:cs="Times New Roman"/>
          <w:color w:val="000000"/>
          <w:sz w:val="24"/>
          <w:szCs w:val="24"/>
          <w:vertAlign w:val="superscript"/>
        </w:rPr>
        <w:footnoteReference w:id="47"/>
      </w:r>
      <w:r w:rsidRPr="009C52D1">
        <w:rPr>
          <w:rFonts w:ascii="Times New Roman" w:eastAsia="Times New Roman" w:hAnsi="Times New Roman" w:cs="Times New Roman"/>
          <w:color w:val="000000" w:themeColor="text1"/>
          <w:sz w:val="24"/>
          <w:szCs w:val="24"/>
        </w:rPr>
        <w:t xml:space="preserve"> Specialized modeling techniques are used to account for exogenous variables like weather conditions when estimating POI concentrations.</w:t>
      </w:r>
      <w:r w:rsidRPr="009C52D1">
        <w:rPr>
          <w:rFonts w:ascii="Times New Roman" w:eastAsia="Times New Roman" w:hAnsi="Times New Roman" w:cs="Times New Roman"/>
          <w:color w:val="000000"/>
          <w:sz w:val="24"/>
          <w:szCs w:val="24"/>
          <w:vertAlign w:val="superscript"/>
        </w:rPr>
        <w:footnoteReference w:id="48"/>
      </w:r>
      <w:r w:rsidRPr="009C52D1">
        <w:rPr>
          <w:rFonts w:ascii="Times New Roman" w:eastAsia="Times New Roman" w:hAnsi="Times New Roman" w:cs="Times New Roman"/>
          <w:color w:val="000000" w:themeColor="text1"/>
          <w:sz w:val="24"/>
          <w:szCs w:val="24"/>
        </w:rPr>
        <w:t xml:space="preserve"> According to the Report, the galvanizing plant satisfies the POI concentration standards for all pollutants </w:t>
      </w:r>
      <w:r w:rsidR="3A2E308A" w:rsidRPr="009C52D1">
        <w:rPr>
          <w:rFonts w:ascii="Times New Roman" w:eastAsia="Times New Roman" w:hAnsi="Times New Roman" w:cs="Times New Roman"/>
          <w:color w:val="000000" w:themeColor="text1"/>
          <w:sz w:val="24"/>
          <w:szCs w:val="24"/>
        </w:rPr>
        <w:t>apart from</w:t>
      </w:r>
      <w:r w:rsidRPr="009C52D1">
        <w:rPr>
          <w:rFonts w:ascii="Times New Roman" w:eastAsia="Times New Roman" w:hAnsi="Times New Roman" w:cs="Times New Roman"/>
          <w:color w:val="000000" w:themeColor="text1"/>
          <w:sz w:val="24"/>
          <w:szCs w:val="24"/>
        </w:rPr>
        <w:t xml:space="preserve"> </w:t>
      </w:r>
      <w:r w:rsidRPr="00711CD8">
        <w:rPr>
          <w:rFonts w:ascii="Times New Roman" w:eastAsia="Times New Roman" w:hAnsi="Times New Roman" w:cs="Times New Roman"/>
          <w:color w:val="000000" w:themeColor="text1"/>
          <w:sz w:val="24"/>
          <w:szCs w:val="24"/>
        </w:rPr>
        <w:t>hydrochloric acid, which is discussed below.</w:t>
      </w:r>
      <w:r w:rsidRPr="009C52D1">
        <w:rPr>
          <w:rFonts w:ascii="Times New Roman" w:eastAsia="Times New Roman" w:hAnsi="Times New Roman" w:cs="Times New Roman"/>
          <w:color w:val="000000" w:themeColor="text1"/>
          <w:sz w:val="24"/>
          <w:szCs w:val="24"/>
        </w:rPr>
        <w:t xml:space="preserve"> </w:t>
      </w:r>
    </w:p>
    <w:p w14:paraId="3EEA4947" w14:textId="1413D55D" w:rsidR="00711CD8" w:rsidRDefault="009C52D1" w:rsidP="00711CD8">
      <w:pPr>
        <w:spacing w:after="0" w:line="480" w:lineRule="auto"/>
        <w:ind w:firstLine="720"/>
        <w:rPr>
          <w:rFonts w:ascii="Times New Roman" w:eastAsia="Times New Roman" w:hAnsi="Times New Roman" w:cs="Times New Roman"/>
          <w:color w:val="000000" w:themeColor="text1"/>
          <w:sz w:val="24"/>
          <w:szCs w:val="24"/>
        </w:rPr>
      </w:pPr>
      <w:r w:rsidRPr="009C52D1">
        <w:rPr>
          <w:rFonts w:ascii="Times New Roman" w:eastAsia="Times New Roman" w:hAnsi="Times New Roman" w:cs="Times New Roman"/>
          <w:color w:val="000000" w:themeColor="text1"/>
          <w:sz w:val="24"/>
          <w:szCs w:val="24"/>
        </w:rPr>
        <w:t>Although we have no reason to doubt the accuracy of these findings, our concern is that the emitter-by-emitter methodology for determining safe emissions levels does not address the problem of “death by a thousand cuts,” a term used in environmental law scholarship to refer to the cumulative effects of multiple sources of pollution approved on an individual basis without regard for their collective impact.</w:t>
      </w:r>
      <w:r w:rsidRPr="009C52D1">
        <w:rPr>
          <w:rFonts w:ascii="Times New Roman" w:eastAsia="Times New Roman" w:hAnsi="Times New Roman" w:cs="Times New Roman"/>
          <w:color w:val="000000"/>
          <w:sz w:val="24"/>
          <w:szCs w:val="24"/>
          <w:vertAlign w:val="superscript"/>
        </w:rPr>
        <w:footnoteReference w:id="49"/>
      </w:r>
      <w:r w:rsidRPr="009C52D1">
        <w:rPr>
          <w:rFonts w:ascii="Times New Roman" w:eastAsia="Times New Roman" w:hAnsi="Times New Roman" w:cs="Times New Roman"/>
          <w:color w:val="000000" w:themeColor="text1"/>
          <w:sz w:val="24"/>
          <w:szCs w:val="24"/>
        </w:rPr>
        <w:t xml:space="preserve"> With POI limits, this problem is exacerbated by the fact that the effects of pollutants outside the 5-kilometer radius are not considered.</w:t>
      </w:r>
      <w:r w:rsidRPr="009C52D1">
        <w:rPr>
          <w:rFonts w:ascii="Times New Roman" w:eastAsia="Times New Roman" w:hAnsi="Times New Roman" w:cs="Times New Roman"/>
          <w:color w:val="000000"/>
          <w:sz w:val="24"/>
          <w:szCs w:val="24"/>
          <w:vertAlign w:val="superscript"/>
        </w:rPr>
        <w:footnoteReference w:id="50"/>
      </w:r>
      <w:r w:rsidRPr="009C52D1">
        <w:rPr>
          <w:rFonts w:ascii="Times New Roman" w:eastAsia="Times New Roman" w:hAnsi="Times New Roman" w:cs="Times New Roman"/>
          <w:color w:val="000000" w:themeColor="text1"/>
          <w:sz w:val="24"/>
          <w:szCs w:val="24"/>
        </w:rPr>
        <w:t xml:space="preserve"> </w:t>
      </w:r>
    </w:p>
    <w:p w14:paraId="6596CA9D" w14:textId="6673E129" w:rsidR="009C52D1" w:rsidRPr="00711CD8" w:rsidRDefault="009C52D1" w:rsidP="00A87AB4">
      <w:pPr>
        <w:spacing w:after="0" w:line="480" w:lineRule="auto"/>
        <w:ind w:firstLine="720"/>
        <w:rPr>
          <w:rFonts w:ascii="Times New Roman" w:eastAsia="Times New Roman" w:hAnsi="Times New Roman" w:cs="Times New Roman"/>
          <w:color w:val="000000" w:themeColor="text1"/>
          <w:sz w:val="24"/>
          <w:szCs w:val="24"/>
        </w:rPr>
      </w:pPr>
      <w:r w:rsidRPr="009C52D1">
        <w:rPr>
          <w:rFonts w:ascii="Times New Roman" w:eastAsia="Times New Roman" w:hAnsi="Times New Roman" w:cs="Times New Roman"/>
          <w:color w:val="000000" w:themeColor="text1"/>
          <w:sz w:val="24"/>
          <w:szCs w:val="24"/>
        </w:rPr>
        <w:t xml:space="preserve">While we do not wish to detract from the assessment of logistical and chemical specificities, it is necessary to consider the implications of the non-cumulative assessment process. The pollutants in the Report </w:t>
      </w:r>
      <w:r w:rsidR="63E5EAA2" w:rsidRPr="009C52D1">
        <w:rPr>
          <w:rFonts w:ascii="Times New Roman" w:eastAsia="Times New Roman" w:hAnsi="Times New Roman" w:cs="Times New Roman"/>
          <w:color w:val="000000" w:themeColor="text1"/>
          <w:sz w:val="24"/>
          <w:szCs w:val="24"/>
        </w:rPr>
        <w:t>c</w:t>
      </w:r>
      <w:r w:rsidRPr="009C52D1">
        <w:rPr>
          <w:rFonts w:ascii="Times New Roman" w:eastAsia="Times New Roman" w:hAnsi="Times New Roman" w:cs="Times New Roman"/>
          <w:color w:val="000000" w:themeColor="text1"/>
          <w:sz w:val="24"/>
          <w:szCs w:val="24"/>
        </w:rPr>
        <w:t>o</w:t>
      </w:r>
      <w:r w:rsidR="63E5EAA2" w:rsidRPr="009C52D1">
        <w:rPr>
          <w:rFonts w:ascii="Times New Roman" w:eastAsia="Times New Roman" w:hAnsi="Times New Roman" w:cs="Times New Roman"/>
          <w:color w:val="000000" w:themeColor="text1"/>
          <w:sz w:val="24"/>
          <w:szCs w:val="24"/>
        </w:rPr>
        <w:t>uld</w:t>
      </w:r>
      <w:r w:rsidRPr="009C52D1">
        <w:rPr>
          <w:rFonts w:ascii="Times New Roman" w:eastAsia="Times New Roman" w:hAnsi="Times New Roman" w:cs="Times New Roman"/>
          <w:color w:val="000000" w:themeColor="text1"/>
          <w:sz w:val="24"/>
          <w:szCs w:val="24"/>
        </w:rPr>
        <w:t xml:space="preserve"> negatively impact the environmental quality of the surrounding area. Specifically pertinent to this application is the effect of emissions on air quality, a public good.</w:t>
      </w:r>
      <w:r w:rsidRPr="009C52D1">
        <w:rPr>
          <w:rFonts w:ascii="Times New Roman" w:eastAsia="Times New Roman" w:hAnsi="Times New Roman" w:cs="Times New Roman"/>
          <w:color w:val="000000"/>
          <w:sz w:val="24"/>
          <w:szCs w:val="24"/>
          <w:vertAlign w:val="superscript"/>
        </w:rPr>
        <w:footnoteReference w:id="51"/>
      </w:r>
      <w:r w:rsidRPr="009C52D1">
        <w:rPr>
          <w:rFonts w:ascii="Times New Roman" w:eastAsia="Times New Roman" w:hAnsi="Times New Roman" w:cs="Times New Roman"/>
          <w:color w:val="000000"/>
          <w:sz w:val="24"/>
          <w:szCs w:val="24"/>
        </w:rPr>
        <w:t xml:space="preserve"> As such, the impacts of these pollutants on the environment cannot be assessed without appropriately considering the pre-existing sources of pollution in the geographic region at hand. For these reasons, we humbly request that the Ministry recognize that </w:t>
      </w:r>
      <w:r w:rsidRPr="009C52D1">
        <w:rPr>
          <w:rFonts w:ascii="Times New Roman" w:eastAsia="Times New Roman" w:hAnsi="Times New Roman" w:cs="Times New Roman"/>
          <w:color w:val="000000"/>
          <w:sz w:val="24"/>
          <w:szCs w:val="24"/>
        </w:rPr>
        <w:lastRenderedPageBreak/>
        <w:t xml:space="preserve">the effect of the pollutants in the Report cannot be evaluated without consideration of existing sources of pollution in the region. </w:t>
      </w:r>
    </w:p>
    <w:p w14:paraId="32D3E8B4" w14:textId="7BD4696C" w:rsidR="00C96304" w:rsidRPr="00A0028A" w:rsidRDefault="00C96304" w:rsidP="00A87AB4">
      <w:pPr>
        <w:spacing w:after="0" w:line="480" w:lineRule="auto"/>
        <w:rPr>
          <w:rFonts w:ascii="Times New Roman" w:eastAsia="Times New Roman" w:hAnsi="Times New Roman" w:cs="Times New Roman"/>
          <w:b/>
          <w:i/>
          <w:color w:val="000000" w:themeColor="text1"/>
          <w:sz w:val="24"/>
          <w:szCs w:val="24"/>
        </w:rPr>
      </w:pPr>
      <w:r w:rsidRPr="00A0028A">
        <w:rPr>
          <w:rFonts w:ascii="Times New Roman" w:eastAsia="Times New Roman" w:hAnsi="Times New Roman" w:cs="Times New Roman"/>
          <w:b/>
          <w:bCs/>
          <w:i/>
          <w:iCs/>
          <w:color w:val="000000" w:themeColor="text1"/>
          <w:sz w:val="24"/>
          <w:szCs w:val="24"/>
        </w:rPr>
        <w:t>Concerns</w:t>
      </w:r>
      <w:r w:rsidR="173DC328" w:rsidRPr="00A0028A">
        <w:rPr>
          <w:rFonts w:ascii="Times New Roman" w:eastAsia="Times New Roman" w:hAnsi="Times New Roman" w:cs="Times New Roman"/>
          <w:b/>
          <w:bCs/>
          <w:i/>
          <w:iCs/>
          <w:color w:val="000000" w:themeColor="text1"/>
          <w:sz w:val="24"/>
          <w:szCs w:val="24"/>
        </w:rPr>
        <w:t xml:space="preserve"> About the Applicant Firm</w:t>
      </w:r>
    </w:p>
    <w:p w14:paraId="2885A4DA" w14:textId="2B014326" w:rsidR="00FB1318" w:rsidRDefault="00C05D16" w:rsidP="00A87AB4">
      <w:pPr>
        <w:spacing w:line="480" w:lineRule="auto"/>
        <w:ind w:firstLine="360"/>
        <w:rPr>
          <w:rFonts w:ascii="Times New Roman" w:eastAsia="Times New Roman" w:hAnsi="Times New Roman" w:cs="Times New Roman"/>
          <w:color w:val="000000" w:themeColor="text1"/>
          <w:sz w:val="24"/>
          <w:szCs w:val="24"/>
        </w:rPr>
      </w:pPr>
      <w:r w:rsidRPr="00C05D16">
        <w:rPr>
          <w:rFonts w:ascii="Times New Roman" w:eastAsia="Times New Roman" w:hAnsi="Times New Roman" w:cs="Times New Roman"/>
          <w:bCs/>
          <w:iCs/>
          <w:color w:val="000000" w:themeColor="text1"/>
          <w:sz w:val="24"/>
          <w:szCs w:val="24"/>
        </w:rPr>
        <w:t xml:space="preserve">In addition to the legal and policy </w:t>
      </w:r>
      <w:r w:rsidRPr="00C05D16">
        <w:rPr>
          <w:rFonts w:ascii="Times New Roman" w:hAnsi="Times New Roman" w:cs="Times New Roman"/>
          <w:bCs/>
          <w:iCs/>
          <w:color w:val="000000" w:themeColor="text1"/>
          <w:sz w:val="24"/>
          <w:szCs w:val="24"/>
        </w:rPr>
        <w:t xml:space="preserve">concerns that have been raised in this commentary, there are supplemental factors that must be addressed. </w:t>
      </w:r>
      <w:r>
        <w:rPr>
          <w:rFonts w:ascii="Times New Roman" w:hAnsi="Times New Roman" w:cs="Times New Roman"/>
          <w:color w:val="000000" w:themeColor="text1"/>
          <w:sz w:val="24"/>
          <w:szCs w:val="24"/>
        </w:rPr>
        <w:t>First, the</w:t>
      </w:r>
      <w:r w:rsidR="00EA0303" w:rsidRPr="00B82325">
        <w:rPr>
          <w:rFonts w:ascii="Times New Roman" w:hAnsi="Times New Roman" w:cs="Times New Roman"/>
          <w:color w:val="000000" w:themeColor="text1"/>
          <w:sz w:val="24"/>
          <w:szCs w:val="24"/>
        </w:rPr>
        <w:t xml:space="preserve"> Report states that the facilities’ hydrochloric acid emissions are below the upper risk threshold (URT). A URT for a contaminant is determined by the </w:t>
      </w:r>
      <w:r w:rsidR="66EAF740" w:rsidRPr="6141D069">
        <w:rPr>
          <w:rFonts w:ascii="Times New Roman" w:hAnsi="Times New Roman" w:cs="Times New Roman"/>
          <w:color w:val="000000" w:themeColor="text1"/>
          <w:sz w:val="24"/>
          <w:szCs w:val="24"/>
        </w:rPr>
        <w:t>M</w:t>
      </w:r>
      <w:r w:rsidR="00EA0303" w:rsidRPr="6141D069">
        <w:rPr>
          <w:rFonts w:ascii="Times New Roman" w:hAnsi="Times New Roman" w:cs="Times New Roman"/>
          <w:color w:val="000000" w:themeColor="text1"/>
          <w:sz w:val="24"/>
          <w:szCs w:val="24"/>
        </w:rPr>
        <w:t>inistry</w:t>
      </w:r>
      <w:r w:rsidR="00EA0303" w:rsidRPr="00B82325">
        <w:rPr>
          <w:rFonts w:ascii="Times New Roman" w:hAnsi="Times New Roman" w:cs="Times New Roman"/>
          <w:color w:val="000000" w:themeColor="text1"/>
          <w:sz w:val="24"/>
          <w:szCs w:val="24"/>
        </w:rPr>
        <w:t xml:space="preserve"> </w:t>
      </w:r>
      <w:r w:rsidR="37A69710" w:rsidRPr="39A6C97D">
        <w:rPr>
          <w:rFonts w:ascii="Times New Roman" w:hAnsi="Times New Roman" w:cs="Times New Roman"/>
          <w:color w:val="000000" w:themeColor="text1"/>
          <w:sz w:val="24"/>
          <w:szCs w:val="24"/>
        </w:rPr>
        <w:t>and</w:t>
      </w:r>
      <w:r w:rsidR="00EA0303" w:rsidRPr="00B82325">
        <w:rPr>
          <w:rFonts w:ascii="Times New Roman" w:hAnsi="Times New Roman" w:cs="Times New Roman"/>
          <w:color w:val="000000" w:themeColor="text1"/>
          <w:sz w:val="24"/>
          <w:szCs w:val="24"/>
        </w:rPr>
        <w:t xml:space="preserve"> permits </w:t>
      </w:r>
      <w:r w:rsidR="0BC37E1A" w:rsidRPr="39A6C97D">
        <w:rPr>
          <w:rFonts w:ascii="Times New Roman" w:hAnsi="Times New Roman" w:cs="Times New Roman"/>
          <w:color w:val="000000" w:themeColor="text1"/>
          <w:sz w:val="24"/>
          <w:szCs w:val="24"/>
        </w:rPr>
        <w:t xml:space="preserve">emissions that are higher than the </w:t>
      </w:r>
      <w:r w:rsidR="00EA0303" w:rsidRPr="00B82325">
        <w:rPr>
          <w:rFonts w:ascii="Times New Roman" w:hAnsi="Times New Roman" w:cs="Times New Roman"/>
          <w:color w:val="000000" w:themeColor="text1"/>
          <w:sz w:val="24"/>
          <w:szCs w:val="24"/>
        </w:rPr>
        <w:t xml:space="preserve">corresponding air standard. URTs are typically used during phase-in periods of </w:t>
      </w:r>
      <w:r w:rsidR="4457E358" w:rsidRPr="39A6C97D">
        <w:rPr>
          <w:rFonts w:ascii="Times New Roman" w:hAnsi="Times New Roman" w:cs="Times New Roman"/>
          <w:color w:val="000000" w:themeColor="text1"/>
          <w:sz w:val="24"/>
          <w:szCs w:val="24"/>
        </w:rPr>
        <w:t xml:space="preserve">new </w:t>
      </w:r>
      <w:r w:rsidR="00EA0303" w:rsidRPr="00B82325">
        <w:rPr>
          <w:rFonts w:ascii="Times New Roman" w:hAnsi="Times New Roman" w:cs="Times New Roman"/>
          <w:color w:val="000000" w:themeColor="text1"/>
          <w:sz w:val="24"/>
          <w:szCs w:val="24"/>
        </w:rPr>
        <w:t>air standards and are also used in the evaluation of requests for site specific standards. As presented in the Guideline for the Implementation of Air Standards in Ontario (GIASO), a URT is not a standard; it is a temporary threshold.</w:t>
      </w:r>
      <w:r w:rsidR="00EA0303" w:rsidRPr="00B82325">
        <w:rPr>
          <w:rStyle w:val="FootnoteReference"/>
          <w:rFonts w:ascii="Times New Roman" w:hAnsi="Times New Roman" w:cs="Times New Roman"/>
          <w:color w:val="000000" w:themeColor="text1"/>
          <w:sz w:val="24"/>
          <w:szCs w:val="24"/>
        </w:rPr>
        <w:footnoteReference w:id="52"/>
      </w:r>
      <w:r w:rsidR="00EA0303" w:rsidRPr="00B82325">
        <w:rPr>
          <w:rFonts w:ascii="Times New Roman" w:hAnsi="Times New Roman" w:cs="Times New Roman"/>
          <w:color w:val="000000" w:themeColor="text1"/>
          <w:sz w:val="24"/>
          <w:szCs w:val="24"/>
        </w:rPr>
        <w:t xml:space="preserve"> </w:t>
      </w:r>
      <w:r w:rsidR="00EA0303" w:rsidRPr="00EA0303">
        <w:rPr>
          <w:rFonts w:ascii="Times New Roman" w:eastAsia="Times New Roman" w:hAnsi="Times New Roman" w:cs="Times New Roman"/>
          <w:color w:val="000000" w:themeColor="text1"/>
          <w:sz w:val="24"/>
          <w:szCs w:val="24"/>
        </w:rPr>
        <w:t xml:space="preserve">If emissions are higher than a URT, that is a potentially urgent situation requiring a swift response. </w:t>
      </w:r>
      <w:r w:rsidR="00961D3F">
        <w:rPr>
          <w:rFonts w:ascii="Times New Roman" w:eastAsia="Times New Roman" w:hAnsi="Times New Roman" w:cs="Times New Roman"/>
          <w:color w:val="000000" w:themeColor="text1"/>
          <w:sz w:val="24"/>
          <w:szCs w:val="24"/>
        </w:rPr>
        <w:t>The use of a URT raises many questions that require further clarification</w:t>
      </w:r>
      <w:r w:rsidR="0056280F">
        <w:rPr>
          <w:rFonts w:ascii="Times New Roman" w:eastAsia="Times New Roman" w:hAnsi="Times New Roman" w:cs="Times New Roman"/>
          <w:color w:val="000000" w:themeColor="text1"/>
          <w:sz w:val="24"/>
          <w:szCs w:val="24"/>
        </w:rPr>
        <w:t xml:space="preserve">: </w:t>
      </w:r>
      <w:r w:rsidR="007C5F3A">
        <w:rPr>
          <w:rFonts w:ascii="Times New Roman" w:eastAsia="Times New Roman" w:hAnsi="Times New Roman" w:cs="Times New Roman"/>
          <w:color w:val="000000" w:themeColor="text1"/>
          <w:sz w:val="24"/>
          <w:szCs w:val="24"/>
        </w:rPr>
        <w:t xml:space="preserve">(1) </w:t>
      </w:r>
      <w:r w:rsidR="4AFF8319">
        <w:rPr>
          <w:rFonts w:ascii="Times New Roman" w:eastAsia="Times New Roman" w:hAnsi="Times New Roman" w:cs="Times New Roman"/>
          <w:color w:val="000000" w:themeColor="text1"/>
          <w:sz w:val="24"/>
          <w:szCs w:val="24"/>
        </w:rPr>
        <w:t>W</w:t>
      </w:r>
      <w:r w:rsidR="4B66D2E5">
        <w:rPr>
          <w:rFonts w:ascii="Times New Roman" w:eastAsia="Times New Roman" w:hAnsi="Times New Roman" w:cs="Times New Roman"/>
          <w:color w:val="000000" w:themeColor="text1"/>
          <w:sz w:val="24"/>
          <w:szCs w:val="24"/>
        </w:rPr>
        <w:t>hy</w:t>
      </w:r>
      <w:r w:rsidR="007C5F3A">
        <w:rPr>
          <w:rFonts w:ascii="Times New Roman" w:eastAsia="Times New Roman" w:hAnsi="Times New Roman" w:cs="Times New Roman"/>
          <w:color w:val="000000" w:themeColor="text1"/>
          <w:sz w:val="24"/>
          <w:szCs w:val="24"/>
        </w:rPr>
        <w:t xml:space="preserve"> is a URT employed when there is no indication that the </w:t>
      </w:r>
      <w:r w:rsidR="2A00C04B">
        <w:rPr>
          <w:rFonts w:ascii="Times New Roman" w:eastAsia="Times New Roman" w:hAnsi="Times New Roman" w:cs="Times New Roman"/>
          <w:color w:val="000000" w:themeColor="text1"/>
          <w:sz w:val="24"/>
          <w:szCs w:val="24"/>
        </w:rPr>
        <w:t>f</w:t>
      </w:r>
      <w:r w:rsidR="4B66D2E5">
        <w:rPr>
          <w:rFonts w:ascii="Times New Roman" w:eastAsia="Times New Roman" w:hAnsi="Times New Roman" w:cs="Times New Roman"/>
          <w:color w:val="000000" w:themeColor="text1"/>
          <w:sz w:val="24"/>
          <w:szCs w:val="24"/>
        </w:rPr>
        <w:t>irm</w:t>
      </w:r>
      <w:r w:rsidR="007C5F3A">
        <w:rPr>
          <w:rFonts w:ascii="Times New Roman" w:eastAsia="Times New Roman" w:hAnsi="Times New Roman" w:cs="Times New Roman"/>
          <w:color w:val="000000" w:themeColor="text1"/>
          <w:sz w:val="24"/>
          <w:szCs w:val="24"/>
        </w:rPr>
        <w:t xml:space="preserve"> is in a transitionary period that would justify the use of such metric; (2)</w:t>
      </w:r>
      <w:r w:rsidR="00DD7E8B">
        <w:rPr>
          <w:rFonts w:ascii="Times New Roman" w:eastAsia="Times New Roman" w:hAnsi="Times New Roman" w:cs="Times New Roman"/>
          <w:color w:val="000000" w:themeColor="text1"/>
          <w:sz w:val="24"/>
          <w:szCs w:val="24"/>
        </w:rPr>
        <w:t xml:space="preserve"> </w:t>
      </w:r>
      <w:r w:rsidR="4D6347DB">
        <w:rPr>
          <w:rFonts w:ascii="Times New Roman" w:eastAsia="Times New Roman" w:hAnsi="Times New Roman" w:cs="Times New Roman"/>
          <w:color w:val="000000" w:themeColor="text1"/>
          <w:sz w:val="24"/>
          <w:szCs w:val="24"/>
        </w:rPr>
        <w:t>I</w:t>
      </w:r>
      <w:r w:rsidR="4FE88E26">
        <w:rPr>
          <w:rFonts w:ascii="Times New Roman" w:eastAsia="Times New Roman" w:hAnsi="Times New Roman" w:cs="Times New Roman"/>
          <w:color w:val="000000" w:themeColor="text1"/>
          <w:sz w:val="24"/>
          <w:szCs w:val="24"/>
        </w:rPr>
        <w:t>f</w:t>
      </w:r>
      <w:r w:rsidR="00DD7E8B">
        <w:rPr>
          <w:rFonts w:ascii="Times New Roman" w:eastAsia="Times New Roman" w:hAnsi="Times New Roman" w:cs="Times New Roman"/>
          <w:color w:val="000000" w:themeColor="text1"/>
          <w:sz w:val="24"/>
          <w:szCs w:val="24"/>
        </w:rPr>
        <w:t xml:space="preserve"> the firm is indeed in a transitionary period, what is the anticipated duration of</w:t>
      </w:r>
      <w:r w:rsidR="00B8755D">
        <w:rPr>
          <w:rFonts w:ascii="Times New Roman" w:eastAsia="Times New Roman" w:hAnsi="Times New Roman" w:cs="Times New Roman"/>
          <w:color w:val="000000" w:themeColor="text1"/>
          <w:sz w:val="24"/>
          <w:szCs w:val="24"/>
        </w:rPr>
        <w:t xml:space="preserve"> this shift</w:t>
      </w:r>
      <w:r w:rsidR="55DFB6B9">
        <w:rPr>
          <w:rFonts w:ascii="Times New Roman" w:eastAsia="Times New Roman" w:hAnsi="Times New Roman" w:cs="Times New Roman"/>
          <w:color w:val="000000" w:themeColor="text1"/>
          <w:sz w:val="24"/>
          <w:szCs w:val="24"/>
        </w:rPr>
        <w:t>?</w:t>
      </w:r>
      <w:r w:rsidR="00B661C0">
        <w:rPr>
          <w:rFonts w:ascii="Times New Roman" w:eastAsia="Times New Roman" w:hAnsi="Times New Roman" w:cs="Times New Roman"/>
          <w:color w:val="000000" w:themeColor="text1"/>
          <w:sz w:val="24"/>
          <w:szCs w:val="24"/>
        </w:rPr>
        <w:t xml:space="preserve"> </w:t>
      </w:r>
      <w:r w:rsidR="707066F3">
        <w:rPr>
          <w:rFonts w:ascii="Times New Roman" w:eastAsia="Times New Roman" w:hAnsi="Times New Roman" w:cs="Times New Roman"/>
          <w:color w:val="000000" w:themeColor="text1"/>
          <w:sz w:val="24"/>
          <w:szCs w:val="24"/>
        </w:rPr>
        <w:t>(3) Is</w:t>
      </w:r>
      <w:r w:rsidR="00EA0303" w:rsidRPr="00EA0303">
        <w:rPr>
          <w:rFonts w:ascii="Times New Roman" w:eastAsia="Times New Roman" w:hAnsi="Times New Roman" w:cs="Times New Roman"/>
          <w:color w:val="000000" w:themeColor="text1"/>
          <w:sz w:val="24"/>
          <w:szCs w:val="24"/>
        </w:rPr>
        <w:t xml:space="preserve"> the galvanizing plant is on track to reduce its hydrochloric acid emissions</w:t>
      </w:r>
      <w:r w:rsidR="00D63497">
        <w:rPr>
          <w:rFonts w:ascii="Times New Roman" w:eastAsia="Times New Roman" w:hAnsi="Times New Roman" w:cs="Times New Roman"/>
          <w:color w:val="000000" w:themeColor="text1"/>
          <w:sz w:val="24"/>
          <w:szCs w:val="24"/>
        </w:rPr>
        <w:t xml:space="preserve"> </w:t>
      </w:r>
      <w:r w:rsidR="00D63497" w:rsidRPr="00FF1975">
        <w:rPr>
          <w:rFonts w:ascii="Times New Roman" w:eastAsia="Times New Roman" w:hAnsi="Times New Roman" w:cs="Times New Roman"/>
          <w:color w:val="000000" w:themeColor="text1"/>
          <w:sz w:val="24"/>
          <w:szCs w:val="24"/>
        </w:rPr>
        <w:t>as intended</w:t>
      </w:r>
      <w:r w:rsidR="0F047494" w:rsidRPr="00FF1975">
        <w:rPr>
          <w:rFonts w:ascii="Times New Roman" w:eastAsia="Times New Roman" w:hAnsi="Times New Roman" w:cs="Times New Roman"/>
          <w:color w:val="000000" w:themeColor="text1"/>
          <w:sz w:val="24"/>
          <w:szCs w:val="24"/>
        </w:rPr>
        <w:t>?</w:t>
      </w:r>
      <w:r w:rsidR="00FB1318">
        <w:rPr>
          <w:rFonts w:ascii="Times New Roman" w:eastAsia="Times New Roman" w:hAnsi="Times New Roman" w:cs="Times New Roman"/>
          <w:color w:val="000000" w:themeColor="text1"/>
          <w:sz w:val="24"/>
          <w:szCs w:val="24"/>
        </w:rPr>
        <w:t xml:space="preserve"> </w:t>
      </w:r>
      <w:r w:rsidR="0F047494" w:rsidRPr="00FF1975">
        <w:rPr>
          <w:rFonts w:ascii="Times New Roman" w:hAnsi="Times New Roman" w:cs="Times New Roman"/>
          <w:color w:val="000000" w:themeColor="text1"/>
          <w:sz w:val="24"/>
          <w:szCs w:val="24"/>
        </w:rPr>
        <w:t>T</w:t>
      </w:r>
      <w:r w:rsidR="00EA0303" w:rsidRPr="00FF1975">
        <w:rPr>
          <w:rFonts w:ascii="Times New Roman" w:eastAsia="Times New Roman" w:hAnsi="Times New Roman" w:cs="Times New Roman"/>
          <w:color w:val="000000" w:themeColor="text1"/>
          <w:sz w:val="24"/>
          <w:szCs w:val="24"/>
        </w:rPr>
        <w:t>he Report also mentions eliminating a hydrochloric acid holding tank from the plant.</w:t>
      </w:r>
      <w:r w:rsidR="00556588" w:rsidRPr="00FF1975">
        <w:rPr>
          <w:rFonts w:ascii="Times New Roman" w:eastAsia="Times New Roman" w:hAnsi="Times New Roman" w:cs="Times New Roman"/>
          <w:color w:val="000000" w:themeColor="text1"/>
          <w:sz w:val="24"/>
          <w:szCs w:val="24"/>
        </w:rPr>
        <w:t xml:space="preserve"> The report provides insufficient information on how the removal of the hydrochloric acid holding tank would affect the process at hand, and whether there would be a corresponding change in adverse environmental impact. </w:t>
      </w:r>
    </w:p>
    <w:p w14:paraId="4DAE0F09" w14:textId="4C336F09" w:rsidR="00631195" w:rsidRPr="00D63497" w:rsidRDefault="00556588" w:rsidP="00FB1318">
      <w:pPr>
        <w:spacing w:line="480" w:lineRule="auto"/>
        <w:ind w:firstLine="360"/>
        <w:rPr>
          <w:rFonts w:ascii="Times New Roman" w:eastAsia="Times New Roman" w:hAnsi="Times New Roman" w:cs="Times New Roman"/>
          <w:color w:val="000000" w:themeColor="text1"/>
          <w:sz w:val="24"/>
          <w:szCs w:val="24"/>
        </w:rPr>
      </w:pPr>
      <w:r w:rsidRPr="00FF1975">
        <w:rPr>
          <w:rFonts w:ascii="Times New Roman" w:eastAsia="Times New Roman" w:hAnsi="Times New Roman" w:cs="Times New Roman"/>
          <w:color w:val="000000" w:themeColor="text1"/>
          <w:sz w:val="24"/>
          <w:szCs w:val="24"/>
        </w:rPr>
        <w:t xml:space="preserve">The necessity for transparency </w:t>
      </w:r>
      <w:r w:rsidR="009972DD" w:rsidRPr="00FF1975">
        <w:rPr>
          <w:rFonts w:ascii="Times New Roman" w:eastAsia="Times New Roman" w:hAnsi="Times New Roman" w:cs="Times New Roman"/>
          <w:color w:val="000000" w:themeColor="text1"/>
          <w:sz w:val="24"/>
          <w:szCs w:val="24"/>
        </w:rPr>
        <w:t>in both the h</w:t>
      </w:r>
      <w:r w:rsidR="000A77F6" w:rsidRPr="00FF1975">
        <w:rPr>
          <w:rFonts w:ascii="Times New Roman" w:eastAsia="Times New Roman" w:hAnsi="Times New Roman" w:cs="Times New Roman"/>
          <w:color w:val="000000" w:themeColor="text1"/>
          <w:sz w:val="24"/>
          <w:szCs w:val="24"/>
        </w:rPr>
        <w:t>ydrochloric acid emissions and the hydrochloric acid holding tank amendments is pertinent in the context o</w:t>
      </w:r>
      <w:r w:rsidR="00990228" w:rsidRPr="00FF1975">
        <w:rPr>
          <w:rFonts w:ascii="Times New Roman" w:eastAsia="Times New Roman" w:hAnsi="Times New Roman" w:cs="Times New Roman"/>
          <w:color w:val="000000" w:themeColor="text1"/>
          <w:sz w:val="24"/>
          <w:szCs w:val="24"/>
        </w:rPr>
        <w:t xml:space="preserve">f </w:t>
      </w:r>
      <w:r w:rsidR="009C0FE6" w:rsidRPr="00FF1975">
        <w:rPr>
          <w:rFonts w:ascii="Times New Roman" w:eastAsia="Times New Roman" w:hAnsi="Times New Roman" w:cs="Times New Roman"/>
          <w:color w:val="000000" w:themeColor="text1"/>
          <w:sz w:val="24"/>
          <w:szCs w:val="24"/>
        </w:rPr>
        <w:t xml:space="preserve">assessing the reliability and </w:t>
      </w:r>
      <w:r w:rsidR="009C0FE6" w:rsidRPr="00A0028A">
        <w:rPr>
          <w:rFonts w:ascii="Times New Roman" w:eastAsia="Times New Roman" w:hAnsi="Times New Roman" w:cs="Times New Roman"/>
          <w:color w:val="000000" w:themeColor="text1"/>
          <w:sz w:val="24"/>
          <w:szCs w:val="24"/>
        </w:rPr>
        <w:lastRenderedPageBreak/>
        <w:t xml:space="preserve">transparency of the Firm’s Report. </w:t>
      </w:r>
      <w:r w:rsidR="00D0643D" w:rsidRPr="00A0028A">
        <w:rPr>
          <w:rFonts w:ascii="Times New Roman" w:eastAsia="Times New Roman" w:hAnsi="Times New Roman" w:cs="Times New Roman"/>
          <w:color w:val="000000" w:themeColor="text1"/>
          <w:sz w:val="24"/>
          <w:szCs w:val="24"/>
        </w:rPr>
        <w:t xml:space="preserve">As outlined in </w:t>
      </w:r>
      <w:r w:rsidR="00D0643D" w:rsidRPr="00A0028A">
        <w:rPr>
          <w:rFonts w:ascii="Times New Roman" w:hAnsi="Times New Roman" w:cs="Times New Roman"/>
          <w:sz w:val="24"/>
          <w:szCs w:val="24"/>
        </w:rPr>
        <w:t xml:space="preserve">Condition 3 of ECA #5956-8ZUQ3K - "Notification of Complaints", </w:t>
      </w:r>
      <w:r w:rsidR="008A71D5" w:rsidRPr="00A0028A">
        <w:rPr>
          <w:rFonts w:ascii="Times New Roman" w:hAnsi="Times New Roman" w:cs="Times New Roman"/>
          <w:sz w:val="24"/>
          <w:szCs w:val="24"/>
        </w:rPr>
        <w:t xml:space="preserve">Facility Owners are required to notify District Managers </w:t>
      </w:r>
      <w:r w:rsidR="00DD1B7B" w:rsidRPr="00A0028A">
        <w:rPr>
          <w:rFonts w:ascii="Times New Roman" w:hAnsi="Times New Roman" w:cs="Times New Roman"/>
          <w:sz w:val="24"/>
          <w:szCs w:val="24"/>
        </w:rPr>
        <w:t xml:space="preserve">when complaints are received. Owners are additionally required to </w:t>
      </w:r>
      <w:r w:rsidR="00D32B49" w:rsidRPr="00A0028A">
        <w:rPr>
          <w:rFonts w:ascii="Times New Roman" w:hAnsi="Times New Roman" w:cs="Times New Roman"/>
          <w:sz w:val="24"/>
          <w:szCs w:val="24"/>
        </w:rPr>
        <w:t>take tangible measures to ensure that the cause of the complain</w:t>
      </w:r>
      <w:r w:rsidR="01391568" w:rsidRPr="00A0028A">
        <w:rPr>
          <w:rFonts w:ascii="Times New Roman" w:hAnsi="Times New Roman" w:cs="Times New Roman"/>
          <w:sz w:val="24"/>
          <w:szCs w:val="24"/>
        </w:rPr>
        <w:t>t</w:t>
      </w:r>
      <w:r w:rsidR="00D32B49" w:rsidRPr="00A0028A">
        <w:rPr>
          <w:rFonts w:ascii="Times New Roman" w:hAnsi="Times New Roman" w:cs="Times New Roman"/>
          <w:sz w:val="24"/>
          <w:szCs w:val="24"/>
        </w:rPr>
        <w:t xml:space="preserve"> is addressed within</w:t>
      </w:r>
      <w:r w:rsidR="00E52699" w:rsidRPr="00A0028A">
        <w:rPr>
          <w:rFonts w:ascii="Times New Roman" w:hAnsi="Times New Roman" w:cs="Times New Roman"/>
          <w:sz w:val="24"/>
          <w:szCs w:val="24"/>
        </w:rPr>
        <w:t xml:space="preserve"> </w:t>
      </w:r>
      <w:r w:rsidR="00D0643D" w:rsidRPr="00A0028A">
        <w:rPr>
          <w:rFonts w:ascii="Times New Roman" w:hAnsi="Times New Roman" w:cs="Times New Roman"/>
          <w:sz w:val="24"/>
          <w:szCs w:val="24"/>
        </w:rPr>
        <w:t xml:space="preserve">five (5) business days of the complaint. </w:t>
      </w:r>
      <w:r w:rsidR="00D32B49" w:rsidRPr="00A0028A">
        <w:rPr>
          <w:rStyle w:val="FootnoteReference"/>
          <w:rFonts w:ascii="Times New Roman" w:hAnsi="Times New Roman" w:cs="Times New Roman"/>
          <w:sz w:val="24"/>
          <w:szCs w:val="24"/>
        </w:rPr>
        <w:footnoteReference w:id="53"/>
      </w:r>
      <w:r w:rsidR="00667EDE" w:rsidRPr="00A0028A">
        <w:rPr>
          <w:rFonts w:ascii="Times New Roman" w:hAnsi="Times New Roman" w:cs="Times New Roman"/>
          <w:sz w:val="24"/>
          <w:szCs w:val="24"/>
        </w:rPr>
        <w:t xml:space="preserve"> </w:t>
      </w:r>
      <w:r w:rsidR="001C655B" w:rsidRPr="00A0028A">
        <w:rPr>
          <w:rFonts w:ascii="Times New Roman" w:hAnsi="Times New Roman" w:cs="Times New Roman"/>
          <w:sz w:val="24"/>
          <w:szCs w:val="24"/>
        </w:rPr>
        <w:t xml:space="preserve">This history of reporting errors heighten our concern </w:t>
      </w:r>
      <w:r w:rsidR="00FF1975" w:rsidRPr="00A0028A">
        <w:rPr>
          <w:rFonts w:ascii="Times New Roman" w:hAnsi="Times New Roman" w:cs="Times New Roman"/>
          <w:sz w:val="24"/>
          <w:szCs w:val="24"/>
        </w:rPr>
        <w:t>for transparency and public comment on these changes.</w:t>
      </w:r>
      <w:r w:rsidR="00FF1975" w:rsidRPr="00FF1975">
        <w:rPr>
          <w:sz w:val="24"/>
          <w:szCs w:val="24"/>
        </w:rPr>
        <w:t xml:space="preserve"> </w:t>
      </w:r>
    </w:p>
    <w:p w14:paraId="7BE87B0C" w14:textId="44AEBD74" w:rsidR="0048440B" w:rsidRPr="001F4E2B" w:rsidRDefault="16DCDDFF" w:rsidP="007E3721">
      <w:pPr>
        <w:spacing w:line="480" w:lineRule="auto"/>
        <w:jc w:val="center"/>
        <w:rPr>
          <w:rFonts w:ascii="Times New Roman" w:eastAsia="Times New Roman" w:hAnsi="Times New Roman" w:cs="Times New Roman"/>
          <w:color w:val="000000" w:themeColor="text1"/>
          <w:sz w:val="24"/>
          <w:szCs w:val="24"/>
        </w:rPr>
      </w:pPr>
      <w:r w:rsidRPr="407200FD">
        <w:rPr>
          <w:rFonts w:ascii="Times New Roman" w:eastAsia="Times New Roman" w:hAnsi="Times New Roman" w:cs="Times New Roman"/>
          <w:color w:val="000000" w:themeColor="text1"/>
          <w:sz w:val="24"/>
          <w:szCs w:val="24"/>
          <w:u w:val="single"/>
        </w:rPr>
        <w:t>CONCLUSION</w:t>
      </w:r>
    </w:p>
    <w:p w14:paraId="0030D7AF" w14:textId="628C2EC7" w:rsidR="0098E513" w:rsidRDefault="0098E513" w:rsidP="001F4E2B">
      <w:pPr>
        <w:spacing w:line="480" w:lineRule="auto"/>
        <w:ind w:firstLine="720"/>
        <w:rPr>
          <w:rFonts w:ascii="Times New Roman" w:eastAsia="Times New Roman" w:hAnsi="Times New Roman" w:cs="Times New Roman"/>
          <w:color w:val="000000" w:themeColor="text1"/>
          <w:sz w:val="24"/>
          <w:szCs w:val="24"/>
        </w:rPr>
      </w:pPr>
      <w:r w:rsidRPr="00B563D8">
        <w:rPr>
          <w:rFonts w:ascii="Times New Roman" w:eastAsia="Times New Roman" w:hAnsi="Times New Roman" w:cs="Times New Roman"/>
          <w:color w:val="000000" w:themeColor="text1"/>
          <w:sz w:val="24"/>
          <w:szCs w:val="24"/>
        </w:rPr>
        <w:t xml:space="preserve">To summarize, we have reached the following </w:t>
      </w:r>
      <w:r w:rsidRPr="407200FD">
        <w:rPr>
          <w:rFonts w:ascii="Times New Roman" w:eastAsia="Times New Roman" w:hAnsi="Times New Roman" w:cs="Times New Roman"/>
          <w:color w:val="000000" w:themeColor="text1"/>
          <w:sz w:val="24"/>
          <w:szCs w:val="24"/>
        </w:rPr>
        <w:t xml:space="preserve">conclusions as a result of our analysis. We respectfully request that the Ministry consider these conclusions when it makes its decision about the </w:t>
      </w:r>
      <w:r w:rsidR="0BAB0034" w:rsidRPr="0DF10A0D">
        <w:rPr>
          <w:rFonts w:ascii="Times New Roman" w:eastAsia="Times New Roman" w:hAnsi="Times New Roman" w:cs="Times New Roman"/>
          <w:color w:val="000000" w:themeColor="text1"/>
          <w:sz w:val="24"/>
          <w:szCs w:val="24"/>
        </w:rPr>
        <w:t>Facility</w:t>
      </w:r>
      <w:r w:rsidRPr="407200FD">
        <w:rPr>
          <w:rFonts w:ascii="Times New Roman" w:eastAsia="Times New Roman" w:hAnsi="Times New Roman" w:cs="Times New Roman"/>
          <w:color w:val="000000" w:themeColor="text1"/>
          <w:sz w:val="24"/>
          <w:szCs w:val="24"/>
        </w:rPr>
        <w:t>.</w:t>
      </w:r>
    </w:p>
    <w:p w14:paraId="68065013" w14:textId="0C8E56B7" w:rsidR="6B7C5609" w:rsidRPr="001F4E2B" w:rsidRDefault="6C41658E" w:rsidP="03845E75">
      <w:pPr>
        <w:pStyle w:val="ListParagraph"/>
        <w:numPr>
          <w:ilvl w:val="0"/>
          <w:numId w:val="12"/>
        </w:numPr>
        <w:spacing w:after="0" w:line="480" w:lineRule="auto"/>
        <w:rPr>
          <w:rFonts w:eastAsiaTheme="minorEastAsia"/>
          <w:sz w:val="24"/>
          <w:szCs w:val="24"/>
        </w:rPr>
      </w:pPr>
      <w:r w:rsidRPr="001F4E2B">
        <w:rPr>
          <w:rFonts w:ascii="Times New Roman" w:hAnsi="Times New Roman" w:cs="Times New Roman"/>
          <w:sz w:val="24"/>
          <w:szCs w:val="24"/>
        </w:rPr>
        <w:t xml:space="preserve">The Ministry should </w:t>
      </w:r>
      <w:r w:rsidR="19D85F95" w:rsidRPr="001F4E2B">
        <w:rPr>
          <w:rFonts w:ascii="Times New Roman" w:hAnsi="Times New Roman" w:cs="Times New Roman"/>
          <w:sz w:val="24"/>
          <w:szCs w:val="24"/>
        </w:rPr>
        <w:t xml:space="preserve">require a more rigorous investigation into the environmental harms associated with zinc oxide before </w:t>
      </w:r>
      <w:r w:rsidR="00DB3B97" w:rsidRPr="001F4E2B">
        <w:rPr>
          <w:rFonts w:ascii="Times New Roman" w:hAnsi="Times New Roman" w:cs="Times New Roman"/>
          <w:sz w:val="24"/>
          <w:szCs w:val="24"/>
        </w:rPr>
        <w:t xml:space="preserve">setting </w:t>
      </w:r>
      <w:r w:rsidR="19D85F95" w:rsidRPr="001F4E2B">
        <w:rPr>
          <w:rFonts w:ascii="Times New Roman" w:hAnsi="Times New Roman" w:cs="Times New Roman"/>
          <w:sz w:val="24"/>
          <w:szCs w:val="24"/>
        </w:rPr>
        <w:t>a regulator</w:t>
      </w:r>
      <w:r w:rsidR="7E0CE7D0" w:rsidRPr="001F4E2B">
        <w:rPr>
          <w:rFonts w:ascii="Times New Roman" w:hAnsi="Times New Roman" w:cs="Times New Roman"/>
          <w:sz w:val="24"/>
          <w:szCs w:val="24"/>
        </w:rPr>
        <w:t>y</w:t>
      </w:r>
      <w:r w:rsidR="19D85F95" w:rsidRPr="001F4E2B">
        <w:rPr>
          <w:rFonts w:ascii="Times New Roman" w:hAnsi="Times New Roman" w:cs="Times New Roman"/>
          <w:sz w:val="24"/>
          <w:szCs w:val="24"/>
        </w:rPr>
        <w:t xml:space="preserve"> standard for that substance.</w:t>
      </w:r>
      <w:r w:rsidR="216A738D" w:rsidRPr="001F4E2B">
        <w:rPr>
          <w:rFonts w:ascii="Times New Roman" w:hAnsi="Times New Roman" w:cs="Times New Roman"/>
          <w:sz w:val="24"/>
          <w:szCs w:val="24"/>
        </w:rPr>
        <w:t xml:space="preserve"> This investigation should include broad consideration of regional and geographical factors.</w:t>
      </w:r>
    </w:p>
    <w:p w14:paraId="637CEBA2" w14:textId="623A5635" w:rsidR="320A175B" w:rsidRPr="001F4E2B" w:rsidRDefault="19D85F95" w:rsidP="4A7BF9C2">
      <w:pPr>
        <w:pStyle w:val="ListParagraph"/>
        <w:numPr>
          <w:ilvl w:val="0"/>
          <w:numId w:val="12"/>
        </w:numPr>
        <w:spacing w:after="0" w:line="480" w:lineRule="auto"/>
        <w:rPr>
          <w:rFonts w:eastAsiaTheme="minorEastAsia"/>
          <w:sz w:val="24"/>
          <w:szCs w:val="24"/>
        </w:rPr>
      </w:pPr>
      <w:r w:rsidRPr="001F4E2B">
        <w:rPr>
          <w:rFonts w:ascii="Times New Roman" w:hAnsi="Times New Roman" w:cs="Times New Roman"/>
          <w:sz w:val="24"/>
          <w:szCs w:val="24"/>
        </w:rPr>
        <w:t>Likewise, the</w:t>
      </w:r>
      <w:r w:rsidR="507C583E" w:rsidRPr="001F4E2B">
        <w:rPr>
          <w:rFonts w:ascii="Times New Roman" w:hAnsi="Times New Roman" w:cs="Times New Roman"/>
          <w:sz w:val="24"/>
          <w:szCs w:val="24"/>
        </w:rPr>
        <w:t xml:space="preserve"> Ministry should engage in more extensive consultation with the public before </w:t>
      </w:r>
      <w:r w:rsidR="776B5FC9" w:rsidRPr="001F4E2B">
        <w:rPr>
          <w:rFonts w:ascii="Times New Roman" w:hAnsi="Times New Roman" w:cs="Times New Roman"/>
          <w:sz w:val="24"/>
          <w:szCs w:val="24"/>
        </w:rPr>
        <w:t xml:space="preserve">setting </w:t>
      </w:r>
      <w:r w:rsidR="01427DCC" w:rsidRPr="001F4E2B">
        <w:rPr>
          <w:rFonts w:ascii="Times New Roman" w:hAnsi="Times New Roman" w:cs="Times New Roman"/>
          <w:sz w:val="24"/>
          <w:szCs w:val="24"/>
        </w:rPr>
        <w:t>that</w:t>
      </w:r>
      <w:r w:rsidR="507C583E" w:rsidRPr="001F4E2B">
        <w:rPr>
          <w:rFonts w:ascii="Times New Roman" w:hAnsi="Times New Roman" w:cs="Times New Roman"/>
          <w:sz w:val="24"/>
          <w:szCs w:val="24"/>
        </w:rPr>
        <w:t xml:space="preserve"> standard.</w:t>
      </w:r>
    </w:p>
    <w:p w14:paraId="28D94CB9" w14:textId="7A3E580C" w:rsidR="4478B1D4" w:rsidRPr="001F4E2B" w:rsidRDefault="4478B1D4" w:rsidP="1C9D15BD">
      <w:pPr>
        <w:pStyle w:val="ListParagraph"/>
        <w:numPr>
          <w:ilvl w:val="0"/>
          <w:numId w:val="12"/>
        </w:numPr>
        <w:spacing w:after="0" w:line="480" w:lineRule="auto"/>
        <w:rPr>
          <w:sz w:val="24"/>
          <w:szCs w:val="24"/>
        </w:rPr>
      </w:pPr>
      <w:r w:rsidRPr="001F4E2B">
        <w:rPr>
          <w:rFonts w:ascii="Times New Roman" w:hAnsi="Times New Roman" w:cs="Times New Roman"/>
          <w:sz w:val="24"/>
          <w:szCs w:val="24"/>
        </w:rPr>
        <w:t xml:space="preserve">The methodology </w:t>
      </w:r>
      <w:r w:rsidR="1D9655BA" w:rsidRPr="001F4E2B">
        <w:rPr>
          <w:rFonts w:ascii="Times New Roman" w:hAnsi="Times New Roman" w:cs="Times New Roman"/>
          <w:sz w:val="24"/>
          <w:szCs w:val="24"/>
        </w:rPr>
        <w:t xml:space="preserve">relied on in the report </w:t>
      </w:r>
      <w:r w:rsidR="6F6B167A" w:rsidRPr="001F4E2B">
        <w:rPr>
          <w:rFonts w:ascii="Times New Roman" w:hAnsi="Times New Roman" w:cs="Times New Roman"/>
          <w:sz w:val="24"/>
          <w:szCs w:val="24"/>
        </w:rPr>
        <w:t>for assessing the safety of emissions</w:t>
      </w:r>
      <w:r w:rsidRPr="001F4E2B">
        <w:rPr>
          <w:rFonts w:ascii="Times New Roman" w:hAnsi="Times New Roman" w:cs="Times New Roman"/>
          <w:sz w:val="24"/>
          <w:szCs w:val="24"/>
        </w:rPr>
        <w:t xml:space="preserve"> </w:t>
      </w:r>
      <w:r w:rsidR="78BE940E" w:rsidRPr="001F4E2B">
        <w:rPr>
          <w:rFonts w:ascii="Times New Roman" w:hAnsi="Times New Roman" w:cs="Times New Roman"/>
          <w:sz w:val="24"/>
          <w:szCs w:val="24"/>
        </w:rPr>
        <w:t xml:space="preserve">levels </w:t>
      </w:r>
      <w:r w:rsidRPr="001F4E2B">
        <w:rPr>
          <w:rFonts w:ascii="Times New Roman" w:hAnsi="Times New Roman" w:cs="Times New Roman"/>
          <w:sz w:val="24"/>
          <w:szCs w:val="24"/>
        </w:rPr>
        <w:t xml:space="preserve">does not account for the cumulative effects of multiple emitters and threatens to allow </w:t>
      </w:r>
      <w:r w:rsidR="71527196" w:rsidRPr="001F4E2B">
        <w:rPr>
          <w:rFonts w:ascii="Times New Roman" w:hAnsi="Times New Roman" w:cs="Times New Roman"/>
          <w:sz w:val="24"/>
          <w:szCs w:val="24"/>
        </w:rPr>
        <w:t xml:space="preserve">a </w:t>
      </w:r>
      <w:r w:rsidRPr="001F4E2B">
        <w:rPr>
          <w:rFonts w:ascii="Times New Roman" w:hAnsi="Times New Roman" w:cs="Times New Roman"/>
          <w:sz w:val="24"/>
          <w:szCs w:val="24"/>
        </w:rPr>
        <w:t>“death by 1000 cuts.”</w:t>
      </w:r>
    </w:p>
    <w:p w14:paraId="2BEDCED8" w14:textId="2E991F47" w:rsidR="008650DF" w:rsidRPr="001F4E2B" w:rsidRDefault="2C31CBC8" w:rsidP="00C96304">
      <w:pPr>
        <w:pStyle w:val="ListParagraph"/>
        <w:numPr>
          <w:ilvl w:val="0"/>
          <w:numId w:val="12"/>
        </w:numPr>
        <w:spacing w:line="480" w:lineRule="auto"/>
        <w:rPr>
          <w:rFonts w:ascii="Times New Roman" w:hAnsi="Times New Roman" w:cs="Times New Roman"/>
          <w:sz w:val="24"/>
          <w:szCs w:val="24"/>
        </w:rPr>
      </w:pPr>
      <w:r w:rsidRPr="001F4E2B">
        <w:rPr>
          <w:rFonts w:ascii="Times New Roman" w:hAnsi="Times New Roman" w:cs="Times New Roman"/>
          <w:sz w:val="24"/>
          <w:szCs w:val="24"/>
        </w:rPr>
        <w:lastRenderedPageBreak/>
        <w:t>The</w:t>
      </w:r>
      <w:r w:rsidR="007A1AF4">
        <w:rPr>
          <w:rFonts w:ascii="Times New Roman" w:hAnsi="Times New Roman" w:cs="Times New Roman"/>
          <w:sz w:val="24"/>
          <w:szCs w:val="24"/>
        </w:rPr>
        <w:t xml:space="preserve"> Report is contrary to the precautionary principle,</w:t>
      </w:r>
      <w:r w:rsidRPr="001F4E2B">
        <w:rPr>
          <w:rFonts w:ascii="Times New Roman" w:hAnsi="Times New Roman" w:cs="Times New Roman"/>
          <w:sz w:val="24"/>
          <w:szCs w:val="24"/>
        </w:rPr>
        <w:t xml:space="preserve"> </w:t>
      </w:r>
      <w:r w:rsidR="3EADF9E8" w:rsidRPr="001F4E2B">
        <w:rPr>
          <w:rFonts w:ascii="Times New Roman" w:hAnsi="Times New Roman" w:cs="Times New Roman"/>
          <w:sz w:val="24"/>
          <w:szCs w:val="24"/>
        </w:rPr>
        <w:t xml:space="preserve">which </w:t>
      </w:r>
      <w:r w:rsidR="7C32AC64" w:rsidRPr="001F4E2B">
        <w:rPr>
          <w:rFonts w:ascii="Times New Roman" w:hAnsi="Times New Roman" w:cs="Times New Roman"/>
          <w:sz w:val="24"/>
          <w:szCs w:val="24"/>
        </w:rPr>
        <w:t xml:space="preserve">urges </w:t>
      </w:r>
      <w:r w:rsidR="60EE9109" w:rsidRPr="001F4E2B">
        <w:rPr>
          <w:rFonts w:ascii="Times New Roman" w:hAnsi="Times New Roman" w:cs="Times New Roman"/>
          <w:sz w:val="24"/>
          <w:szCs w:val="24"/>
        </w:rPr>
        <w:t>government</w:t>
      </w:r>
      <w:r w:rsidR="6FA40331" w:rsidRPr="001F4E2B">
        <w:rPr>
          <w:rFonts w:ascii="Times New Roman" w:hAnsi="Times New Roman" w:cs="Times New Roman"/>
          <w:sz w:val="24"/>
          <w:szCs w:val="24"/>
        </w:rPr>
        <w:t>al</w:t>
      </w:r>
      <w:r w:rsidR="3EADF9E8" w:rsidRPr="001F4E2B">
        <w:rPr>
          <w:rFonts w:ascii="Times New Roman" w:hAnsi="Times New Roman" w:cs="Times New Roman"/>
          <w:sz w:val="24"/>
          <w:szCs w:val="24"/>
        </w:rPr>
        <w:t xml:space="preserve"> bodies to err on the side of caution when the effects of a</w:t>
      </w:r>
      <w:r w:rsidR="53CD3AE2" w:rsidRPr="001F4E2B">
        <w:rPr>
          <w:rFonts w:ascii="Times New Roman" w:hAnsi="Times New Roman" w:cs="Times New Roman"/>
          <w:sz w:val="24"/>
          <w:szCs w:val="24"/>
        </w:rPr>
        <w:t>n official decision are scientifically unclear.</w:t>
      </w:r>
    </w:p>
    <w:p w14:paraId="28972C3E" w14:textId="49F1877D" w:rsidR="0002665E" w:rsidRPr="001F4E2B" w:rsidRDefault="53CD3AE2" w:rsidP="00C96304">
      <w:pPr>
        <w:pStyle w:val="ListParagraph"/>
        <w:numPr>
          <w:ilvl w:val="0"/>
          <w:numId w:val="12"/>
        </w:numPr>
        <w:spacing w:line="480" w:lineRule="auto"/>
        <w:rPr>
          <w:rFonts w:ascii="Times New Roman" w:hAnsi="Times New Roman" w:cs="Times New Roman"/>
          <w:sz w:val="24"/>
          <w:szCs w:val="24"/>
        </w:rPr>
      </w:pPr>
      <w:r w:rsidRPr="001F4E2B">
        <w:rPr>
          <w:rFonts w:ascii="Times New Roman" w:hAnsi="Times New Roman" w:cs="Times New Roman"/>
          <w:sz w:val="24"/>
          <w:szCs w:val="24"/>
        </w:rPr>
        <w:t>A more</w:t>
      </w:r>
      <w:r w:rsidR="0002665E" w:rsidRPr="001F4E2B">
        <w:rPr>
          <w:rFonts w:ascii="Times New Roman" w:hAnsi="Times New Roman" w:cs="Times New Roman"/>
          <w:sz w:val="24"/>
          <w:szCs w:val="24"/>
        </w:rPr>
        <w:t xml:space="preserve"> th</w:t>
      </w:r>
      <w:r w:rsidR="00CA3018" w:rsidRPr="001F4E2B">
        <w:rPr>
          <w:rFonts w:ascii="Times New Roman" w:hAnsi="Times New Roman" w:cs="Times New Roman"/>
          <w:sz w:val="24"/>
          <w:szCs w:val="24"/>
        </w:rPr>
        <w:t xml:space="preserve">orough </w:t>
      </w:r>
      <w:r w:rsidR="433A6DDB" w:rsidRPr="001F4E2B">
        <w:rPr>
          <w:rFonts w:ascii="Times New Roman" w:hAnsi="Times New Roman" w:cs="Times New Roman"/>
          <w:sz w:val="24"/>
          <w:szCs w:val="24"/>
        </w:rPr>
        <w:t>investigative and</w:t>
      </w:r>
      <w:r w:rsidR="007A1AF4">
        <w:rPr>
          <w:rFonts w:ascii="Times New Roman" w:hAnsi="Times New Roman" w:cs="Times New Roman"/>
          <w:sz w:val="24"/>
          <w:szCs w:val="24"/>
        </w:rPr>
        <w:t xml:space="preserve"> consultative process stands</w:t>
      </w:r>
      <w:r w:rsidR="5F8487F2" w:rsidRPr="001F4E2B">
        <w:rPr>
          <w:rFonts w:ascii="Times New Roman" w:hAnsi="Times New Roman" w:cs="Times New Roman"/>
          <w:sz w:val="24"/>
          <w:szCs w:val="24"/>
        </w:rPr>
        <w:t xml:space="preserve"> to promote</w:t>
      </w:r>
      <w:r w:rsidR="007A1AF4">
        <w:rPr>
          <w:rFonts w:ascii="Times New Roman" w:hAnsi="Times New Roman" w:cs="Times New Roman"/>
          <w:sz w:val="24"/>
          <w:szCs w:val="24"/>
        </w:rPr>
        <w:t xml:space="preserve"> innovation and industry competition. </w:t>
      </w:r>
    </w:p>
    <w:p w14:paraId="12C9B9AC" w14:textId="0A7381F2" w:rsidR="0048440B" w:rsidRPr="001F4E2B" w:rsidRDefault="5F251470" w:rsidP="1C9D15BD">
      <w:pPr>
        <w:pStyle w:val="ListParagraph"/>
        <w:numPr>
          <w:ilvl w:val="0"/>
          <w:numId w:val="12"/>
        </w:numPr>
        <w:spacing w:after="0" w:line="480" w:lineRule="auto"/>
        <w:rPr>
          <w:rFonts w:eastAsiaTheme="minorEastAsia"/>
          <w:sz w:val="24"/>
          <w:szCs w:val="24"/>
        </w:rPr>
      </w:pPr>
      <w:r w:rsidRPr="001F4E2B">
        <w:rPr>
          <w:rFonts w:ascii="Times New Roman" w:hAnsi="Times New Roman" w:cs="Times New Roman"/>
          <w:sz w:val="24"/>
          <w:szCs w:val="24"/>
        </w:rPr>
        <w:t>The history of poor environmental performance by the applicant firm merits additional caution</w:t>
      </w:r>
      <w:r w:rsidR="0D77D7BD" w:rsidRPr="001F4E2B">
        <w:rPr>
          <w:rFonts w:ascii="Times New Roman" w:hAnsi="Times New Roman" w:cs="Times New Roman"/>
          <w:sz w:val="24"/>
          <w:szCs w:val="24"/>
        </w:rPr>
        <w:t xml:space="preserve"> on the part of Ministry</w:t>
      </w:r>
      <w:r w:rsidRPr="001F4E2B">
        <w:rPr>
          <w:rFonts w:ascii="Times New Roman" w:hAnsi="Times New Roman" w:cs="Times New Roman"/>
          <w:sz w:val="24"/>
          <w:szCs w:val="24"/>
        </w:rPr>
        <w:t xml:space="preserve">, particularly regarding </w:t>
      </w:r>
      <w:r w:rsidR="0CBC9DF1" w:rsidRPr="001F4E2B">
        <w:rPr>
          <w:rFonts w:ascii="Times New Roman" w:hAnsi="Times New Roman" w:cs="Times New Roman"/>
          <w:sz w:val="24"/>
          <w:szCs w:val="24"/>
        </w:rPr>
        <w:t xml:space="preserve">the firm’s </w:t>
      </w:r>
      <w:r w:rsidRPr="001F4E2B">
        <w:rPr>
          <w:rFonts w:ascii="Times New Roman" w:hAnsi="Times New Roman" w:cs="Times New Roman"/>
          <w:sz w:val="24"/>
          <w:szCs w:val="24"/>
        </w:rPr>
        <w:t>use of an Upper Risk Threshold</w:t>
      </w:r>
      <w:r w:rsidR="6F5775C5" w:rsidRPr="001F4E2B">
        <w:rPr>
          <w:rFonts w:ascii="Times New Roman" w:hAnsi="Times New Roman" w:cs="Times New Roman"/>
          <w:sz w:val="24"/>
          <w:szCs w:val="24"/>
        </w:rPr>
        <w:t xml:space="preserve">, rather than </w:t>
      </w:r>
      <w:r w:rsidRPr="001F4E2B">
        <w:rPr>
          <w:rFonts w:ascii="Times New Roman" w:hAnsi="Times New Roman" w:cs="Times New Roman"/>
          <w:sz w:val="24"/>
          <w:szCs w:val="24"/>
        </w:rPr>
        <w:t xml:space="preserve">a </w:t>
      </w:r>
      <w:r w:rsidR="30D706F6" w:rsidRPr="001F4E2B">
        <w:rPr>
          <w:rFonts w:ascii="Times New Roman" w:hAnsi="Times New Roman" w:cs="Times New Roman"/>
          <w:sz w:val="24"/>
          <w:szCs w:val="24"/>
        </w:rPr>
        <w:t xml:space="preserve">regulatory </w:t>
      </w:r>
      <w:r w:rsidR="0C8AD640" w:rsidRPr="001F4E2B">
        <w:rPr>
          <w:rFonts w:ascii="Times New Roman" w:hAnsi="Times New Roman" w:cs="Times New Roman"/>
          <w:sz w:val="24"/>
          <w:szCs w:val="24"/>
        </w:rPr>
        <w:t>standard</w:t>
      </w:r>
      <w:r w:rsidR="78AAF359" w:rsidRPr="001F4E2B">
        <w:rPr>
          <w:rFonts w:ascii="Times New Roman" w:hAnsi="Times New Roman" w:cs="Times New Roman"/>
          <w:sz w:val="24"/>
          <w:szCs w:val="24"/>
        </w:rPr>
        <w:t>,</w:t>
      </w:r>
      <w:r w:rsidR="0C8AD640" w:rsidRPr="001F4E2B">
        <w:rPr>
          <w:rFonts w:ascii="Times New Roman" w:hAnsi="Times New Roman" w:cs="Times New Roman"/>
          <w:sz w:val="24"/>
          <w:szCs w:val="24"/>
        </w:rPr>
        <w:t xml:space="preserve"> </w:t>
      </w:r>
      <w:r w:rsidR="27ECEA71" w:rsidRPr="001F4E2B">
        <w:rPr>
          <w:rFonts w:ascii="Times New Roman" w:hAnsi="Times New Roman" w:cs="Times New Roman"/>
          <w:sz w:val="24"/>
          <w:szCs w:val="24"/>
        </w:rPr>
        <w:t xml:space="preserve">with respect to its </w:t>
      </w:r>
      <w:r w:rsidR="0C8AD640" w:rsidRPr="001F4E2B">
        <w:rPr>
          <w:rFonts w:ascii="Times New Roman" w:hAnsi="Times New Roman" w:cs="Times New Roman"/>
          <w:sz w:val="24"/>
          <w:szCs w:val="24"/>
        </w:rPr>
        <w:t>hydrochloric acid emissions.</w:t>
      </w:r>
    </w:p>
    <w:p w14:paraId="62751A0E" w14:textId="44D5EE73" w:rsidR="002C7EE8" w:rsidRDefault="2C75EBD7" w:rsidP="5773CC65">
      <w:pPr>
        <w:spacing w:line="480" w:lineRule="auto"/>
        <w:ind w:firstLine="720"/>
        <w:rPr>
          <w:rFonts w:ascii="Times New Roman" w:hAnsi="Times New Roman" w:cs="Times New Roman"/>
          <w:sz w:val="24"/>
          <w:szCs w:val="24"/>
        </w:rPr>
      </w:pPr>
      <w:r w:rsidRPr="00FB1318">
        <w:rPr>
          <w:rFonts w:ascii="Times New Roman" w:hAnsi="Times New Roman" w:cs="Times New Roman"/>
          <w:sz w:val="24"/>
          <w:szCs w:val="24"/>
        </w:rPr>
        <w:t>We hope that these specific recommendations and concerns will assist the Min</w:t>
      </w:r>
      <w:r w:rsidR="4A9D35E8" w:rsidRPr="00FB1318">
        <w:rPr>
          <w:rFonts w:ascii="Times New Roman" w:hAnsi="Times New Roman" w:cs="Times New Roman"/>
          <w:sz w:val="24"/>
          <w:szCs w:val="24"/>
        </w:rPr>
        <w:t>is</w:t>
      </w:r>
      <w:r w:rsidRPr="00FB1318">
        <w:rPr>
          <w:rFonts w:ascii="Times New Roman" w:hAnsi="Times New Roman" w:cs="Times New Roman"/>
          <w:sz w:val="24"/>
          <w:szCs w:val="24"/>
        </w:rPr>
        <w:t xml:space="preserve">try in </w:t>
      </w:r>
      <w:r w:rsidR="6B2B6606" w:rsidRPr="00FB1318">
        <w:rPr>
          <w:rFonts w:ascii="Times New Roman" w:hAnsi="Times New Roman" w:cs="Times New Roman"/>
          <w:sz w:val="24"/>
          <w:szCs w:val="24"/>
        </w:rPr>
        <w:t>reaching</w:t>
      </w:r>
      <w:r w:rsidR="001F4E2B" w:rsidRPr="00FB1318">
        <w:rPr>
          <w:rFonts w:ascii="Times New Roman" w:hAnsi="Times New Roman" w:cs="Times New Roman"/>
          <w:sz w:val="24"/>
          <w:szCs w:val="24"/>
        </w:rPr>
        <w:t xml:space="preserve"> a </w:t>
      </w:r>
      <w:r w:rsidRPr="00FB1318">
        <w:rPr>
          <w:rFonts w:ascii="Times New Roman" w:hAnsi="Times New Roman" w:cs="Times New Roman"/>
          <w:sz w:val="24"/>
          <w:szCs w:val="24"/>
        </w:rPr>
        <w:t>sound decision.</w:t>
      </w:r>
      <w:r w:rsidR="001F4E2B" w:rsidRPr="00FB1318">
        <w:rPr>
          <w:rFonts w:ascii="Times New Roman" w:hAnsi="Times New Roman" w:cs="Times New Roman"/>
          <w:sz w:val="24"/>
          <w:szCs w:val="24"/>
        </w:rPr>
        <w:t xml:space="preserve"> In </w:t>
      </w:r>
      <w:r w:rsidR="2BDAA248" w:rsidRPr="00FB1318">
        <w:rPr>
          <w:rFonts w:ascii="Times New Roman" w:hAnsi="Times New Roman" w:cs="Times New Roman"/>
          <w:sz w:val="24"/>
          <w:szCs w:val="24"/>
        </w:rPr>
        <w:t>closing</w:t>
      </w:r>
      <w:r w:rsidR="2BDAA248" w:rsidRPr="001F4E2B">
        <w:rPr>
          <w:rFonts w:ascii="Times New Roman" w:hAnsi="Times New Roman" w:cs="Times New Roman"/>
          <w:sz w:val="24"/>
          <w:szCs w:val="24"/>
        </w:rPr>
        <w:t xml:space="preserve">, we would invite the Ministry to </w:t>
      </w:r>
      <w:r w:rsidR="368E4886" w:rsidRPr="5773CC65">
        <w:rPr>
          <w:rFonts w:ascii="Times New Roman" w:hAnsi="Times New Roman" w:cs="Times New Roman"/>
          <w:sz w:val="24"/>
          <w:szCs w:val="24"/>
        </w:rPr>
        <w:t xml:space="preserve">also </w:t>
      </w:r>
      <w:r w:rsidR="2BDAA248" w:rsidRPr="001F4E2B">
        <w:rPr>
          <w:rFonts w:ascii="Times New Roman" w:hAnsi="Times New Roman" w:cs="Times New Roman"/>
          <w:sz w:val="24"/>
          <w:szCs w:val="24"/>
        </w:rPr>
        <w:t>bear in mind the full context in which regulatory decisions are made. Rather than deferring to industry and p</w:t>
      </w:r>
      <w:r w:rsidR="3BF8CA2E" w:rsidRPr="001F4E2B">
        <w:rPr>
          <w:rFonts w:ascii="Times New Roman" w:hAnsi="Times New Roman" w:cs="Times New Roman"/>
          <w:sz w:val="24"/>
          <w:szCs w:val="24"/>
        </w:rPr>
        <w:t xml:space="preserve">rioritizing economic concerns over environmental ones, the Ministry may wish to </w:t>
      </w:r>
      <w:r w:rsidR="5350E91E" w:rsidRPr="5773CC65">
        <w:rPr>
          <w:rFonts w:ascii="Times New Roman" w:hAnsi="Times New Roman" w:cs="Times New Roman"/>
          <w:sz w:val="24"/>
          <w:szCs w:val="24"/>
        </w:rPr>
        <w:t xml:space="preserve">consider the </w:t>
      </w:r>
      <w:r w:rsidR="002C7EE8">
        <w:rPr>
          <w:rFonts w:ascii="Times New Roman" w:hAnsi="Times New Roman" w:cs="Times New Roman"/>
          <w:sz w:val="24"/>
          <w:szCs w:val="24"/>
        </w:rPr>
        <w:t xml:space="preserve">longstanding impact of environmental decisions on current and future generations. </w:t>
      </w:r>
    </w:p>
    <w:p w14:paraId="74DC35CA" w14:textId="5E299162" w:rsidR="0048440B" w:rsidRPr="001F4E2B" w:rsidRDefault="0153CBED" w:rsidP="5773CC65">
      <w:pPr>
        <w:spacing w:line="480" w:lineRule="auto"/>
        <w:ind w:firstLine="720"/>
        <w:rPr>
          <w:rFonts w:ascii="Times New Roman" w:hAnsi="Times New Roman" w:cs="Times New Roman"/>
          <w:sz w:val="24"/>
          <w:szCs w:val="24"/>
        </w:rPr>
      </w:pPr>
      <w:r>
        <w:br/>
      </w:r>
      <w:r>
        <w:br/>
      </w:r>
    </w:p>
    <w:sectPr w:rsidR="0048440B" w:rsidRPr="001F4E2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8A1E" w14:textId="77777777" w:rsidR="009D01DE" w:rsidRDefault="009D01DE" w:rsidP="005761A2">
      <w:pPr>
        <w:spacing w:after="0" w:line="240" w:lineRule="auto"/>
      </w:pPr>
      <w:r>
        <w:separator/>
      </w:r>
    </w:p>
  </w:endnote>
  <w:endnote w:type="continuationSeparator" w:id="0">
    <w:p w14:paraId="2F8DE84F" w14:textId="77777777" w:rsidR="009D01DE" w:rsidRDefault="009D01DE" w:rsidP="005761A2">
      <w:pPr>
        <w:spacing w:after="0" w:line="240" w:lineRule="auto"/>
      </w:pPr>
      <w:r>
        <w:continuationSeparator/>
      </w:r>
    </w:p>
  </w:endnote>
  <w:endnote w:type="continuationNotice" w:id="1">
    <w:p w14:paraId="4F799CFA" w14:textId="77777777" w:rsidR="009D01DE" w:rsidRDefault="009D0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6777185"/>
      <w:docPartObj>
        <w:docPartGallery w:val="Page Numbers (Bottom of Page)"/>
        <w:docPartUnique/>
      </w:docPartObj>
    </w:sdtPr>
    <w:sdtContent>
      <w:p w14:paraId="04BB0CDF" w14:textId="14D94CEC" w:rsidR="00004ACF" w:rsidRDefault="00004ACF" w:rsidP="006C10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3EC290" w14:textId="77777777" w:rsidR="00004ACF" w:rsidRDefault="00004ACF" w:rsidP="00004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581632759"/>
      <w:docPartObj>
        <w:docPartGallery w:val="Page Numbers (Bottom of Page)"/>
        <w:docPartUnique/>
      </w:docPartObj>
    </w:sdtPr>
    <w:sdtContent>
      <w:p w14:paraId="461F9557" w14:textId="0F81BB9B" w:rsidR="00004ACF" w:rsidRPr="00004ACF" w:rsidRDefault="00004ACF" w:rsidP="006C10B3">
        <w:pPr>
          <w:pStyle w:val="Footer"/>
          <w:framePr w:wrap="none" w:vAnchor="text" w:hAnchor="margin" w:xAlign="right" w:y="1"/>
          <w:rPr>
            <w:rStyle w:val="PageNumber"/>
            <w:rFonts w:ascii="Times New Roman" w:hAnsi="Times New Roman" w:cs="Times New Roman"/>
          </w:rPr>
        </w:pPr>
        <w:r w:rsidRPr="00004ACF">
          <w:rPr>
            <w:rStyle w:val="PageNumber"/>
            <w:rFonts w:ascii="Times New Roman" w:hAnsi="Times New Roman" w:cs="Times New Roman"/>
          </w:rPr>
          <w:fldChar w:fldCharType="begin"/>
        </w:r>
        <w:r w:rsidRPr="00004ACF">
          <w:rPr>
            <w:rStyle w:val="PageNumber"/>
            <w:rFonts w:ascii="Times New Roman" w:hAnsi="Times New Roman" w:cs="Times New Roman"/>
          </w:rPr>
          <w:instrText xml:space="preserve"> PAGE </w:instrText>
        </w:r>
        <w:r w:rsidRPr="00004ACF">
          <w:rPr>
            <w:rStyle w:val="PageNumber"/>
            <w:rFonts w:ascii="Times New Roman" w:hAnsi="Times New Roman" w:cs="Times New Roman"/>
          </w:rPr>
          <w:fldChar w:fldCharType="separate"/>
        </w:r>
        <w:r w:rsidRPr="00004ACF">
          <w:rPr>
            <w:rStyle w:val="PageNumber"/>
            <w:rFonts w:ascii="Times New Roman" w:hAnsi="Times New Roman" w:cs="Times New Roman"/>
            <w:noProof/>
          </w:rPr>
          <w:t>2</w:t>
        </w:r>
        <w:r w:rsidRPr="00004ACF">
          <w:rPr>
            <w:rStyle w:val="PageNumber"/>
            <w:rFonts w:ascii="Times New Roman" w:hAnsi="Times New Roman" w:cs="Times New Roman"/>
          </w:rPr>
          <w:fldChar w:fldCharType="end"/>
        </w:r>
      </w:p>
    </w:sdtContent>
  </w:sdt>
  <w:tbl>
    <w:tblPr>
      <w:tblW w:w="0" w:type="auto"/>
      <w:tblLayout w:type="fixed"/>
      <w:tblLook w:val="06A0" w:firstRow="1" w:lastRow="0" w:firstColumn="1" w:lastColumn="0" w:noHBand="1" w:noVBand="1"/>
    </w:tblPr>
    <w:tblGrid>
      <w:gridCol w:w="3120"/>
      <w:gridCol w:w="3120"/>
      <w:gridCol w:w="3120"/>
    </w:tblGrid>
    <w:tr w:rsidR="4801EAC9" w14:paraId="58115A05" w14:textId="77777777" w:rsidTr="002B109E">
      <w:tc>
        <w:tcPr>
          <w:tcW w:w="3120" w:type="dxa"/>
        </w:tcPr>
        <w:p w14:paraId="3A133484" w14:textId="304F04A5" w:rsidR="4801EAC9" w:rsidRDefault="4801EAC9" w:rsidP="00004ACF">
          <w:pPr>
            <w:pStyle w:val="Header"/>
            <w:ind w:left="-115" w:right="360"/>
          </w:pPr>
        </w:p>
      </w:tc>
      <w:tc>
        <w:tcPr>
          <w:tcW w:w="3120" w:type="dxa"/>
        </w:tcPr>
        <w:p w14:paraId="246A5784" w14:textId="14D29ACB" w:rsidR="4801EAC9" w:rsidRDefault="4801EAC9" w:rsidP="002B109E">
          <w:pPr>
            <w:pStyle w:val="Header"/>
            <w:jc w:val="center"/>
          </w:pPr>
        </w:p>
      </w:tc>
      <w:tc>
        <w:tcPr>
          <w:tcW w:w="3120" w:type="dxa"/>
        </w:tcPr>
        <w:p w14:paraId="36AB5515" w14:textId="2857C06C" w:rsidR="4801EAC9" w:rsidRDefault="4801EAC9" w:rsidP="002B109E">
          <w:pPr>
            <w:pStyle w:val="Header"/>
            <w:ind w:right="-115"/>
            <w:jc w:val="right"/>
          </w:pPr>
        </w:p>
      </w:tc>
    </w:tr>
  </w:tbl>
  <w:p w14:paraId="4B8EAC34" w14:textId="10703944" w:rsidR="004E676D" w:rsidRDefault="004E676D" w:rsidP="000E2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4D03" w14:textId="77777777" w:rsidR="009D01DE" w:rsidRDefault="009D01DE" w:rsidP="005761A2">
      <w:pPr>
        <w:spacing w:after="0" w:line="240" w:lineRule="auto"/>
      </w:pPr>
      <w:r>
        <w:separator/>
      </w:r>
    </w:p>
  </w:footnote>
  <w:footnote w:type="continuationSeparator" w:id="0">
    <w:p w14:paraId="5DDF65E3" w14:textId="77777777" w:rsidR="009D01DE" w:rsidRDefault="009D01DE" w:rsidP="005761A2">
      <w:pPr>
        <w:spacing w:after="0" w:line="240" w:lineRule="auto"/>
      </w:pPr>
      <w:r>
        <w:continuationSeparator/>
      </w:r>
    </w:p>
  </w:footnote>
  <w:footnote w:type="continuationNotice" w:id="1">
    <w:p w14:paraId="7193C0C2" w14:textId="77777777" w:rsidR="009D01DE" w:rsidRDefault="009D01DE">
      <w:pPr>
        <w:spacing w:after="0" w:line="240" w:lineRule="auto"/>
      </w:pPr>
    </w:p>
  </w:footnote>
  <w:footnote w:id="2">
    <w:p w14:paraId="2180E384" w14:textId="6A723F4B" w:rsidR="00E56DA2" w:rsidRPr="00B04AAE" w:rsidRDefault="00E56DA2">
      <w:pPr>
        <w:pStyle w:val="FootnoteText"/>
      </w:pPr>
      <w:r>
        <w:rPr>
          <w:rStyle w:val="FootnoteReference"/>
        </w:rPr>
        <w:footnoteRef/>
      </w:r>
      <w:r>
        <w:t xml:space="preserve"> </w:t>
      </w:r>
      <w:r w:rsidRPr="002C270E">
        <w:rPr>
          <w:color w:val="000000" w:themeColor="text1"/>
        </w:rPr>
        <w:t>Pure Metal Galvanizing ULC – Amendment to Environmental Compliance Approval (Air) No. 5956-8ZUQ3K</w:t>
      </w:r>
      <w:r w:rsidR="00203499" w:rsidRPr="002C270E">
        <w:rPr>
          <w:color w:val="000000" w:themeColor="text1"/>
        </w:rPr>
        <w:t>, 1</w:t>
      </w:r>
      <w:r w:rsidR="00EC0755">
        <w:rPr>
          <w:color w:val="000000" w:themeColor="text1"/>
        </w:rPr>
        <w:t xml:space="preserve"> </w:t>
      </w:r>
      <w:r w:rsidR="00E737EF">
        <w:rPr>
          <w:color w:val="000000" w:themeColor="text1"/>
        </w:rPr>
        <w:t>[</w:t>
      </w:r>
      <w:r w:rsidR="00E737EF">
        <w:rPr>
          <w:i/>
          <w:iCs/>
          <w:color w:val="000000" w:themeColor="text1"/>
        </w:rPr>
        <w:t>Pure Metal Galvanizing ESDM Report</w:t>
      </w:r>
      <w:r w:rsidR="00B04AAE">
        <w:rPr>
          <w:color w:val="000000" w:themeColor="text1"/>
        </w:rPr>
        <w:t xml:space="preserve">]. </w:t>
      </w:r>
    </w:p>
  </w:footnote>
  <w:footnote w:id="3">
    <w:p w14:paraId="3266019F" w14:textId="26882924" w:rsidR="005E6C23" w:rsidRPr="00F57739" w:rsidRDefault="00EA0303" w:rsidP="00F57739">
      <w:pPr>
        <w:pStyle w:val="FootnoteText"/>
      </w:pPr>
      <w:r>
        <w:rPr>
          <w:rStyle w:val="FootnoteReference"/>
        </w:rPr>
        <w:footnoteRef/>
      </w:r>
      <w:r>
        <w:t xml:space="preserve"> </w:t>
      </w:r>
      <w:r w:rsidR="00020BE9">
        <w:rPr>
          <w:i/>
          <w:iCs/>
        </w:rPr>
        <w:t xml:space="preserve">Zinc Coatings: A Comparative Analysis of Process and Performance </w:t>
      </w:r>
      <w:r w:rsidR="00020BE9" w:rsidRPr="00E25715">
        <w:rPr>
          <w:i/>
          <w:iCs/>
        </w:rPr>
        <w:t>Characteristics</w:t>
      </w:r>
      <w:r w:rsidR="00E25715" w:rsidRPr="00E25715">
        <w:rPr>
          <w:i/>
          <w:iCs/>
        </w:rPr>
        <w:t>,</w:t>
      </w:r>
      <w:r w:rsidR="00617D01">
        <w:rPr>
          <w:i/>
          <w:iCs/>
        </w:rPr>
        <w:t xml:space="preserve"> </w:t>
      </w:r>
      <w:r w:rsidR="00617D01">
        <w:t>online: American Ga</w:t>
      </w:r>
      <w:r w:rsidR="00CC1DE2">
        <w:t>lvanizers Association</w:t>
      </w:r>
      <w:r w:rsidR="00FC65FA">
        <w:t xml:space="preserve"> &lt;</w:t>
      </w:r>
      <w:hyperlink r:id="rId1" w:history="1">
        <w:r w:rsidR="00FC65FA" w:rsidRPr="00FC65FA">
          <w:rPr>
            <w:rStyle w:val="Hyperlink"/>
            <w:color w:val="000000" w:themeColor="text1"/>
            <w:u w:val="none"/>
          </w:rPr>
          <w:t>https://galvanizeit.org/uploads/publications/Zinc_Coatings.pdf</w:t>
        </w:r>
      </w:hyperlink>
      <w:r w:rsidR="00FC65FA" w:rsidRPr="00FC65FA">
        <w:rPr>
          <w:color w:val="000000" w:themeColor="text1"/>
        </w:rPr>
        <w:t>&gt;</w:t>
      </w:r>
    </w:p>
  </w:footnote>
  <w:footnote w:id="4">
    <w:p w14:paraId="72431BE6" w14:textId="11AC2A7A" w:rsidR="005E6C23" w:rsidRPr="00F57739" w:rsidRDefault="00781CF5" w:rsidP="00F57739">
      <w:pPr>
        <w:pStyle w:val="FootnoteText"/>
        <w:rPr>
          <w:color w:val="000000" w:themeColor="text1"/>
        </w:rPr>
      </w:pPr>
      <w:r w:rsidRPr="001332A9">
        <w:rPr>
          <w:rStyle w:val="FootnoteReference"/>
          <w:color w:val="000000" w:themeColor="text1"/>
        </w:rPr>
        <w:footnoteRef/>
      </w:r>
      <w:r w:rsidRPr="001332A9">
        <w:rPr>
          <w:color w:val="000000" w:themeColor="text1"/>
        </w:rPr>
        <w:t xml:space="preserve"> </w:t>
      </w:r>
      <w:r w:rsidR="00E824E9" w:rsidRPr="001332A9">
        <w:rPr>
          <w:i/>
          <w:iCs/>
          <w:color w:val="000000" w:themeColor="text1"/>
        </w:rPr>
        <w:t xml:space="preserve">Is hot-dip galvanizing sustainable? </w:t>
      </w:r>
      <w:r w:rsidR="00E824E9" w:rsidRPr="001332A9">
        <w:rPr>
          <w:color w:val="000000" w:themeColor="text1"/>
        </w:rPr>
        <w:t>(July 2014), online:</w:t>
      </w:r>
      <w:r w:rsidR="001B070D" w:rsidRPr="001332A9">
        <w:rPr>
          <w:color w:val="000000" w:themeColor="text1"/>
        </w:rPr>
        <w:t xml:space="preserve"> </w:t>
      </w:r>
      <w:r w:rsidR="001332A9" w:rsidRPr="001332A9">
        <w:rPr>
          <w:color w:val="000000" w:themeColor="text1"/>
        </w:rPr>
        <w:t>&lt;</w:t>
      </w:r>
      <w:hyperlink r:id="rId2" w:history="1">
        <w:r w:rsidR="001332A9" w:rsidRPr="001332A9">
          <w:rPr>
            <w:rStyle w:val="Hyperlink"/>
            <w:color w:val="000000" w:themeColor="text1"/>
            <w:u w:val="none"/>
          </w:rPr>
          <w:t>https://www.corbecgalv.com/eg/news-durable-corbec.php</w:t>
        </w:r>
      </w:hyperlink>
      <w:r w:rsidR="001332A9" w:rsidRPr="001332A9">
        <w:rPr>
          <w:color w:val="000000" w:themeColor="text1"/>
        </w:rPr>
        <w:t>&gt;</w:t>
      </w:r>
    </w:p>
  </w:footnote>
  <w:footnote w:id="5">
    <w:p w14:paraId="370CA663" w14:textId="33496558" w:rsidR="00EA0303" w:rsidRDefault="00EA0303" w:rsidP="00F57739">
      <w:pPr>
        <w:pStyle w:val="FootnoteText"/>
      </w:pPr>
      <w:r>
        <w:rPr>
          <w:rStyle w:val="FootnoteReference"/>
        </w:rPr>
        <w:footnoteRef/>
      </w:r>
      <w:r>
        <w:t xml:space="preserve"> </w:t>
      </w:r>
      <w:r w:rsidR="005228B8" w:rsidRPr="00E275D3">
        <w:rPr>
          <w:i/>
          <w:iCs/>
        </w:rPr>
        <w:t>S</w:t>
      </w:r>
      <w:r w:rsidR="005228B8" w:rsidRPr="00FF7B52">
        <w:rPr>
          <w:i/>
          <w:iCs/>
        </w:rPr>
        <w:t>upra</w:t>
      </w:r>
      <w:r w:rsidR="005228B8">
        <w:t xml:space="preserve"> note 1. </w:t>
      </w:r>
    </w:p>
    <w:p w14:paraId="0C59962F" w14:textId="77777777" w:rsidR="005E6C23" w:rsidRDefault="005E6C23">
      <w:pPr>
        <w:pStyle w:val="FootnoteText"/>
      </w:pPr>
    </w:p>
  </w:footnote>
  <w:footnote w:id="6">
    <w:p w14:paraId="48010044" w14:textId="1F2B12B3" w:rsidR="005E6C23" w:rsidRPr="004723CC" w:rsidRDefault="005E6C23" w:rsidP="00562197">
      <w:pPr>
        <w:spacing w:after="0" w:line="240" w:lineRule="auto"/>
        <w:rPr>
          <w:rFonts w:ascii="Times New Roman" w:eastAsia="Times New Roman" w:hAnsi="Times New Roman" w:cs="Times New Roman"/>
          <w:sz w:val="20"/>
          <w:szCs w:val="20"/>
          <w:lang w:val="en-CA"/>
        </w:rPr>
      </w:pPr>
      <w:r w:rsidRPr="00B92E68">
        <w:rPr>
          <w:rStyle w:val="FootnoteReference"/>
          <w:rFonts w:ascii="Times New Roman" w:hAnsi="Times New Roman" w:cs="Times New Roman"/>
          <w:sz w:val="20"/>
          <w:szCs w:val="20"/>
        </w:rPr>
        <w:footnoteRef/>
      </w:r>
      <w:r w:rsidRPr="00B92E68">
        <w:rPr>
          <w:rFonts w:ascii="Times New Roman" w:hAnsi="Times New Roman" w:cs="Times New Roman"/>
          <w:sz w:val="20"/>
          <w:szCs w:val="20"/>
        </w:rPr>
        <w:t xml:space="preserve"> </w:t>
      </w:r>
      <w:r w:rsidR="00B92E68" w:rsidRPr="00B92E68">
        <w:rPr>
          <w:rFonts w:ascii="Times New Roman" w:eastAsia="Times New Roman" w:hAnsi="Times New Roman" w:cs="Times New Roman"/>
          <w:i/>
          <w:iCs/>
          <w:color w:val="000000" w:themeColor="text1"/>
          <w:sz w:val="20"/>
          <w:szCs w:val="20"/>
          <w:lang w:val="en-CA"/>
        </w:rPr>
        <w:t>Ontario Regulation 419/05: Air Pollution – Local Air Quality</w:t>
      </w:r>
      <w:r w:rsidR="00B92E68" w:rsidRPr="00B92E68">
        <w:rPr>
          <w:rFonts w:ascii="Times New Roman" w:eastAsia="Times New Roman" w:hAnsi="Times New Roman" w:cs="Times New Roman"/>
          <w:color w:val="000000" w:themeColor="text1"/>
          <w:sz w:val="20"/>
          <w:szCs w:val="20"/>
          <w:lang w:val="en-CA"/>
        </w:rPr>
        <w:t xml:space="preserve"> (O. Reg. 419/05), online: &lt;</w:t>
      </w:r>
      <w:hyperlink r:id="rId3" w:history="1">
        <w:r w:rsidR="00B92E68" w:rsidRPr="00B92E68">
          <w:rPr>
            <w:rStyle w:val="Hyperlink"/>
            <w:rFonts w:ascii="Times New Roman" w:eastAsia="Times New Roman" w:hAnsi="Times New Roman" w:cs="Times New Roman"/>
            <w:color w:val="000000" w:themeColor="text1"/>
            <w:sz w:val="20"/>
            <w:szCs w:val="20"/>
            <w:u w:val="none"/>
          </w:rPr>
          <w:t>https://www.ontario.ca/document/guideline-10-procedure-preparing-emission-summary-and-dispersion-modelling-esdm-report</w:t>
        </w:r>
      </w:hyperlink>
      <w:r w:rsidR="00B92E68" w:rsidRPr="00B92E68">
        <w:rPr>
          <w:rFonts w:ascii="Times New Roman" w:eastAsia="Times New Roman" w:hAnsi="Times New Roman" w:cs="Times New Roman"/>
          <w:color w:val="000000" w:themeColor="text1"/>
          <w:sz w:val="20"/>
          <w:szCs w:val="20"/>
        </w:rPr>
        <w:t>&gt;</w:t>
      </w:r>
      <w:r w:rsidR="00B92E68">
        <w:rPr>
          <w:rFonts w:ascii="Times New Roman" w:eastAsia="Times New Roman" w:hAnsi="Times New Roman" w:cs="Times New Roman"/>
          <w:color w:val="000000" w:themeColor="text1"/>
          <w:sz w:val="20"/>
          <w:szCs w:val="20"/>
        </w:rPr>
        <w:t xml:space="preserve"> </w:t>
      </w:r>
      <w:r w:rsidR="004723CC">
        <w:rPr>
          <w:rFonts w:ascii="Times New Roman" w:eastAsia="Times New Roman" w:hAnsi="Times New Roman" w:cs="Times New Roman"/>
          <w:color w:val="000000" w:themeColor="text1"/>
          <w:sz w:val="20"/>
          <w:szCs w:val="20"/>
        </w:rPr>
        <w:t>[</w:t>
      </w:r>
      <w:r w:rsidR="007A2900">
        <w:rPr>
          <w:rFonts w:ascii="Times New Roman" w:eastAsia="Times New Roman" w:hAnsi="Times New Roman" w:cs="Times New Roman"/>
          <w:i/>
          <w:iCs/>
          <w:color w:val="000000" w:themeColor="text1"/>
          <w:sz w:val="20"/>
          <w:szCs w:val="20"/>
        </w:rPr>
        <w:t>ESDM</w:t>
      </w:r>
      <w:r w:rsidR="004723CC">
        <w:rPr>
          <w:rFonts w:ascii="Times New Roman" w:eastAsia="Times New Roman" w:hAnsi="Times New Roman" w:cs="Times New Roman"/>
          <w:color w:val="000000" w:themeColor="text1"/>
          <w:sz w:val="20"/>
          <w:szCs w:val="20"/>
        </w:rPr>
        <w:t>]</w:t>
      </w:r>
      <w:r w:rsidR="00DC0165">
        <w:rPr>
          <w:rFonts w:ascii="Times New Roman" w:eastAsia="Times New Roman" w:hAnsi="Times New Roman" w:cs="Times New Roman"/>
          <w:color w:val="000000" w:themeColor="text1"/>
          <w:sz w:val="20"/>
          <w:szCs w:val="20"/>
        </w:rPr>
        <w:t>.</w:t>
      </w:r>
    </w:p>
  </w:footnote>
  <w:footnote w:id="7">
    <w:p w14:paraId="60834569" w14:textId="0D302006" w:rsidR="005E6C23" w:rsidRDefault="005E6C23" w:rsidP="00562197">
      <w:pPr>
        <w:pStyle w:val="FootnoteText"/>
      </w:pPr>
      <w:r w:rsidRPr="00B92E68">
        <w:rPr>
          <w:rStyle w:val="FootnoteReference"/>
        </w:rPr>
        <w:footnoteRef/>
      </w:r>
      <w:r w:rsidRPr="00B92E68">
        <w:t xml:space="preserve"> </w:t>
      </w:r>
      <w:r w:rsidR="00F94117" w:rsidRPr="00992FA8">
        <w:rPr>
          <w:i/>
          <w:iCs/>
        </w:rPr>
        <w:t>Ibid</w:t>
      </w:r>
      <w:r w:rsidR="00B92E68" w:rsidRPr="00B92E68">
        <w:t>.</w:t>
      </w:r>
      <w:r w:rsidR="00B92E68">
        <w:t xml:space="preserve"> </w:t>
      </w:r>
    </w:p>
  </w:footnote>
  <w:footnote w:id="8">
    <w:p w14:paraId="0EB3B41E" w14:textId="119BC0C1" w:rsidR="00EA0303" w:rsidRPr="007A2900" w:rsidRDefault="00EA0303">
      <w:pPr>
        <w:pStyle w:val="FootnoteText"/>
      </w:pPr>
      <w:r w:rsidRPr="00004ACF">
        <w:rPr>
          <w:rStyle w:val="FootnoteReference"/>
        </w:rPr>
        <w:footnoteRef/>
      </w:r>
      <w:r w:rsidRPr="00004ACF">
        <w:t xml:space="preserve"> </w:t>
      </w:r>
      <w:r w:rsidR="007A2900">
        <w:rPr>
          <w:i/>
          <w:iCs/>
        </w:rPr>
        <w:t>ESDM</w:t>
      </w:r>
      <w:r w:rsidR="007A2900">
        <w:t xml:space="preserve">, </w:t>
      </w:r>
      <w:r w:rsidR="007A2900">
        <w:rPr>
          <w:i/>
          <w:iCs/>
        </w:rPr>
        <w:t xml:space="preserve">supra </w:t>
      </w:r>
      <w:r w:rsidR="007A2900">
        <w:t>note</w:t>
      </w:r>
      <w:r w:rsidR="00DC0165">
        <w:t xml:space="preserve"> 5. </w:t>
      </w:r>
    </w:p>
  </w:footnote>
  <w:footnote w:id="9">
    <w:p w14:paraId="459A7240" w14:textId="3032956A" w:rsidR="009A376C" w:rsidRPr="00C37749" w:rsidRDefault="009A376C" w:rsidP="00E56CB2">
      <w:pPr>
        <w:spacing w:after="0" w:line="240" w:lineRule="auto"/>
        <w:rPr>
          <w:rFonts w:ascii="Times New Roman" w:eastAsia="Times New Roman" w:hAnsi="Times New Roman" w:cs="Times New Roman"/>
          <w:sz w:val="24"/>
          <w:szCs w:val="24"/>
          <w:lang w:val="en-CA"/>
        </w:rPr>
      </w:pPr>
      <w:r w:rsidRPr="00004ACF">
        <w:rPr>
          <w:rStyle w:val="FootnoteReference"/>
          <w:rFonts w:ascii="Times New Roman" w:hAnsi="Times New Roman" w:cs="Times New Roman"/>
        </w:rPr>
        <w:footnoteRef/>
      </w:r>
      <w:r w:rsidRPr="00004ACF">
        <w:rPr>
          <w:rFonts w:ascii="Times New Roman" w:hAnsi="Times New Roman" w:cs="Times New Roman"/>
        </w:rPr>
        <w:t xml:space="preserve"> </w:t>
      </w:r>
      <w:r w:rsidR="00DC0165" w:rsidRPr="00DC0165">
        <w:rPr>
          <w:rFonts w:ascii="Times New Roman" w:hAnsi="Times New Roman" w:cs="Times New Roman"/>
          <w:i/>
          <w:iCs/>
        </w:rPr>
        <w:t>ESDM</w:t>
      </w:r>
      <w:r w:rsidR="00DC0165" w:rsidRPr="00DC0165">
        <w:rPr>
          <w:rFonts w:ascii="Times New Roman" w:hAnsi="Times New Roman" w:cs="Times New Roman"/>
        </w:rPr>
        <w:t xml:space="preserve">, </w:t>
      </w:r>
      <w:r w:rsidR="00DC0165" w:rsidRPr="00DC0165">
        <w:rPr>
          <w:rFonts w:ascii="Times New Roman" w:hAnsi="Times New Roman" w:cs="Times New Roman"/>
          <w:i/>
          <w:iCs/>
        </w:rPr>
        <w:t xml:space="preserve">supra </w:t>
      </w:r>
      <w:r w:rsidR="00DC0165" w:rsidRPr="00DC0165">
        <w:rPr>
          <w:rFonts w:ascii="Times New Roman" w:hAnsi="Times New Roman" w:cs="Times New Roman"/>
        </w:rPr>
        <w:t>note 5.</w:t>
      </w:r>
    </w:p>
  </w:footnote>
  <w:footnote w:id="10">
    <w:p w14:paraId="745ED520" w14:textId="002C9901" w:rsidR="009A376C" w:rsidRPr="00074E94" w:rsidRDefault="009A376C" w:rsidP="00E56CB2">
      <w:pPr>
        <w:pStyle w:val="FootnoteText"/>
        <w:rPr>
          <w:color w:val="000000" w:themeColor="text1"/>
        </w:rPr>
      </w:pPr>
      <w:r w:rsidRPr="00CC03EB">
        <w:rPr>
          <w:rStyle w:val="FootnoteReference"/>
        </w:rPr>
        <w:footnoteRef/>
      </w:r>
      <w:r w:rsidRPr="00CC03EB">
        <w:t xml:space="preserve"> </w:t>
      </w:r>
      <w:r w:rsidR="00B04AAE">
        <w:rPr>
          <w:i/>
          <w:iCs/>
          <w:color w:val="000000" w:themeColor="text1"/>
        </w:rPr>
        <w:t>Pure Metal Galvanizing ESDM</w:t>
      </w:r>
      <w:r w:rsidR="00B04AAE" w:rsidRPr="00074E94">
        <w:rPr>
          <w:i/>
          <w:iCs/>
          <w:color w:val="000000" w:themeColor="text1"/>
        </w:rPr>
        <w:t xml:space="preserve"> Report</w:t>
      </w:r>
      <w:r w:rsidRPr="00074E94">
        <w:rPr>
          <w:color w:val="000000" w:themeColor="text1"/>
        </w:rPr>
        <w:t>,</w:t>
      </w:r>
      <w:r w:rsidR="00D7605B" w:rsidRPr="00074E94">
        <w:rPr>
          <w:color w:val="000000" w:themeColor="text1"/>
        </w:rPr>
        <w:t xml:space="preserve"> </w:t>
      </w:r>
      <w:r w:rsidR="00D7605B" w:rsidRPr="00074E94">
        <w:rPr>
          <w:i/>
          <w:iCs/>
          <w:color w:val="000000" w:themeColor="text1"/>
        </w:rPr>
        <w:t>supra</w:t>
      </w:r>
      <w:r w:rsidR="00D7605B" w:rsidRPr="00074E94">
        <w:rPr>
          <w:color w:val="000000" w:themeColor="text1"/>
        </w:rPr>
        <w:t xml:space="preserve"> note 1 at</w:t>
      </w:r>
      <w:r w:rsidRPr="00074E94">
        <w:rPr>
          <w:color w:val="000000" w:themeColor="text1"/>
        </w:rPr>
        <w:t xml:space="preserve"> p. 3-1</w:t>
      </w:r>
      <w:r w:rsidR="00E56DA2" w:rsidRPr="00074E94">
        <w:rPr>
          <w:color w:val="000000" w:themeColor="text1"/>
        </w:rPr>
        <w:t xml:space="preserve">. </w:t>
      </w:r>
    </w:p>
  </w:footnote>
  <w:footnote w:id="11">
    <w:p w14:paraId="6FCFFAFC" w14:textId="5C300AAE" w:rsidR="009A376C" w:rsidRPr="00074E94" w:rsidRDefault="009A376C" w:rsidP="00E56CB2">
      <w:pPr>
        <w:spacing w:after="0" w:line="240" w:lineRule="auto"/>
        <w:rPr>
          <w:rFonts w:ascii="Times New Roman" w:eastAsia="Times New Roman" w:hAnsi="Times New Roman" w:cs="Times New Roman"/>
          <w:color w:val="000000" w:themeColor="text1"/>
          <w:sz w:val="20"/>
          <w:szCs w:val="20"/>
        </w:rPr>
      </w:pPr>
      <w:r w:rsidRPr="00074E94">
        <w:rPr>
          <w:rStyle w:val="FootnoteReference"/>
          <w:rFonts w:ascii="Times New Roman" w:hAnsi="Times New Roman" w:cs="Times New Roman"/>
          <w:color w:val="000000" w:themeColor="text1"/>
          <w:sz w:val="20"/>
          <w:szCs w:val="20"/>
        </w:rPr>
        <w:footnoteRef/>
      </w:r>
      <w:r w:rsidRPr="00074E94">
        <w:rPr>
          <w:rFonts w:ascii="Times New Roman" w:hAnsi="Times New Roman" w:cs="Times New Roman"/>
          <w:color w:val="000000" w:themeColor="text1"/>
          <w:sz w:val="20"/>
          <w:szCs w:val="20"/>
        </w:rPr>
        <w:t xml:space="preserve"> </w:t>
      </w:r>
      <w:r w:rsidRPr="00074E94">
        <w:rPr>
          <w:rFonts w:ascii="Times New Roman" w:eastAsia="Times New Roman" w:hAnsi="Times New Roman" w:cs="Times New Roman"/>
          <w:color w:val="000000" w:themeColor="text1"/>
          <w:sz w:val="20"/>
          <w:szCs w:val="20"/>
        </w:rPr>
        <w:t xml:space="preserve">Government of Ontario Central Forms Repository. </w:t>
      </w:r>
      <w:r w:rsidRPr="00074E94">
        <w:rPr>
          <w:rFonts w:ascii="Times New Roman" w:eastAsia="Times New Roman" w:hAnsi="Times New Roman" w:cs="Times New Roman"/>
          <w:i/>
          <w:iCs/>
          <w:color w:val="000000" w:themeColor="text1"/>
          <w:sz w:val="20"/>
          <w:szCs w:val="20"/>
        </w:rPr>
        <w:t>Supporting Information for a Maximum Ground Level Concentration Acceptability Request for Compounds with No Ministry Point of Impingement (POI) Limit Supplement to Application For Approval, EPA S.9</w:t>
      </w:r>
      <w:r w:rsidR="00074E94" w:rsidRPr="00074E94">
        <w:rPr>
          <w:rFonts w:ascii="Times New Roman" w:eastAsia="Times New Roman" w:hAnsi="Times New Roman" w:cs="Times New Roman"/>
          <w:i/>
          <w:iCs/>
          <w:color w:val="000000" w:themeColor="text1"/>
          <w:sz w:val="20"/>
          <w:szCs w:val="20"/>
        </w:rPr>
        <w:t xml:space="preserve">, </w:t>
      </w:r>
      <w:r w:rsidR="00074E94" w:rsidRPr="00074E94">
        <w:rPr>
          <w:rFonts w:ascii="Times New Roman" w:eastAsia="Times New Roman" w:hAnsi="Times New Roman" w:cs="Times New Roman"/>
          <w:color w:val="000000" w:themeColor="text1"/>
          <w:sz w:val="20"/>
          <w:szCs w:val="20"/>
        </w:rPr>
        <w:t>online:</w:t>
      </w:r>
      <w:r w:rsidRPr="00074E94">
        <w:rPr>
          <w:rFonts w:ascii="Times New Roman" w:eastAsia="Times New Roman" w:hAnsi="Times New Roman" w:cs="Times New Roman"/>
          <w:color w:val="000000" w:themeColor="text1"/>
          <w:sz w:val="20"/>
          <w:szCs w:val="20"/>
        </w:rPr>
        <w:t xml:space="preserve"> </w:t>
      </w:r>
      <w:r w:rsidR="00074E94" w:rsidRPr="00074E94">
        <w:rPr>
          <w:rFonts w:ascii="Times New Roman" w:eastAsia="Times New Roman" w:hAnsi="Times New Roman" w:cs="Times New Roman"/>
          <w:color w:val="000000" w:themeColor="text1"/>
          <w:sz w:val="20"/>
          <w:szCs w:val="20"/>
        </w:rPr>
        <w:t>&lt;</w:t>
      </w:r>
      <w:hyperlink r:id="rId4" w:history="1">
        <w:r w:rsidR="00074E94" w:rsidRPr="00074E94">
          <w:rPr>
            <w:rStyle w:val="Hyperlink"/>
            <w:rFonts w:ascii="Times New Roman" w:eastAsia="Times New Roman" w:hAnsi="Times New Roman" w:cs="Times New Roman"/>
            <w:color w:val="000000" w:themeColor="text1"/>
            <w:sz w:val="20"/>
            <w:szCs w:val="20"/>
            <w:u w:val="none"/>
          </w:rPr>
          <w:t>https://www.forms.ssb.gov.on.ca/mbs/ssb/forms/ssbforms.nsf/ODAGetFormDetail?openagent&amp;lang=E&amp;env=ODA&amp;NO=4872&amp;ref=~06s~E~1~012~~86~~~</w:t>
        </w:r>
      </w:hyperlink>
      <w:r w:rsidR="00074E94" w:rsidRPr="00074E94">
        <w:rPr>
          <w:rFonts w:ascii="Times New Roman" w:eastAsia="Times New Roman" w:hAnsi="Times New Roman" w:cs="Times New Roman"/>
          <w:color w:val="000000" w:themeColor="text1"/>
          <w:sz w:val="20"/>
          <w:szCs w:val="20"/>
        </w:rPr>
        <w:t>&gt;</w:t>
      </w:r>
    </w:p>
  </w:footnote>
  <w:footnote w:id="12">
    <w:p w14:paraId="78A048AA" w14:textId="62DFC27E" w:rsidR="00EC75A9" w:rsidRPr="00B36D3B" w:rsidRDefault="00EC75A9" w:rsidP="00E56CB2">
      <w:pPr>
        <w:spacing w:after="0" w:line="240" w:lineRule="auto"/>
        <w:rPr>
          <w:rFonts w:ascii="Times New Roman" w:eastAsia="Times New Roman" w:hAnsi="Times New Roman" w:cs="Times New Roman"/>
          <w:sz w:val="24"/>
          <w:szCs w:val="24"/>
          <w:lang w:val="en-CA"/>
        </w:rPr>
      </w:pPr>
      <w:r w:rsidRPr="00074E94">
        <w:rPr>
          <w:rStyle w:val="FootnoteReference"/>
          <w:rFonts w:ascii="Times New Roman" w:hAnsi="Times New Roman" w:cs="Times New Roman"/>
          <w:color w:val="000000" w:themeColor="text1"/>
          <w:sz w:val="20"/>
          <w:szCs w:val="20"/>
        </w:rPr>
        <w:footnoteRef/>
      </w:r>
      <w:r w:rsidRPr="00074E94">
        <w:rPr>
          <w:rFonts w:ascii="Times New Roman" w:hAnsi="Times New Roman" w:cs="Times New Roman"/>
          <w:color w:val="000000" w:themeColor="text1"/>
          <w:sz w:val="20"/>
          <w:szCs w:val="20"/>
        </w:rPr>
        <w:t xml:space="preserve"> </w:t>
      </w:r>
      <w:r w:rsidR="00CC03EB" w:rsidRPr="00074E94">
        <w:rPr>
          <w:rFonts w:ascii="Times New Roman" w:eastAsia="Times New Roman" w:hAnsi="Times New Roman" w:cs="Times New Roman"/>
          <w:color w:val="000000" w:themeColor="text1"/>
          <w:sz w:val="20"/>
          <w:szCs w:val="20"/>
          <w:shd w:val="clear" w:color="auto" w:fill="FFFFFF"/>
          <w:lang w:val="en-CA"/>
        </w:rPr>
        <w:t xml:space="preserve">William A. </w:t>
      </w:r>
      <w:proofErr w:type="spellStart"/>
      <w:r w:rsidR="00CC03EB" w:rsidRPr="00074E94">
        <w:rPr>
          <w:rFonts w:ascii="Times New Roman" w:eastAsia="Times New Roman" w:hAnsi="Times New Roman" w:cs="Times New Roman"/>
          <w:color w:val="000000" w:themeColor="text1"/>
          <w:sz w:val="20"/>
          <w:szCs w:val="20"/>
          <w:shd w:val="clear" w:color="auto" w:fill="FFFFFF"/>
          <w:lang w:val="en-CA"/>
        </w:rPr>
        <w:t>Tilleman</w:t>
      </w:r>
      <w:proofErr w:type="spellEnd"/>
      <w:r w:rsidR="00CC03EB" w:rsidRPr="00074E94">
        <w:rPr>
          <w:rFonts w:ascii="Times New Roman" w:eastAsia="Times New Roman" w:hAnsi="Times New Roman" w:cs="Times New Roman"/>
          <w:color w:val="000000" w:themeColor="text1"/>
          <w:sz w:val="20"/>
          <w:szCs w:val="20"/>
          <w:shd w:val="clear" w:color="auto" w:fill="FFFFFF"/>
          <w:lang w:val="en-CA"/>
        </w:rPr>
        <w:t xml:space="preserve">, Alastair R. Lucas, Sara L. </w:t>
      </w:r>
      <w:proofErr w:type="spellStart"/>
      <w:r w:rsidR="00CC03EB" w:rsidRPr="00074E94">
        <w:rPr>
          <w:rFonts w:ascii="Times New Roman" w:eastAsia="Times New Roman" w:hAnsi="Times New Roman" w:cs="Times New Roman"/>
          <w:color w:val="000000" w:themeColor="text1"/>
          <w:sz w:val="20"/>
          <w:szCs w:val="20"/>
          <w:shd w:val="clear" w:color="auto" w:fill="FFFFFF"/>
          <w:lang w:val="en-CA"/>
        </w:rPr>
        <w:t>Bagg</w:t>
      </w:r>
      <w:proofErr w:type="spellEnd"/>
      <w:r w:rsidR="00CC03EB" w:rsidRPr="00074E94">
        <w:rPr>
          <w:rFonts w:ascii="Times New Roman" w:eastAsia="Times New Roman" w:hAnsi="Times New Roman" w:cs="Times New Roman"/>
          <w:color w:val="000000" w:themeColor="text1"/>
          <w:sz w:val="20"/>
          <w:szCs w:val="20"/>
          <w:shd w:val="clear" w:color="auto" w:fill="FFFFFF"/>
          <w:lang w:val="en-CA"/>
        </w:rPr>
        <w:t xml:space="preserve"> </w:t>
      </w:r>
      <w:r w:rsidR="00CC03EB" w:rsidRPr="00CC03EB">
        <w:rPr>
          <w:rFonts w:ascii="Times New Roman" w:eastAsia="Times New Roman" w:hAnsi="Times New Roman" w:cs="Times New Roman"/>
          <w:color w:val="201F1E"/>
          <w:sz w:val="20"/>
          <w:szCs w:val="20"/>
          <w:shd w:val="clear" w:color="auto" w:fill="FFFFFF"/>
          <w:lang w:val="en-CA"/>
        </w:rPr>
        <w:t xml:space="preserve">&amp; </w:t>
      </w:r>
      <w:proofErr w:type="spellStart"/>
      <w:r w:rsidR="00CC03EB" w:rsidRPr="00CC03EB">
        <w:rPr>
          <w:rFonts w:ascii="Times New Roman" w:eastAsia="Times New Roman" w:hAnsi="Times New Roman" w:cs="Times New Roman"/>
          <w:color w:val="201F1E"/>
          <w:sz w:val="20"/>
          <w:szCs w:val="20"/>
          <w:shd w:val="clear" w:color="auto" w:fill="FFFFFF"/>
          <w:lang w:val="en-CA"/>
        </w:rPr>
        <w:t>Patrícia</w:t>
      </w:r>
      <w:proofErr w:type="spellEnd"/>
      <w:r w:rsidR="00CC03EB" w:rsidRPr="00CC03EB">
        <w:rPr>
          <w:rFonts w:ascii="Times New Roman" w:eastAsia="Times New Roman" w:hAnsi="Times New Roman" w:cs="Times New Roman"/>
          <w:color w:val="201F1E"/>
          <w:sz w:val="20"/>
          <w:szCs w:val="20"/>
          <w:shd w:val="clear" w:color="auto" w:fill="FFFFFF"/>
          <w:lang w:val="en-CA"/>
        </w:rPr>
        <w:t xml:space="preserve"> </w:t>
      </w:r>
      <w:proofErr w:type="spellStart"/>
      <w:r w:rsidR="00CC03EB" w:rsidRPr="00CC03EB">
        <w:rPr>
          <w:rFonts w:ascii="Times New Roman" w:eastAsia="Times New Roman" w:hAnsi="Times New Roman" w:cs="Times New Roman"/>
          <w:color w:val="201F1E"/>
          <w:sz w:val="20"/>
          <w:szCs w:val="20"/>
          <w:shd w:val="clear" w:color="auto" w:fill="FFFFFF"/>
          <w:lang w:val="en-CA"/>
        </w:rPr>
        <w:t>Galvão</w:t>
      </w:r>
      <w:proofErr w:type="spellEnd"/>
      <w:r w:rsidR="00CC03EB" w:rsidRPr="00CC03EB">
        <w:rPr>
          <w:rFonts w:ascii="Times New Roman" w:eastAsia="Times New Roman" w:hAnsi="Times New Roman" w:cs="Times New Roman"/>
          <w:color w:val="201F1E"/>
          <w:sz w:val="20"/>
          <w:szCs w:val="20"/>
          <w:shd w:val="clear" w:color="auto" w:fill="FFFFFF"/>
          <w:lang w:val="en-CA"/>
        </w:rPr>
        <w:t xml:space="preserve"> Ferreira, </w:t>
      </w:r>
      <w:r w:rsidR="00CC03EB" w:rsidRPr="00CC03EB">
        <w:rPr>
          <w:rFonts w:ascii="Times New Roman" w:eastAsia="Times New Roman" w:hAnsi="Times New Roman" w:cs="Times New Roman"/>
          <w:i/>
          <w:iCs/>
          <w:color w:val="201F1E"/>
          <w:sz w:val="20"/>
          <w:szCs w:val="20"/>
          <w:shd w:val="clear" w:color="auto" w:fill="FFFFFF"/>
          <w:lang w:val="en-CA"/>
        </w:rPr>
        <w:t>Environmental Law and Policy</w:t>
      </w:r>
      <w:r w:rsidR="00CC03EB" w:rsidRPr="00CC03EB">
        <w:rPr>
          <w:rFonts w:ascii="Times New Roman" w:eastAsia="Times New Roman" w:hAnsi="Times New Roman" w:cs="Times New Roman"/>
          <w:color w:val="201F1E"/>
          <w:sz w:val="20"/>
          <w:szCs w:val="20"/>
          <w:shd w:val="clear" w:color="auto" w:fill="FFFFFF"/>
          <w:lang w:val="en-CA"/>
        </w:rPr>
        <w:t xml:space="preserve">, 4th </w:t>
      </w:r>
      <w:r w:rsidR="005E34F5">
        <w:rPr>
          <w:rFonts w:ascii="Times New Roman" w:eastAsia="Times New Roman" w:hAnsi="Times New Roman" w:cs="Times New Roman"/>
          <w:color w:val="201F1E"/>
          <w:sz w:val="20"/>
          <w:szCs w:val="20"/>
          <w:shd w:val="clear" w:color="auto" w:fill="FFFFFF"/>
          <w:lang w:val="en-CA"/>
        </w:rPr>
        <w:t>e</w:t>
      </w:r>
      <w:r w:rsidR="00CC03EB" w:rsidRPr="00CC03EB">
        <w:rPr>
          <w:rFonts w:ascii="Times New Roman" w:eastAsia="Times New Roman" w:hAnsi="Times New Roman" w:cs="Times New Roman"/>
          <w:color w:val="201F1E"/>
          <w:sz w:val="20"/>
          <w:szCs w:val="20"/>
          <w:shd w:val="clear" w:color="auto" w:fill="FFFFFF"/>
          <w:lang w:val="en-CA"/>
        </w:rPr>
        <w:t>d (Toronto: Emond Publishing, 2020) at</w:t>
      </w:r>
      <w:r w:rsidRPr="00CC03EB">
        <w:rPr>
          <w:rFonts w:ascii="Times New Roman" w:hAnsi="Times New Roman" w:cs="Times New Roman"/>
          <w:sz w:val="20"/>
          <w:szCs w:val="20"/>
        </w:rPr>
        <w:t xml:space="preserve"> 414</w:t>
      </w:r>
      <w:r w:rsidR="006F6F51">
        <w:rPr>
          <w:rFonts w:ascii="Times New Roman" w:hAnsi="Times New Roman" w:cs="Times New Roman"/>
          <w:sz w:val="20"/>
          <w:szCs w:val="20"/>
        </w:rPr>
        <w:t xml:space="preserve"> [</w:t>
      </w:r>
      <w:r w:rsidR="006F6F51" w:rsidRPr="00CC03EB">
        <w:rPr>
          <w:rFonts w:ascii="Times New Roman" w:eastAsia="Times New Roman" w:hAnsi="Times New Roman" w:cs="Times New Roman"/>
          <w:i/>
          <w:iCs/>
          <w:color w:val="201F1E"/>
          <w:sz w:val="20"/>
          <w:szCs w:val="20"/>
          <w:shd w:val="clear" w:color="auto" w:fill="FFFFFF"/>
          <w:lang w:val="en-CA"/>
        </w:rPr>
        <w:t>Environmental Law and Policy</w:t>
      </w:r>
      <w:r w:rsidR="00B36D3B">
        <w:rPr>
          <w:rFonts w:ascii="Times New Roman" w:eastAsia="Times New Roman" w:hAnsi="Times New Roman" w:cs="Times New Roman"/>
          <w:color w:val="201F1E"/>
          <w:sz w:val="20"/>
          <w:szCs w:val="20"/>
          <w:shd w:val="clear" w:color="auto" w:fill="FFFFFF"/>
          <w:lang w:val="en-CA"/>
        </w:rPr>
        <w:t xml:space="preserve">]. </w:t>
      </w:r>
    </w:p>
  </w:footnote>
  <w:footnote w:id="13">
    <w:p w14:paraId="546553CF" w14:textId="29BFCD89" w:rsidR="00C04B71" w:rsidRDefault="00C04B71" w:rsidP="00E56CB2">
      <w:pPr>
        <w:pStyle w:val="FootnoteText"/>
      </w:pPr>
      <w:r>
        <w:rPr>
          <w:rStyle w:val="FootnoteReference"/>
        </w:rPr>
        <w:footnoteRef/>
      </w:r>
      <w:r>
        <w:t xml:space="preserve"> </w:t>
      </w:r>
      <w:r w:rsidR="00CC03EB" w:rsidRPr="00562197">
        <w:rPr>
          <w:i/>
          <w:iCs/>
        </w:rPr>
        <w:t>Ibid</w:t>
      </w:r>
      <w:r w:rsidR="00CC03EB">
        <w:t xml:space="preserve">. </w:t>
      </w:r>
    </w:p>
  </w:footnote>
  <w:footnote w:id="14">
    <w:p w14:paraId="70DB3D0C" w14:textId="09FABFDB" w:rsidR="39A6C97D" w:rsidRPr="00B36D3B" w:rsidRDefault="39A6C97D" w:rsidP="00E56CB2">
      <w:pPr>
        <w:pStyle w:val="FootnoteText"/>
      </w:pPr>
      <w:r w:rsidRPr="00B36D3B">
        <w:rPr>
          <w:rStyle w:val="FootnoteReference"/>
        </w:rPr>
        <w:footnoteRef/>
      </w:r>
      <w:r w:rsidRPr="00B36D3B">
        <w:t xml:space="preserve"> </w:t>
      </w:r>
      <w:r w:rsidR="00517DFB" w:rsidRPr="00B36D3B">
        <w:rPr>
          <w:i/>
          <w:iCs/>
          <w:color w:val="000000" w:themeColor="text1"/>
        </w:rPr>
        <w:t>Pure Metal Galvanizing ESDM Report</w:t>
      </w:r>
      <w:r w:rsidR="00517DFB" w:rsidRPr="00B36D3B">
        <w:t xml:space="preserve"> </w:t>
      </w:r>
      <w:r w:rsidR="00517DFB" w:rsidRPr="00B36D3B">
        <w:rPr>
          <w:i/>
          <w:iCs/>
        </w:rPr>
        <w:t xml:space="preserve">supra </w:t>
      </w:r>
      <w:r w:rsidR="00517DFB" w:rsidRPr="00B36D3B">
        <w:t>note 1, p</w:t>
      </w:r>
      <w:r w:rsidRPr="00B36D3B">
        <w:t>1-3, 3-1, 7-1.</w:t>
      </w:r>
    </w:p>
  </w:footnote>
  <w:footnote w:id="15">
    <w:p w14:paraId="6F5DDAD8" w14:textId="203E455D" w:rsidR="008721EE" w:rsidRPr="00B36D3B" w:rsidRDefault="008721EE" w:rsidP="00E56CB2">
      <w:pPr>
        <w:spacing w:after="0" w:line="240" w:lineRule="auto"/>
        <w:rPr>
          <w:rFonts w:ascii="Times New Roman" w:eastAsia="Times New Roman" w:hAnsi="Times New Roman" w:cs="Times New Roman"/>
          <w:sz w:val="20"/>
          <w:szCs w:val="20"/>
          <w:lang w:val="en-CA"/>
        </w:rPr>
      </w:pPr>
      <w:r w:rsidRPr="00B36D3B">
        <w:rPr>
          <w:rStyle w:val="FootnoteReference"/>
          <w:rFonts w:ascii="Times New Roman" w:hAnsi="Times New Roman" w:cs="Times New Roman"/>
          <w:sz w:val="20"/>
          <w:szCs w:val="20"/>
        </w:rPr>
        <w:footnoteRef/>
      </w:r>
      <w:r w:rsidRPr="00B36D3B">
        <w:rPr>
          <w:rFonts w:ascii="Times New Roman" w:hAnsi="Times New Roman" w:cs="Times New Roman"/>
          <w:sz w:val="20"/>
          <w:szCs w:val="20"/>
        </w:rPr>
        <w:t xml:space="preserve"> </w:t>
      </w:r>
      <w:r w:rsidR="00B36D3B" w:rsidRPr="00B36D3B">
        <w:rPr>
          <w:rFonts w:ascii="Times New Roman" w:eastAsia="Times New Roman" w:hAnsi="Times New Roman" w:cs="Times New Roman"/>
          <w:i/>
          <w:iCs/>
          <w:color w:val="201F1E"/>
          <w:sz w:val="20"/>
          <w:szCs w:val="20"/>
          <w:shd w:val="clear" w:color="auto" w:fill="FFFFFF"/>
          <w:lang w:val="en-CA"/>
        </w:rPr>
        <w:t>Environmental Law and Policy</w:t>
      </w:r>
      <w:r w:rsidR="00B36D3B" w:rsidRPr="00B36D3B">
        <w:rPr>
          <w:rFonts w:ascii="Times New Roman" w:eastAsia="Times New Roman" w:hAnsi="Times New Roman" w:cs="Times New Roman"/>
          <w:i/>
          <w:iCs/>
          <w:color w:val="201F1E"/>
          <w:sz w:val="20"/>
          <w:szCs w:val="20"/>
          <w:shd w:val="clear" w:color="auto" w:fill="FFFFFF"/>
          <w:lang w:val="en-CA"/>
        </w:rPr>
        <w:t xml:space="preserve"> supra </w:t>
      </w:r>
      <w:r w:rsidR="00B36D3B" w:rsidRPr="00B36D3B">
        <w:rPr>
          <w:rFonts w:ascii="Times New Roman" w:eastAsia="Times New Roman" w:hAnsi="Times New Roman" w:cs="Times New Roman"/>
          <w:color w:val="201F1E"/>
          <w:sz w:val="20"/>
          <w:szCs w:val="20"/>
          <w:shd w:val="clear" w:color="auto" w:fill="FFFFFF"/>
          <w:lang w:val="en-CA"/>
        </w:rPr>
        <w:t>note 11</w:t>
      </w:r>
      <w:r w:rsidR="005E34F5" w:rsidRPr="00B36D3B">
        <w:rPr>
          <w:rFonts w:ascii="Times New Roman" w:eastAsia="Times New Roman" w:hAnsi="Times New Roman" w:cs="Times New Roman"/>
          <w:color w:val="201F1E"/>
          <w:sz w:val="20"/>
          <w:szCs w:val="20"/>
          <w:shd w:val="clear" w:color="auto" w:fill="FFFFFF"/>
          <w:lang w:val="en-CA"/>
        </w:rPr>
        <w:t xml:space="preserve"> at</w:t>
      </w:r>
      <w:r w:rsidR="005E34F5" w:rsidRPr="00B36D3B">
        <w:rPr>
          <w:rFonts w:ascii="Times New Roman" w:hAnsi="Times New Roman" w:cs="Times New Roman"/>
          <w:sz w:val="20"/>
          <w:szCs w:val="20"/>
        </w:rPr>
        <w:t xml:space="preserve"> 414.</w:t>
      </w:r>
    </w:p>
  </w:footnote>
  <w:footnote w:id="16">
    <w:p w14:paraId="0A9166FF" w14:textId="2E1BEE3E" w:rsidR="003E2E2F" w:rsidRDefault="003E2E2F" w:rsidP="00E56CB2">
      <w:pPr>
        <w:pStyle w:val="FootnoteText"/>
      </w:pPr>
      <w:r w:rsidRPr="00B36D3B">
        <w:rPr>
          <w:rStyle w:val="FootnoteReference"/>
        </w:rPr>
        <w:footnoteRef/>
      </w:r>
      <w:r w:rsidRPr="00B36D3B">
        <w:t xml:space="preserve"> </w:t>
      </w:r>
      <w:r w:rsidR="006F6F51" w:rsidRPr="00B36D3B">
        <w:rPr>
          <w:i/>
          <w:iCs/>
        </w:rPr>
        <w:t xml:space="preserve">Ibid </w:t>
      </w:r>
      <w:r w:rsidR="006F6F51" w:rsidRPr="00B36D3B">
        <w:t xml:space="preserve">at </w:t>
      </w:r>
      <w:r w:rsidRPr="00B36D3B">
        <w:t>416</w:t>
      </w:r>
      <w:r w:rsidR="006F6F51">
        <w:t xml:space="preserve">. </w:t>
      </w:r>
    </w:p>
  </w:footnote>
  <w:footnote w:id="17">
    <w:p w14:paraId="07290827" w14:textId="5AAD07EE" w:rsidR="003E2E2F" w:rsidRDefault="003E2E2F" w:rsidP="003E2E2F">
      <w:pPr>
        <w:pStyle w:val="FootnoteText"/>
      </w:pPr>
      <w:r>
        <w:rPr>
          <w:rStyle w:val="FootnoteReference"/>
        </w:rPr>
        <w:footnoteRef/>
      </w:r>
      <w:r>
        <w:t xml:space="preserve"> </w:t>
      </w:r>
      <w:r w:rsidR="00B36D3B" w:rsidRPr="00B36D3B">
        <w:rPr>
          <w:i/>
          <w:iCs/>
          <w:color w:val="201F1E"/>
          <w:shd w:val="clear" w:color="auto" w:fill="FFFFFF"/>
        </w:rPr>
        <w:t xml:space="preserve">Environmental Law and Policy supra </w:t>
      </w:r>
      <w:r w:rsidR="00B36D3B" w:rsidRPr="00B36D3B">
        <w:rPr>
          <w:color w:val="201F1E"/>
          <w:shd w:val="clear" w:color="auto" w:fill="FFFFFF"/>
        </w:rPr>
        <w:t>note 11 at</w:t>
      </w:r>
      <w:r w:rsidR="00B36D3B" w:rsidRPr="00B36D3B">
        <w:t xml:space="preserve"> 414.</w:t>
      </w:r>
    </w:p>
  </w:footnote>
  <w:footnote w:id="18">
    <w:p w14:paraId="4C2A6688" w14:textId="43D36E1A" w:rsidR="003E2E2F" w:rsidRPr="00B36D3B" w:rsidRDefault="003E2E2F" w:rsidP="003E2E2F">
      <w:pPr>
        <w:pStyle w:val="FootnoteText"/>
      </w:pPr>
      <w:r>
        <w:rPr>
          <w:rStyle w:val="FootnoteReference"/>
        </w:rPr>
        <w:footnoteRef/>
      </w:r>
      <w:r>
        <w:t xml:space="preserve"> </w:t>
      </w:r>
      <w:r w:rsidR="00B36D3B">
        <w:rPr>
          <w:i/>
          <w:iCs/>
        </w:rPr>
        <w:t xml:space="preserve">Ibid </w:t>
      </w:r>
      <w:r w:rsidR="00B36D3B">
        <w:t>at 416.</w:t>
      </w:r>
    </w:p>
  </w:footnote>
  <w:footnote w:id="19">
    <w:p w14:paraId="6E3BAAF9" w14:textId="1B1B8349" w:rsidR="005420B2" w:rsidRDefault="005420B2" w:rsidP="005420B2">
      <w:pPr>
        <w:pStyle w:val="FootnoteText"/>
      </w:pPr>
      <w:r>
        <w:rPr>
          <w:rStyle w:val="FootnoteReference"/>
        </w:rPr>
        <w:footnoteRef/>
      </w:r>
      <w:r>
        <w:t xml:space="preserve"> </w:t>
      </w:r>
      <w:r w:rsidR="00B36D3B">
        <w:rPr>
          <w:i/>
          <w:iCs/>
        </w:rPr>
        <w:t xml:space="preserve">Ibid </w:t>
      </w:r>
      <w:r w:rsidR="00B36D3B">
        <w:t xml:space="preserve">at </w:t>
      </w:r>
      <w:r>
        <w:t>456</w:t>
      </w:r>
      <w:r w:rsidR="00B36D3B">
        <w:t xml:space="preserve">. </w:t>
      </w:r>
    </w:p>
  </w:footnote>
  <w:footnote w:id="20">
    <w:p w14:paraId="021AFEF5" w14:textId="4565842E" w:rsidR="005420B2" w:rsidRPr="009610E0" w:rsidRDefault="005420B2" w:rsidP="009610E0">
      <w:pPr>
        <w:spacing w:after="0" w:line="240" w:lineRule="auto"/>
        <w:rPr>
          <w:rFonts w:ascii="Times New Roman" w:eastAsia="Times New Roman" w:hAnsi="Times New Roman" w:cs="Times New Roman"/>
          <w:sz w:val="20"/>
          <w:szCs w:val="20"/>
          <w:lang w:val="en-CA"/>
        </w:rPr>
      </w:pPr>
      <w:r w:rsidRPr="009610E0">
        <w:rPr>
          <w:rStyle w:val="FootnoteReference"/>
          <w:rFonts w:ascii="Times New Roman" w:hAnsi="Times New Roman" w:cs="Times New Roman"/>
          <w:sz w:val="20"/>
          <w:szCs w:val="20"/>
        </w:rPr>
        <w:footnoteRef/>
      </w:r>
      <w:r w:rsidRPr="009610E0">
        <w:rPr>
          <w:rFonts w:ascii="Times New Roman" w:hAnsi="Times New Roman" w:cs="Times New Roman"/>
          <w:sz w:val="20"/>
          <w:szCs w:val="20"/>
        </w:rPr>
        <w:t xml:space="preserve"> </w:t>
      </w:r>
      <w:r w:rsidR="009610E0" w:rsidRPr="009610E0">
        <w:rPr>
          <w:rFonts w:ascii="Times New Roman" w:eastAsia="Times New Roman" w:hAnsi="Times New Roman" w:cs="Times New Roman"/>
          <w:i/>
          <w:iCs/>
          <w:color w:val="000000"/>
          <w:spacing w:val="-3"/>
          <w:sz w:val="20"/>
          <w:szCs w:val="20"/>
          <w:lang w:val="en-CA"/>
        </w:rPr>
        <w:t>Friends of the Oldman River Society v. Canada (Minister of Transport)</w:t>
      </w:r>
      <w:r w:rsidR="009610E0" w:rsidRPr="009610E0">
        <w:rPr>
          <w:rFonts w:ascii="Times New Roman" w:eastAsia="Times New Roman" w:hAnsi="Times New Roman" w:cs="Times New Roman"/>
          <w:color w:val="000000"/>
          <w:spacing w:val="-3"/>
          <w:sz w:val="20"/>
          <w:szCs w:val="20"/>
          <w:lang w:val="en-CA"/>
        </w:rPr>
        <w:t>, [1992] 1 S.C.R. 3</w:t>
      </w:r>
    </w:p>
  </w:footnote>
  <w:footnote w:id="21">
    <w:p w14:paraId="1E5BB701" w14:textId="228E0C0F" w:rsidR="00E73686" w:rsidRPr="00B36D3B" w:rsidRDefault="00E73686" w:rsidP="009610E0">
      <w:pPr>
        <w:pStyle w:val="FootnoteText"/>
        <w:rPr>
          <w:color w:val="000000" w:themeColor="text1"/>
        </w:rPr>
      </w:pPr>
      <w:r w:rsidRPr="00B36D3B">
        <w:rPr>
          <w:rStyle w:val="FootnoteReference"/>
          <w:color w:val="000000" w:themeColor="text1"/>
        </w:rPr>
        <w:footnoteRef/>
      </w:r>
      <w:r w:rsidRPr="00B36D3B">
        <w:rPr>
          <w:color w:val="000000" w:themeColor="text1"/>
        </w:rPr>
        <w:t xml:space="preserve"> </w:t>
      </w:r>
      <w:r w:rsidR="00B36D3B" w:rsidRPr="00B36D3B">
        <w:rPr>
          <w:i/>
          <w:iCs/>
          <w:color w:val="000000" w:themeColor="text1"/>
          <w:shd w:val="clear" w:color="auto" w:fill="FFFFFF"/>
        </w:rPr>
        <w:t xml:space="preserve">Environmental Law and Policy supra </w:t>
      </w:r>
      <w:r w:rsidR="00B36D3B" w:rsidRPr="00B36D3B">
        <w:rPr>
          <w:color w:val="000000" w:themeColor="text1"/>
          <w:shd w:val="clear" w:color="auto" w:fill="FFFFFF"/>
        </w:rPr>
        <w:t>note 11 at</w:t>
      </w:r>
      <w:r w:rsidR="00B36D3B" w:rsidRPr="00B36D3B">
        <w:rPr>
          <w:color w:val="000000" w:themeColor="text1"/>
        </w:rPr>
        <w:t xml:space="preserve"> </w:t>
      </w:r>
      <w:r w:rsidRPr="00B36D3B">
        <w:rPr>
          <w:color w:val="000000" w:themeColor="text1"/>
        </w:rPr>
        <w:t>464</w:t>
      </w:r>
      <w:r w:rsidR="00B36D3B" w:rsidRPr="00B36D3B">
        <w:rPr>
          <w:color w:val="000000" w:themeColor="text1"/>
        </w:rPr>
        <w:t xml:space="preserve">. </w:t>
      </w:r>
    </w:p>
  </w:footnote>
  <w:footnote w:id="22">
    <w:p w14:paraId="3F885E0E" w14:textId="5CF15AA1" w:rsidR="00E73686" w:rsidRPr="00B36D3B" w:rsidRDefault="00E73686" w:rsidP="009610E0">
      <w:pPr>
        <w:pStyle w:val="FootnoteText"/>
        <w:rPr>
          <w:color w:val="000000" w:themeColor="text1"/>
        </w:rPr>
      </w:pPr>
      <w:r w:rsidRPr="00B36D3B">
        <w:rPr>
          <w:rStyle w:val="FootnoteReference"/>
          <w:color w:val="000000" w:themeColor="text1"/>
        </w:rPr>
        <w:footnoteRef/>
      </w:r>
      <w:r w:rsidRPr="00B36D3B">
        <w:rPr>
          <w:color w:val="000000" w:themeColor="text1"/>
        </w:rPr>
        <w:t xml:space="preserve"> </w:t>
      </w:r>
      <w:r w:rsidR="00B36D3B" w:rsidRPr="00B36D3B">
        <w:rPr>
          <w:i/>
          <w:iCs/>
          <w:color w:val="000000" w:themeColor="text1"/>
        </w:rPr>
        <w:t xml:space="preserve">Ibid </w:t>
      </w:r>
      <w:r w:rsidR="00B36D3B" w:rsidRPr="00B36D3B">
        <w:rPr>
          <w:color w:val="000000" w:themeColor="text1"/>
        </w:rPr>
        <w:t xml:space="preserve">at </w:t>
      </w:r>
      <w:r w:rsidRPr="00B36D3B">
        <w:rPr>
          <w:color w:val="000000" w:themeColor="text1"/>
        </w:rPr>
        <w:t>465</w:t>
      </w:r>
      <w:r w:rsidR="00B36D3B" w:rsidRPr="00B36D3B">
        <w:rPr>
          <w:color w:val="000000" w:themeColor="text1"/>
        </w:rPr>
        <w:t xml:space="preserve">. </w:t>
      </w:r>
    </w:p>
  </w:footnote>
  <w:footnote w:id="23">
    <w:p w14:paraId="6D8D1DDE" w14:textId="7ABE5442" w:rsidR="00E73686" w:rsidRPr="00B36D3B" w:rsidRDefault="00E73686" w:rsidP="009610E0">
      <w:pPr>
        <w:pStyle w:val="FootnoteText"/>
        <w:rPr>
          <w:color w:val="000000" w:themeColor="text1"/>
        </w:rPr>
      </w:pPr>
      <w:r w:rsidRPr="00B36D3B">
        <w:rPr>
          <w:rStyle w:val="FootnoteReference"/>
          <w:color w:val="000000" w:themeColor="text1"/>
        </w:rPr>
        <w:footnoteRef/>
      </w:r>
      <w:r w:rsidRPr="00B36D3B">
        <w:rPr>
          <w:color w:val="000000" w:themeColor="text1"/>
        </w:rPr>
        <w:t xml:space="preserve"> </w:t>
      </w:r>
      <w:r w:rsidR="00B36D3B" w:rsidRPr="00737C64">
        <w:rPr>
          <w:i/>
          <w:iCs/>
          <w:color w:val="000000" w:themeColor="text1"/>
        </w:rPr>
        <w:t>Ibid.</w:t>
      </w:r>
      <w:r w:rsidR="00B36D3B" w:rsidRPr="00B36D3B">
        <w:rPr>
          <w:color w:val="000000" w:themeColor="text1"/>
        </w:rPr>
        <w:t xml:space="preserve"> </w:t>
      </w:r>
    </w:p>
  </w:footnote>
  <w:footnote w:id="24">
    <w:p w14:paraId="60B3B114" w14:textId="6C879B03" w:rsidR="005420B2" w:rsidRDefault="005420B2" w:rsidP="009610E0">
      <w:pPr>
        <w:pStyle w:val="FootnoteText"/>
      </w:pPr>
      <w:r w:rsidRPr="00B36D3B">
        <w:rPr>
          <w:rStyle w:val="FootnoteReference"/>
          <w:color w:val="000000" w:themeColor="text1"/>
        </w:rPr>
        <w:footnoteRef/>
      </w:r>
      <w:r w:rsidRPr="00B36D3B">
        <w:rPr>
          <w:color w:val="000000" w:themeColor="text1"/>
        </w:rPr>
        <w:t xml:space="preserve"> </w:t>
      </w:r>
      <w:r w:rsidR="00B36D3B" w:rsidRPr="00B36D3B">
        <w:rPr>
          <w:i/>
          <w:iCs/>
          <w:color w:val="000000" w:themeColor="text1"/>
        </w:rPr>
        <w:t xml:space="preserve">Ibid </w:t>
      </w:r>
      <w:r w:rsidR="00B36D3B" w:rsidRPr="00B36D3B">
        <w:rPr>
          <w:color w:val="000000" w:themeColor="text1"/>
        </w:rPr>
        <w:t xml:space="preserve">at </w:t>
      </w:r>
      <w:r w:rsidRPr="00B36D3B">
        <w:rPr>
          <w:color w:val="000000" w:themeColor="text1"/>
        </w:rPr>
        <w:t>459</w:t>
      </w:r>
      <w:r w:rsidR="00B36D3B" w:rsidRPr="00B36D3B">
        <w:rPr>
          <w:color w:val="000000" w:themeColor="text1"/>
        </w:rPr>
        <w:t xml:space="preserve">. </w:t>
      </w:r>
    </w:p>
  </w:footnote>
  <w:footnote w:id="25">
    <w:p w14:paraId="5AD696C8" w14:textId="1C6F95C2" w:rsidR="009C52D1" w:rsidRDefault="009C52D1" w:rsidP="009C52D1">
      <w:pPr>
        <w:pStyle w:val="FootnoteText"/>
      </w:pPr>
      <w:r>
        <w:rPr>
          <w:rStyle w:val="FootnoteReference"/>
        </w:rPr>
        <w:footnoteRef/>
      </w:r>
      <w:r>
        <w:t xml:space="preserve"> </w:t>
      </w:r>
      <w:r w:rsidR="00BB6C6C" w:rsidRPr="00B36D3B">
        <w:rPr>
          <w:i/>
          <w:iCs/>
          <w:color w:val="000000" w:themeColor="text1"/>
          <w:shd w:val="clear" w:color="auto" w:fill="FFFFFF"/>
        </w:rPr>
        <w:t xml:space="preserve">Environmental Law and Policy supra </w:t>
      </w:r>
      <w:r w:rsidR="00BB6C6C" w:rsidRPr="00B36D3B">
        <w:rPr>
          <w:color w:val="000000" w:themeColor="text1"/>
          <w:shd w:val="clear" w:color="auto" w:fill="FFFFFF"/>
        </w:rPr>
        <w:t>note 11 at</w:t>
      </w:r>
      <w:r w:rsidR="00BB6C6C" w:rsidRPr="00B36D3B">
        <w:rPr>
          <w:color w:val="000000" w:themeColor="text1"/>
        </w:rPr>
        <w:t xml:space="preserve"> </w:t>
      </w:r>
      <w:r w:rsidR="00BB6C6C">
        <w:rPr>
          <w:color w:val="000000" w:themeColor="text1"/>
        </w:rPr>
        <w:t>385</w:t>
      </w:r>
      <w:r w:rsidR="00BB6C6C" w:rsidRPr="00B36D3B">
        <w:rPr>
          <w:color w:val="000000" w:themeColor="text1"/>
        </w:rPr>
        <w:t>.</w:t>
      </w:r>
    </w:p>
  </w:footnote>
  <w:footnote w:id="26">
    <w:p w14:paraId="75636459" w14:textId="2E60FC00" w:rsidR="009C52D1" w:rsidRDefault="009C52D1" w:rsidP="009C52D1">
      <w:pPr>
        <w:pStyle w:val="FootnoteText"/>
      </w:pPr>
      <w:r>
        <w:rPr>
          <w:rStyle w:val="FootnoteReference"/>
        </w:rPr>
        <w:footnoteRef/>
      </w:r>
      <w:r>
        <w:t xml:space="preserve"> </w:t>
      </w:r>
      <w:r w:rsidR="000D367E">
        <w:rPr>
          <w:i/>
          <w:iCs/>
        </w:rPr>
        <w:t>Ibid</w:t>
      </w:r>
      <w:r w:rsidR="00B474F8">
        <w:rPr>
          <w:i/>
          <w:iCs/>
        </w:rPr>
        <w:t xml:space="preserve"> </w:t>
      </w:r>
      <w:r w:rsidR="00B474F8">
        <w:t>at 386</w:t>
      </w:r>
      <w:r>
        <w:t xml:space="preserve">. </w:t>
      </w:r>
    </w:p>
  </w:footnote>
  <w:footnote w:id="27">
    <w:p w14:paraId="010DA78B" w14:textId="100830E1" w:rsidR="009C52D1" w:rsidRPr="00B474F8" w:rsidRDefault="009C52D1" w:rsidP="009C52D1">
      <w:pPr>
        <w:pStyle w:val="FootnoteText"/>
      </w:pPr>
      <w:r>
        <w:rPr>
          <w:rStyle w:val="FootnoteReference"/>
        </w:rPr>
        <w:footnoteRef/>
      </w:r>
      <w:r>
        <w:t xml:space="preserve"> </w:t>
      </w:r>
      <w:r w:rsidRPr="00B474F8">
        <w:rPr>
          <w:i/>
          <w:iCs/>
        </w:rPr>
        <w:t>Ibid</w:t>
      </w:r>
      <w:r w:rsidR="00B474F8">
        <w:rPr>
          <w:i/>
          <w:iCs/>
        </w:rPr>
        <w:t xml:space="preserve"> </w:t>
      </w:r>
      <w:r w:rsidR="00B474F8">
        <w:t xml:space="preserve">at 387. </w:t>
      </w:r>
    </w:p>
  </w:footnote>
  <w:footnote w:id="28">
    <w:p w14:paraId="2713C4DE" w14:textId="5CEF64BE" w:rsidR="00570E53" w:rsidRPr="00570E53" w:rsidRDefault="00570E53" w:rsidP="00570E53">
      <w:pPr>
        <w:spacing w:after="0" w:line="240" w:lineRule="auto"/>
        <w:rPr>
          <w:rFonts w:ascii="Times New Roman" w:eastAsia="Times New Roman" w:hAnsi="Times New Roman" w:cs="Times New Roman"/>
          <w:sz w:val="20"/>
          <w:szCs w:val="20"/>
          <w:lang w:val="en-CA"/>
        </w:rPr>
      </w:pPr>
      <w:r w:rsidRPr="00570E53">
        <w:rPr>
          <w:rStyle w:val="FootnoteReference"/>
          <w:rFonts w:ascii="Times New Roman" w:hAnsi="Times New Roman" w:cs="Times New Roman"/>
          <w:sz w:val="20"/>
          <w:szCs w:val="20"/>
        </w:rPr>
        <w:footnoteRef/>
      </w:r>
      <w:r w:rsidRPr="00570E53">
        <w:rPr>
          <w:rFonts w:ascii="Times New Roman" w:hAnsi="Times New Roman" w:cs="Times New Roman"/>
          <w:sz w:val="20"/>
          <w:szCs w:val="20"/>
        </w:rPr>
        <w:t xml:space="preserve"> </w:t>
      </w:r>
      <w:r w:rsidRPr="00570E53">
        <w:rPr>
          <w:rFonts w:ascii="Times New Roman" w:eastAsia="Times New Roman" w:hAnsi="Times New Roman" w:cs="Times New Roman"/>
          <w:color w:val="000000"/>
          <w:sz w:val="20"/>
          <w:szCs w:val="20"/>
          <w:lang w:val="en-CA"/>
        </w:rPr>
        <w:t>Castonguay Blasting Ltd.</w:t>
      </w:r>
      <w:r w:rsidRPr="00570E53">
        <w:rPr>
          <w:rFonts w:ascii="Times New Roman" w:eastAsia="Times New Roman" w:hAnsi="Times New Roman" w:cs="Times New Roman"/>
          <w:i/>
          <w:iCs/>
          <w:color w:val="000000"/>
          <w:sz w:val="20"/>
          <w:szCs w:val="20"/>
          <w:lang w:val="en-CA"/>
        </w:rPr>
        <w:t> v.</w:t>
      </w:r>
      <w:r w:rsidRPr="00570E53">
        <w:rPr>
          <w:rFonts w:ascii="Times New Roman" w:eastAsia="Times New Roman" w:hAnsi="Times New Roman" w:cs="Times New Roman"/>
          <w:color w:val="000000"/>
          <w:sz w:val="20"/>
          <w:szCs w:val="20"/>
          <w:lang w:val="en-CA"/>
        </w:rPr>
        <w:t> Ontario (Environment), 2013 SCC 52, [2013] 3 S.C.R. 323</w:t>
      </w:r>
    </w:p>
  </w:footnote>
  <w:footnote w:id="29">
    <w:p w14:paraId="07EC1B18" w14:textId="6CC5F3BB" w:rsidR="006A79FC" w:rsidRPr="00570E53" w:rsidRDefault="006A79FC" w:rsidP="00570E53">
      <w:pPr>
        <w:pStyle w:val="FootnoteText"/>
      </w:pPr>
      <w:r w:rsidRPr="00570E53">
        <w:rPr>
          <w:rStyle w:val="FootnoteReference"/>
        </w:rPr>
        <w:footnoteRef/>
      </w:r>
      <w:r w:rsidRPr="00570E53">
        <w:t xml:space="preserve"> </w:t>
      </w:r>
      <w:r w:rsidR="00010608" w:rsidRPr="00570E53">
        <w:rPr>
          <w:i/>
          <w:iCs/>
        </w:rPr>
        <w:t>Ibid</w:t>
      </w:r>
      <w:r w:rsidR="00010608" w:rsidRPr="00570E53">
        <w:t xml:space="preserve"> at 421. </w:t>
      </w:r>
    </w:p>
  </w:footnote>
  <w:footnote w:id="30">
    <w:p w14:paraId="4BE19F46" w14:textId="6A926823" w:rsidR="00BD16A7" w:rsidRPr="00570E53" w:rsidRDefault="00BD16A7" w:rsidP="00570E53">
      <w:pPr>
        <w:pStyle w:val="FootnoteText"/>
      </w:pPr>
      <w:r w:rsidRPr="00570E53">
        <w:rPr>
          <w:rStyle w:val="FootnoteReference"/>
        </w:rPr>
        <w:footnoteRef/>
      </w:r>
      <w:r w:rsidRPr="00570E53">
        <w:t xml:space="preserve"> </w:t>
      </w:r>
      <w:r w:rsidR="00010608" w:rsidRPr="00570E53">
        <w:rPr>
          <w:i/>
          <w:iCs/>
          <w:color w:val="000000" w:themeColor="text1"/>
          <w:shd w:val="clear" w:color="auto" w:fill="FFFFFF"/>
        </w:rPr>
        <w:t xml:space="preserve">Environmental Law and Policy supra </w:t>
      </w:r>
      <w:r w:rsidR="00010608" w:rsidRPr="00570E53">
        <w:rPr>
          <w:color w:val="000000" w:themeColor="text1"/>
          <w:shd w:val="clear" w:color="auto" w:fill="FFFFFF"/>
        </w:rPr>
        <w:t>note 11 at</w:t>
      </w:r>
      <w:r w:rsidR="00010608" w:rsidRPr="00570E53">
        <w:rPr>
          <w:color w:val="000000" w:themeColor="text1"/>
        </w:rPr>
        <w:t xml:space="preserve"> </w:t>
      </w:r>
      <w:r w:rsidR="00F4294C" w:rsidRPr="00570E53">
        <w:t>421</w:t>
      </w:r>
      <w:r w:rsidR="00010608" w:rsidRPr="00570E53">
        <w:t xml:space="preserve">. </w:t>
      </w:r>
    </w:p>
  </w:footnote>
  <w:footnote w:id="31">
    <w:p w14:paraId="0AB6881E" w14:textId="6FE6A434" w:rsidR="009C52D1" w:rsidRPr="00570E53" w:rsidRDefault="009C52D1" w:rsidP="00570E53">
      <w:pPr>
        <w:pStyle w:val="FootnoteText"/>
      </w:pPr>
      <w:r w:rsidRPr="00570E53">
        <w:rPr>
          <w:rStyle w:val="FootnoteReference"/>
        </w:rPr>
        <w:footnoteRef/>
      </w:r>
      <w:r w:rsidRPr="00570E53">
        <w:t xml:space="preserve"> H</w:t>
      </w:r>
      <w:r w:rsidR="008755CE" w:rsidRPr="00570E53">
        <w:t>ouse of Commons</w:t>
      </w:r>
      <w:r w:rsidRPr="00570E53">
        <w:t xml:space="preserve"> Standing Com</w:t>
      </w:r>
      <w:r w:rsidR="008755CE" w:rsidRPr="00570E53">
        <w:t>mittee</w:t>
      </w:r>
      <w:r w:rsidRPr="00570E53">
        <w:t xml:space="preserve"> on Environment and Sustainable Development Repor</w:t>
      </w:r>
      <w:r w:rsidR="00E56CB2" w:rsidRPr="00570E53">
        <w:t xml:space="preserve">t. </w:t>
      </w:r>
      <w:r w:rsidR="00E9099A" w:rsidRPr="00570E53">
        <w:t xml:space="preserve"> </w:t>
      </w:r>
    </w:p>
  </w:footnote>
  <w:footnote w:id="32">
    <w:p w14:paraId="6EAFEBAF" w14:textId="34C0A071" w:rsidR="009C52D1" w:rsidRPr="00570E53" w:rsidRDefault="009C52D1" w:rsidP="00570E53">
      <w:pPr>
        <w:pStyle w:val="FootnoteText"/>
        <w:rPr>
          <w:i/>
          <w:iCs/>
        </w:rPr>
      </w:pPr>
      <w:r w:rsidRPr="00570E53">
        <w:rPr>
          <w:rStyle w:val="FootnoteReference"/>
        </w:rPr>
        <w:footnoteRef/>
      </w:r>
      <w:r w:rsidRPr="00570E53">
        <w:t xml:space="preserve"> </w:t>
      </w:r>
      <w:r w:rsidR="008755CE" w:rsidRPr="00570E53">
        <w:rPr>
          <w:i/>
          <w:iCs/>
        </w:rPr>
        <w:t xml:space="preserve">Ibid. </w:t>
      </w:r>
    </w:p>
  </w:footnote>
  <w:footnote w:id="33">
    <w:p w14:paraId="0E02054D" w14:textId="772A4FFA" w:rsidR="00A00375" w:rsidRPr="00570E53" w:rsidRDefault="00A00375" w:rsidP="00570E53">
      <w:pPr>
        <w:pStyle w:val="FootnoteText"/>
      </w:pPr>
      <w:r w:rsidRPr="00570E53">
        <w:rPr>
          <w:rStyle w:val="FootnoteReference"/>
        </w:rPr>
        <w:footnoteRef/>
      </w:r>
      <w:r w:rsidRPr="00570E53">
        <w:t xml:space="preserve"> </w:t>
      </w:r>
      <w:r w:rsidR="00BF2858" w:rsidRPr="00570E53">
        <w:rPr>
          <w:i/>
          <w:iCs/>
          <w:color w:val="000000" w:themeColor="text1"/>
          <w:shd w:val="clear" w:color="auto" w:fill="FFFFFF"/>
        </w:rPr>
        <w:t xml:space="preserve">Environmental Law and Policy supra </w:t>
      </w:r>
      <w:r w:rsidR="00BF2858" w:rsidRPr="00570E53">
        <w:rPr>
          <w:color w:val="000000" w:themeColor="text1"/>
          <w:shd w:val="clear" w:color="auto" w:fill="FFFFFF"/>
        </w:rPr>
        <w:t>note 11 at</w:t>
      </w:r>
      <w:r w:rsidR="00BF2858" w:rsidRPr="00570E53">
        <w:rPr>
          <w:color w:val="000000" w:themeColor="text1"/>
        </w:rPr>
        <w:t xml:space="preserve"> </w:t>
      </w:r>
      <w:r w:rsidR="00885652" w:rsidRPr="00570E53">
        <w:t>38</w:t>
      </w:r>
      <w:r w:rsidR="005B2C10" w:rsidRPr="00570E53">
        <w:t>5-386</w:t>
      </w:r>
      <w:r w:rsidR="00BF2858" w:rsidRPr="00570E53">
        <w:t xml:space="preserve">. </w:t>
      </w:r>
    </w:p>
  </w:footnote>
  <w:footnote w:id="34">
    <w:p w14:paraId="6DF1858D" w14:textId="433CBA8B" w:rsidR="009C52D1" w:rsidRDefault="009C52D1" w:rsidP="00570E53">
      <w:pPr>
        <w:pStyle w:val="FootnoteText"/>
      </w:pPr>
      <w:r w:rsidRPr="00570E53">
        <w:rPr>
          <w:rStyle w:val="FootnoteReference"/>
        </w:rPr>
        <w:footnoteRef/>
      </w:r>
      <w:r w:rsidRPr="00570E53">
        <w:t xml:space="preserve"> </w:t>
      </w:r>
      <w:r w:rsidR="00BF2858" w:rsidRPr="00570E53">
        <w:rPr>
          <w:i/>
          <w:iCs/>
        </w:rPr>
        <w:t xml:space="preserve">Ibid </w:t>
      </w:r>
      <w:r w:rsidR="00BF2858" w:rsidRPr="00570E53">
        <w:t xml:space="preserve">at </w:t>
      </w:r>
      <w:r w:rsidR="0094078F" w:rsidRPr="00570E53">
        <w:t>386</w:t>
      </w:r>
      <w:r w:rsidR="00BF2858" w:rsidRPr="00570E53">
        <w:t>.</w:t>
      </w:r>
    </w:p>
  </w:footnote>
  <w:footnote w:id="35">
    <w:p w14:paraId="354CFB08" w14:textId="29F3E856" w:rsidR="00FF0A4D" w:rsidRPr="00BF2858" w:rsidRDefault="00FF0A4D">
      <w:pPr>
        <w:pStyle w:val="FootnoteText"/>
        <w:rPr>
          <w:i/>
          <w:iCs/>
        </w:rPr>
      </w:pPr>
      <w:r>
        <w:rPr>
          <w:rStyle w:val="FootnoteReference"/>
        </w:rPr>
        <w:footnoteRef/>
      </w:r>
      <w:r>
        <w:t xml:space="preserve"> </w:t>
      </w:r>
      <w:r w:rsidR="00570E53" w:rsidRPr="00570E53">
        <w:rPr>
          <w:i/>
          <w:iCs/>
          <w:color w:val="000000" w:themeColor="text1"/>
          <w:shd w:val="clear" w:color="auto" w:fill="FFFFFF"/>
        </w:rPr>
        <w:t xml:space="preserve">Environmental Law and Policy supra </w:t>
      </w:r>
      <w:r w:rsidR="00570E53" w:rsidRPr="00570E53">
        <w:rPr>
          <w:color w:val="000000" w:themeColor="text1"/>
          <w:shd w:val="clear" w:color="auto" w:fill="FFFFFF"/>
        </w:rPr>
        <w:t>note 11 at</w:t>
      </w:r>
      <w:r w:rsidR="00570E53">
        <w:rPr>
          <w:color w:val="000000" w:themeColor="text1"/>
          <w:shd w:val="clear" w:color="auto" w:fill="FFFFFF"/>
        </w:rPr>
        <w:t xml:space="preserve"> 386.</w:t>
      </w:r>
    </w:p>
  </w:footnote>
  <w:footnote w:id="36">
    <w:p w14:paraId="6BC52E1D" w14:textId="6E4ED407" w:rsidR="00DF3C44" w:rsidRPr="00BF2858" w:rsidRDefault="00DF3C44">
      <w:pPr>
        <w:pStyle w:val="FootnoteText"/>
        <w:rPr>
          <w:i/>
          <w:iCs/>
        </w:rPr>
      </w:pPr>
      <w:r>
        <w:rPr>
          <w:rStyle w:val="FootnoteReference"/>
        </w:rPr>
        <w:footnoteRef/>
      </w:r>
      <w:r>
        <w:t xml:space="preserve"> </w:t>
      </w:r>
      <w:r w:rsidR="00BF2858">
        <w:rPr>
          <w:i/>
          <w:iCs/>
        </w:rPr>
        <w:t xml:space="preserve">Ibid. </w:t>
      </w:r>
    </w:p>
  </w:footnote>
  <w:footnote w:id="37">
    <w:p w14:paraId="659D5F3E" w14:textId="7008FBC9" w:rsidR="009C52D1" w:rsidRPr="00976D30" w:rsidRDefault="009C52D1" w:rsidP="00E56CB2">
      <w:pPr>
        <w:pStyle w:val="FootnoteText"/>
      </w:pPr>
      <w:r w:rsidRPr="00976D30">
        <w:rPr>
          <w:rStyle w:val="FootnoteReference"/>
        </w:rPr>
        <w:footnoteRef/>
      </w:r>
      <w:r w:rsidRPr="00976D30">
        <w:t xml:space="preserve"> </w:t>
      </w:r>
      <w:r w:rsidR="00570E53">
        <w:rPr>
          <w:i/>
          <w:iCs/>
          <w:color w:val="000000" w:themeColor="text1"/>
          <w:shd w:val="clear" w:color="auto" w:fill="FFFFFF"/>
        </w:rPr>
        <w:t>Ibid</w:t>
      </w:r>
      <w:r w:rsidR="00BF2858" w:rsidRPr="00976D30">
        <w:rPr>
          <w:color w:val="000000" w:themeColor="text1"/>
          <w:shd w:val="clear" w:color="auto" w:fill="FFFFFF"/>
        </w:rPr>
        <w:t xml:space="preserve"> at</w:t>
      </w:r>
      <w:r w:rsidR="00BF2858" w:rsidRPr="00976D30">
        <w:rPr>
          <w:color w:val="000000" w:themeColor="text1"/>
        </w:rPr>
        <w:t xml:space="preserve"> </w:t>
      </w:r>
      <w:r w:rsidR="008417BD" w:rsidRPr="00976D30">
        <w:t>387</w:t>
      </w:r>
      <w:r w:rsidR="00BF2858" w:rsidRPr="00976D30">
        <w:t xml:space="preserve">. </w:t>
      </w:r>
    </w:p>
  </w:footnote>
  <w:footnote w:id="38">
    <w:p w14:paraId="615BB273" w14:textId="49A23EA1" w:rsidR="009C52D1" w:rsidRPr="00976D30" w:rsidRDefault="009C52D1" w:rsidP="00E56CB2">
      <w:pPr>
        <w:spacing w:after="0" w:line="240" w:lineRule="auto"/>
        <w:rPr>
          <w:rFonts w:ascii="Times New Roman" w:eastAsia="Times New Roman" w:hAnsi="Times New Roman" w:cs="Times New Roman"/>
          <w:sz w:val="20"/>
          <w:szCs w:val="20"/>
          <w:lang w:val="en-CA"/>
        </w:rPr>
      </w:pPr>
      <w:r w:rsidRPr="00976D30">
        <w:rPr>
          <w:rStyle w:val="FootnoteReference"/>
          <w:rFonts w:ascii="Times New Roman" w:hAnsi="Times New Roman" w:cs="Times New Roman"/>
          <w:sz w:val="20"/>
          <w:szCs w:val="20"/>
        </w:rPr>
        <w:footnoteRef/>
      </w:r>
      <w:r w:rsidRPr="00976D30">
        <w:rPr>
          <w:rFonts w:ascii="Times New Roman" w:hAnsi="Times New Roman" w:cs="Times New Roman"/>
          <w:sz w:val="20"/>
          <w:szCs w:val="20"/>
        </w:rPr>
        <w:t xml:space="preserve"> </w:t>
      </w:r>
      <w:r w:rsidR="00F86BB9" w:rsidRPr="00976D30">
        <w:rPr>
          <w:rFonts w:ascii="Times New Roman" w:eastAsia="Times New Roman" w:hAnsi="Times New Roman" w:cs="Times New Roman"/>
          <w:sz w:val="20"/>
          <w:szCs w:val="20"/>
          <w:lang w:val="en-CA"/>
        </w:rPr>
        <w:t>A/CONF.151/26 (Vol. I)</w:t>
      </w:r>
      <w:r w:rsidR="00F86BB9" w:rsidRPr="00976D30">
        <w:rPr>
          <w:rFonts w:ascii="Times New Roman" w:eastAsia="Times New Roman" w:hAnsi="Times New Roman" w:cs="Times New Roman"/>
          <w:sz w:val="20"/>
          <w:szCs w:val="20"/>
          <w:lang w:val="en-CA"/>
        </w:rPr>
        <w:t>, online: &lt;</w:t>
      </w:r>
      <w:r w:rsidR="00F86BB9" w:rsidRPr="00976D30">
        <w:rPr>
          <w:rFonts w:ascii="Times New Roman" w:eastAsia="Times New Roman" w:hAnsi="Times New Roman" w:cs="Times New Roman"/>
          <w:sz w:val="20"/>
          <w:szCs w:val="20"/>
          <w:lang w:val="en-CA"/>
        </w:rPr>
        <w:t>https://www.un.org/en/development/desa/population/migration/generalassembly/docs/globalcompact/A_CONF.151_26_Vol.I_Declaration.pdf</w:t>
      </w:r>
      <w:r w:rsidR="00F86BB9" w:rsidRPr="00976D30">
        <w:rPr>
          <w:rFonts w:ascii="Times New Roman" w:eastAsia="Times New Roman" w:hAnsi="Times New Roman" w:cs="Times New Roman"/>
          <w:sz w:val="20"/>
          <w:szCs w:val="20"/>
          <w:lang w:val="en-CA"/>
        </w:rPr>
        <w:t>&gt;</w:t>
      </w:r>
    </w:p>
  </w:footnote>
  <w:footnote w:id="39">
    <w:p w14:paraId="61F83216" w14:textId="0EA01E74" w:rsidR="0036548D" w:rsidRDefault="0036548D" w:rsidP="00E56CB2">
      <w:pPr>
        <w:pStyle w:val="FootnoteText"/>
      </w:pPr>
      <w:r w:rsidRPr="00976D30">
        <w:rPr>
          <w:rStyle w:val="FootnoteReference"/>
        </w:rPr>
        <w:footnoteRef/>
      </w:r>
      <w:r w:rsidRPr="00976D30">
        <w:t xml:space="preserve"> </w:t>
      </w:r>
      <w:r w:rsidRPr="00976D30">
        <w:rPr>
          <w:i/>
          <w:iCs/>
          <w:color w:val="000000"/>
        </w:rPr>
        <w:t>Morton v. Canada (</w:t>
      </w:r>
      <w:r w:rsidR="004C554B" w:rsidRPr="00976D30">
        <w:rPr>
          <w:i/>
          <w:iCs/>
          <w:color w:val="000000"/>
        </w:rPr>
        <w:t xml:space="preserve">Minister </w:t>
      </w:r>
      <w:proofErr w:type="spellStart"/>
      <w:r w:rsidR="004C554B" w:rsidRPr="00976D30">
        <w:rPr>
          <w:i/>
          <w:iCs/>
          <w:color w:val="000000"/>
        </w:rPr>
        <w:t xml:space="preserve">of </w:t>
      </w:r>
      <w:r w:rsidRPr="00976D30">
        <w:rPr>
          <w:i/>
          <w:iCs/>
          <w:color w:val="000000"/>
        </w:rPr>
        <w:t>Fisherie</w:t>
      </w:r>
      <w:proofErr w:type="spellEnd"/>
      <w:r w:rsidRPr="00976D30">
        <w:rPr>
          <w:i/>
          <w:iCs/>
          <w:color w:val="000000"/>
        </w:rPr>
        <w:t>s and Oceans)</w:t>
      </w:r>
      <w:r w:rsidR="004C554B" w:rsidRPr="00976D30">
        <w:rPr>
          <w:color w:val="000000"/>
        </w:rPr>
        <w:t xml:space="preserve"> et al., 2015 FC 57</w:t>
      </w:r>
      <w:r w:rsidR="00570E53">
        <w:rPr>
          <w:color w:val="000000"/>
        </w:rPr>
        <w:t>5 [</w:t>
      </w:r>
      <w:r w:rsidR="00570E53">
        <w:rPr>
          <w:i/>
          <w:iCs/>
          <w:color w:val="000000"/>
        </w:rPr>
        <w:t>Morton</w:t>
      </w:r>
      <w:r w:rsidR="00570E53">
        <w:rPr>
          <w:color w:val="000000"/>
        </w:rPr>
        <w:t xml:space="preserve">]. </w:t>
      </w:r>
      <w:r w:rsidR="00976D30">
        <w:rPr>
          <w:i/>
          <w:iCs/>
          <w:color w:val="000000"/>
          <w:sz w:val="24"/>
          <w:szCs w:val="24"/>
        </w:rPr>
        <w:t xml:space="preserve"> </w:t>
      </w:r>
    </w:p>
  </w:footnote>
  <w:footnote w:id="40">
    <w:p w14:paraId="6172D5B6" w14:textId="2C27ECC8" w:rsidR="009C52D1" w:rsidRPr="00C26523" w:rsidRDefault="009C52D1" w:rsidP="00E56CB2">
      <w:pPr>
        <w:pStyle w:val="FootnoteText"/>
      </w:pPr>
      <w:r>
        <w:rPr>
          <w:rStyle w:val="FootnoteReference"/>
        </w:rPr>
        <w:footnoteRef/>
      </w:r>
      <w:r>
        <w:t xml:space="preserve"> </w:t>
      </w:r>
      <w:r w:rsidR="00570E53">
        <w:rPr>
          <w:i/>
          <w:iCs/>
        </w:rPr>
        <w:t xml:space="preserve">Morton supra </w:t>
      </w:r>
      <w:r w:rsidR="00570E53">
        <w:t xml:space="preserve">note 38 </w:t>
      </w:r>
      <w:r w:rsidR="00C26523">
        <w:t xml:space="preserve">at para 41. </w:t>
      </w:r>
    </w:p>
  </w:footnote>
  <w:footnote w:id="41">
    <w:p w14:paraId="62F599D9" w14:textId="0AA1F4A1" w:rsidR="000104AA" w:rsidRDefault="000104AA">
      <w:pPr>
        <w:pStyle w:val="FootnoteText"/>
      </w:pPr>
      <w:r>
        <w:rPr>
          <w:rStyle w:val="FootnoteReference"/>
        </w:rPr>
        <w:footnoteRef/>
      </w:r>
      <w:r>
        <w:t xml:space="preserve"> </w:t>
      </w:r>
      <w:r w:rsidR="00F455DA" w:rsidRPr="00976D30">
        <w:rPr>
          <w:i/>
          <w:iCs/>
          <w:color w:val="000000" w:themeColor="text1"/>
          <w:shd w:val="clear" w:color="auto" w:fill="FFFFFF"/>
        </w:rPr>
        <w:t xml:space="preserve">Environmental Law and Policy supra </w:t>
      </w:r>
      <w:r w:rsidR="00F455DA" w:rsidRPr="00976D30">
        <w:rPr>
          <w:color w:val="000000" w:themeColor="text1"/>
          <w:shd w:val="clear" w:color="auto" w:fill="FFFFFF"/>
        </w:rPr>
        <w:t>note 11 at</w:t>
      </w:r>
      <w:r w:rsidR="00F455DA" w:rsidRPr="00976D30">
        <w:rPr>
          <w:color w:val="000000" w:themeColor="text1"/>
        </w:rPr>
        <w:t xml:space="preserve"> </w:t>
      </w:r>
      <w:r w:rsidR="00F455DA">
        <w:t>40</w:t>
      </w:r>
      <w:r w:rsidR="007652A5">
        <w:t xml:space="preserve">4. </w:t>
      </w:r>
    </w:p>
  </w:footnote>
  <w:footnote w:id="42">
    <w:p w14:paraId="153CB6DB" w14:textId="2780EAFD" w:rsidR="007652A5" w:rsidRPr="007652A5" w:rsidRDefault="007652A5">
      <w:pPr>
        <w:pStyle w:val="FootnoteText"/>
      </w:pPr>
      <w:r>
        <w:rPr>
          <w:rStyle w:val="FootnoteReference"/>
        </w:rPr>
        <w:footnoteRef/>
      </w:r>
      <w:r>
        <w:t xml:space="preserve"> </w:t>
      </w:r>
      <w:r>
        <w:rPr>
          <w:i/>
          <w:iCs/>
        </w:rPr>
        <w:t>Ibid</w:t>
      </w:r>
      <w:r>
        <w:t xml:space="preserve">. </w:t>
      </w:r>
    </w:p>
  </w:footnote>
  <w:footnote w:id="43">
    <w:p w14:paraId="70837A83" w14:textId="5DDBB996" w:rsidR="00C26523" w:rsidRPr="00A26D3A" w:rsidRDefault="00C26523">
      <w:pPr>
        <w:pStyle w:val="FootnoteText"/>
        <w:rPr>
          <w:i/>
          <w:iCs/>
        </w:rPr>
      </w:pPr>
      <w:r>
        <w:rPr>
          <w:rStyle w:val="FootnoteReference"/>
        </w:rPr>
        <w:footnoteRef/>
      </w:r>
      <w:r>
        <w:t xml:space="preserve"> </w:t>
      </w:r>
      <w:r w:rsidR="00A26D3A">
        <w:rPr>
          <w:i/>
          <w:iCs/>
        </w:rPr>
        <w:t xml:space="preserve">Ibid </w:t>
      </w:r>
      <w:r w:rsidR="00A26D3A">
        <w:t>at 405</w:t>
      </w:r>
      <w:r w:rsidR="00A26D3A">
        <w:rPr>
          <w:i/>
          <w:iCs/>
        </w:rPr>
        <w:t>.</w:t>
      </w:r>
    </w:p>
  </w:footnote>
  <w:footnote w:id="44">
    <w:p w14:paraId="5505D6B6" w14:textId="0DD0EC3E" w:rsidR="007652A5" w:rsidRPr="00A26D3A" w:rsidRDefault="007652A5">
      <w:pPr>
        <w:pStyle w:val="FootnoteText"/>
        <w:rPr>
          <w:i/>
          <w:iCs/>
        </w:rPr>
      </w:pPr>
      <w:r>
        <w:rPr>
          <w:rStyle w:val="FootnoteReference"/>
        </w:rPr>
        <w:footnoteRef/>
      </w:r>
      <w:r>
        <w:t xml:space="preserve"> </w:t>
      </w:r>
      <w:r w:rsidR="00A26D3A">
        <w:rPr>
          <w:i/>
          <w:iCs/>
        </w:rPr>
        <w:t>Ibid.</w:t>
      </w:r>
    </w:p>
  </w:footnote>
  <w:footnote w:id="45">
    <w:p w14:paraId="76EA82F0" w14:textId="25A0DE67" w:rsidR="00A26D3A" w:rsidRPr="00A26D3A" w:rsidRDefault="00A26D3A">
      <w:pPr>
        <w:pStyle w:val="FootnoteText"/>
        <w:rPr>
          <w:i/>
          <w:iCs/>
        </w:rPr>
      </w:pPr>
      <w:r>
        <w:rPr>
          <w:rStyle w:val="FootnoteReference"/>
        </w:rPr>
        <w:footnoteRef/>
      </w:r>
      <w:r>
        <w:t xml:space="preserve"> </w:t>
      </w:r>
      <w:r>
        <w:rPr>
          <w:i/>
          <w:iCs/>
        </w:rPr>
        <w:t xml:space="preserve">Ibid. </w:t>
      </w:r>
    </w:p>
  </w:footnote>
  <w:footnote w:id="46">
    <w:p w14:paraId="3AF6EBB1" w14:textId="448D9139" w:rsidR="39A6C97D" w:rsidRDefault="39A6C97D" w:rsidP="002B109E">
      <w:pPr>
        <w:pStyle w:val="FootnoteText"/>
      </w:pPr>
      <w:r w:rsidRPr="39A6C97D">
        <w:rPr>
          <w:rStyle w:val="FootnoteReference"/>
        </w:rPr>
        <w:footnoteRef/>
      </w:r>
      <w:r w:rsidRPr="39A6C97D">
        <w:t xml:space="preserve"> </w:t>
      </w:r>
      <w:r w:rsidR="00737C64" w:rsidRPr="00B36D3B">
        <w:rPr>
          <w:i/>
          <w:iCs/>
          <w:color w:val="000000" w:themeColor="text1"/>
        </w:rPr>
        <w:t>Pure Metal Galvanizing ESDM Report</w:t>
      </w:r>
      <w:r w:rsidR="00737C64" w:rsidRPr="00B36D3B">
        <w:t xml:space="preserve"> </w:t>
      </w:r>
      <w:r w:rsidR="00737C64" w:rsidRPr="00B36D3B">
        <w:rPr>
          <w:i/>
          <w:iCs/>
        </w:rPr>
        <w:t xml:space="preserve">supra </w:t>
      </w:r>
      <w:r w:rsidR="00737C64" w:rsidRPr="00B36D3B">
        <w:t>note 1</w:t>
      </w:r>
      <w:r w:rsidR="00737C64">
        <w:t xml:space="preserve"> at </w:t>
      </w:r>
      <w:r w:rsidRPr="39A6C97D">
        <w:t>1-1, 3-1, 7.</w:t>
      </w:r>
    </w:p>
  </w:footnote>
  <w:footnote w:id="47">
    <w:p w14:paraId="64E7DBE6" w14:textId="60CAB7ED" w:rsidR="009C52D1" w:rsidRDefault="009C52D1" w:rsidP="009C52D1">
      <w:pPr>
        <w:pStyle w:val="FootnoteText"/>
      </w:pPr>
      <w:r>
        <w:rPr>
          <w:rStyle w:val="FootnoteReference"/>
        </w:rPr>
        <w:footnoteRef/>
      </w:r>
      <w:r w:rsidR="39A6C97D" w:rsidRPr="39A6C97D">
        <w:rPr>
          <w:rStyle w:val="FootnoteReference"/>
        </w:rPr>
        <w:t xml:space="preserve"> </w:t>
      </w:r>
      <w:r w:rsidR="39A6C97D" w:rsidRPr="007927AF">
        <w:rPr>
          <w:rStyle w:val="FootnoteReference"/>
          <w:i/>
          <w:iCs/>
          <w:vertAlign w:val="baseline"/>
        </w:rPr>
        <w:t>Ibid</w:t>
      </w:r>
      <w:r w:rsidR="00483AC3">
        <w:rPr>
          <w:rStyle w:val="FootnoteReference"/>
          <w:vertAlign w:val="baseline"/>
        </w:rPr>
        <w:t xml:space="preserve"> </w:t>
      </w:r>
      <w:r w:rsidR="007927AF">
        <w:rPr>
          <w:rStyle w:val="FootnoteReference"/>
          <w:vertAlign w:val="baseline"/>
        </w:rPr>
        <w:t>at</w:t>
      </w:r>
      <w:r w:rsidR="39A6C97D" w:rsidRPr="007927AF">
        <w:rPr>
          <w:rStyle w:val="FootnoteReference"/>
          <w:vertAlign w:val="baseline"/>
        </w:rPr>
        <w:t xml:space="preserve"> 6-2.</w:t>
      </w:r>
      <w:r w:rsidR="39A6C97D">
        <w:t xml:space="preserve"> </w:t>
      </w:r>
    </w:p>
  </w:footnote>
  <w:footnote w:id="48">
    <w:p w14:paraId="2DEBF1DA" w14:textId="5146B0EC" w:rsidR="009C52D1" w:rsidRPr="007927AF" w:rsidRDefault="009C52D1" w:rsidP="009C52D1">
      <w:pPr>
        <w:pStyle w:val="FootnoteText"/>
      </w:pPr>
      <w:r>
        <w:rPr>
          <w:rStyle w:val="FootnoteReference"/>
        </w:rPr>
        <w:footnoteRef/>
      </w:r>
      <w:r w:rsidR="39A6C97D" w:rsidRPr="39A6C97D">
        <w:rPr>
          <w:rStyle w:val="FootnoteReference"/>
        </w:rPr>
        <w:t xml:space="preserve"> </w:t>
      </w:r>
      <w:r w:rsidR="00570E53">
        <w:rPr>
          <w:i/>
          <w:iCs/>
          <w:color w:val="000000" w:themeColor="text1"/>
        </w:rPr>
        <w:t>Ibid</w:t>
      </w:r>
      <w:r w:rsidR="007927AF">
        <w:t xml:space="preserve"> at</w:t>
      </w:r>
      <w:r w:rsidR="39A6C97D" w:rsidRPr="007927AF">
        <w:rPr>
          <w:rStyle w:val="FootnoteReference"/>
          <w:vertAlign w:val="baseline"/>
        </w:rPr>
        <w:t xml:space="preserve"> 6-1, 7-1. </w:t>
      </w:r>
    </w:p>
  </w:footnote>
  <w:footnote w:id="49">
    <w:p w14:paraId="4FAA163B" w14:textId="6E90CF36" w:rsidR="009C52D1" w:rsidRDefault="009C52D1" w:rsidP="009C52D1">
      <w:pPr>
        <w:pStyle w:val="FootnoteText"/>
      </w:pPr>
      <w:r>
        <w:rPr>
          <w:rStyle w:val="FootnoteReference"/>
        </w:rPr>
        <w:footnoteRef/>
      </w:r>
      <w:r w:rsidR="00C22590" w:rsidRPr="00976D30">
        <w:rPr>
          <w:i/>
          <w:iCs/>
          <w:color w:val="000000" w:themeColor="text1"/>
          <w:shd w:val="clear" w:color="auto" w:fill="FFFFFF"/>
        </w:rPr>
        <w:t xml:space="preserve">Environmental Law and Policy supra </w:t>
      </w:r>
      <w:r w:rsidR="00C22590" w:rsidRPr="00976D30">
        <w:rPr>
          <w:color w:val="000000" w:themeColor="text1"/>
          <w:shd w:val="clear" w:color="auto" w:fill="FFFFFF"/>
        </w:rPr>
        <w:t>note 11</w:t>
      </w:r>
      <w:r w:rsidR="00C22590">
        <w:t xml:space="preserve"> at</w:t>
      </w:r>
      <w:r w:rsidR="39A6C97D">
        <w:t xml:space="preserve"> 459</w:t>
      </w:r>
      <w:r w:rsidR="00E56CB2">
        <w:t>.</w:t>
      </w:r>
    </w:p>
  </w:footnote>
  <w:footnote w:id="50">
    <w:p w14:paraId="4B23ADB3" w14:textId="24E6BA7F" w:rsidR="009C52D1" w:rsidRDefault="009C52D1" w:rsidP="009C52D1">
      <w:pPr>
        <w:pStyle w:val="FootnoteText"/>
      </w:pPr>
      <w:r>
        <w:rPr>
          <w:rStyle w:val="FootnoteReference"/>
        </w:rPr>
        <w:footnoteRef/>
      </w:r>
      <w:r w:rsidR="39A6C97D" w:rsidRPr="39A6C97D">
        <w:rPr>
          <w:rStyle w:val="FootnoteReference"/>
        </w:rPr>
        <w:t xml:space="preserve"> </w:t>
      </w:r>
      <w:r w:rsidR="00562057" w:rsidRPr="00B36D3B">
        <w:rPr>
          <w:i/>
          <w:iCs/>
          <w:color w:val="000000" w:themeColor="text1"/>
        </w:rPr>
        <w:t>Pure Metal Galvanizing ESDM Report</w:t>
      </w:r>
      <w:r w:rsidR="00562057" w:rsidRPr="00B36D3B">
        <w:t xml:space="preserve"> </w:t>
      </w:r>
      <w:r w:rsidR="00562057" w:rsidRPr="00B36D3B">
        <w:rPr>
          <w:i/>
          <w:iCs/>
        </w:rPr>
        <w:t xml:space="preserve">supra </w:t>
      </w:r>
      <w:r w:rsidR="00562057" w:rsidRPr="00B36D3B">
        <w:t>note 1</w:t>
      </w:r>
      <w:r w:rsidR="39A6C97D" w:rsidRPr="00562057">
        <w:rPr>
          <w:rStyle w:val="FootnoteReference"/>
          <w:vertAlign w:val="baseline"/>
        </w:rPr>
        <w:t>,</w:t>
      </w:r>
      <w:r w:rsidR="39A6C97D">
        <w:t xml:space="preserve"> </w:t>
      </w:r>
      <w:r w:rsidR="00562057">
        <w:t>at</w:t>
      </w:r>
      <w:r w:rsidR="39A6C97D">
        <w:t xml:space="preserve"> 6-2.</w:t>
      </w:r>
    </w:p>
  </w:footnote>
  <w:footnote w:id="51">
    <w:p w14:paraId="32CB84D2" w14:textId="47732A08" w:rsidR="009C52D1" w:rsidRDefault="009C52D1" w:rsidP="009C52D1">
      <w:pPr>
        <w:pStyle w:val="FootnoteText"/>
      </w:pPr>
      <w:r>
        <w:rPr>
          <w:rStyle w:val="FootnoteReference"/>
        </w:rPr>
        <w:footnoteRef/>
      </w:r>
      <w:r>
        <w:t xml:space="preserve"> </w:t>
      </w:r>
      <w:r w:rsidR="006C00F6" w:rsidRPr="00976D30">
        <w:rPr>
          <w:i/>
          <w:iCs/>
          <w:color w:val="000000" w:themeColor="text1"/>
          <w:shd w:val="clear" w:color="auto" w:fill="FFFFFF"/>
        </w:rPr>
        <w:t xml:space="preserve">Environmental Law and Policy supra </w:t>
      </w:r>
      <w:r w:rsidR="006C00F6" w:rsidRPr="00976D30">
        <w:rPr>
          <w:color w:val="000000" w:themeColor="text1"/>
          <w:shd w:val="clear" w:color="auto" w:fill="FFFFFF"/>
        </w:rPr>
        <w:t>note 11</w:t>
      </w:r>
      <w:r w:rsidR="006C00F6">
        <w:t xml:space="preserve"> at 4</w:t>
      </w:r>
      <w:r w:rsidR="006C00F6">
        <w:t>26.</w:t>
      </w:r>
    </w:p>
  </w:footnote>
  <w:footnote w:id="52">
    <w:p w14:paraId="1ADFC543" w14:textId="11E83ABB" w:rsidR="00EA0303" w:rsidRPr="006565DB" w:rsidRDefault="00EA0303" w:rsidP="00E56CB2">
      <w:pPr>
        <w:spacing w:after="0" w:line="240" w:lineRule="auto"/>
        <w:rPr>
          <w:rFonts w:ascii="Times New Roman" w:eastAsia="Times New Roman" w:hAnsi="Times New Roman" w:cs="Times New Roman"/>
          <w:sz w:val="20"/>
          <w:szCs w:val="20"/>
          <w:lang w:val="en-CA"/>
        </w:rPr>
      </w:pPr>
      <w:r w:rsidRPr="006565DB">
        <w:rPr>
          <w:rStyle w:val="FootnoteReference"/>
          <w:rFonts w:ascii="Times New Roman" w:hAnsi="Times New Roman" w:cs="Times New Roman"/>
        </w:rPr>
        <w:footnoteRef/>
      </w:r>
      <w:r w:rsidRPr="006565DB">
        <w:rPr>
          <w:rFonts w:ascii="Times New Roman" w:hAnsi="Times New Roman" w:cs="Times New Roman"/>
        </w:rPr>
        <w:t xml:space="preserve"> </w:t>
      </w:r>
      <w:r w:rsidR="00F01529" w:rsidRPr="006565DB">
        <w:rPr>
          <w:rFonts w:ascii="Times New Roman" w:eastAsia="Times New Roman" w:hAnsi="Times New Roman" w:cs="Times New Roman"/>
          <w:sz w:val="20"/>
          <w:szCs w:val="20"/>
          <w:lang w:val="en-CA"/>
        </w:rPr>
        <w:t>G</w:t>
      </w:r>
      <w:r w:rsidR="006565DB" w:rsidRPr="006565DB">
        <w:rPr>
          <w:rFonts w:ascii="Times New Roman" w:eastAsia="Times New Roman" w:hAnsi="Times New Roman" w:cs="Times New Roman"/>
          <w:sz w:val="20"/>
          <w:szCs w:val="20"/>
          <w:lang w:val="en-CA"/>
        </w:rPr>
        <w:t>uideline for the Implementation of Air Standards in</w:t>
      </w:r>
      <w:r w:rsidR="006565DB" w:rsidRPr="006565DB">
        <w:rPr>
          <w:rFonts w:ascii="Times New Roman" w:eastAsia="Times New Roman" w:hAnsi="Times New Roman" w:cs="Times New Roman"/>
          <w:color w:val="000000" w:themeColor="text1"/>
          <w:sz w:val="20"/>
          <w:szCs w:val="20"/>
          <w:lang w:val="en-CA"/>
        </w:rPr>
        <w:t xml:space="preserve"> Ontario (GIASO) [Guideline A-12]</w:t>
      </w:r>
      <w:r w:rsidR="00F01529" w:rsidRPr="006565DB">
        <w:rPr>
          <w:rFonts w:ascii="Times New Roman" w:eastAsia="Times New Roman" w:hAnsi="Times New Roman" w:cs="Times New Roman"/>
          <w:color w:val="000000" w:themeColor="text1"/>
          <w:sz w:val="20"/>
          <w:szCs w:val="20"/>
          <w:lang w:val="en-CA"/>
        </w:rPr>
        <w:t xml:space="preserve"> Version 3.0</w:t>
      </w:r>
      <w:r w:rsidR="006565DB" w:rsidRPr="006565DB">
        <w:rPr>
          <w:rFonts w:ascii="Times New Roman" w:eastAsia="Times New Roman" w:hAnsi="Times New Roman" w:cs="Times New Roman"/>
          <w:color w:val="000000" w:themeColor="text1"/>
          <w:sz w:val="20"/>
          <w:szCs w:val="20"/>
          <w:lang w:val="en-CA"/>
        </w:rPr>
        <w:t xml:space="preserve">, </w:t>
      </w:r>
      <w:r w:rsidR="00570E53" w:rsidRPr="006565DB">
        <w:rPr>
          <w:rFonts w:ascii="Times New Roman" w:hAnsi="Times New Roman" w:cs="Times New Roman"/>
          <w:color w:val="000000" w:themeColor="text1"/>
          <w:sz w:val="20"/>
          <w:szCs w:val="20"/>
        </w:rPr>
        <w:t>online</w:t>
      </w:r>
      <w:r w:rsidR="00426E30" w:rsidRPr="006565DB">
        <w:rPr>
          <w:rFonts w:ascii="Times New Roman" w:hAnsi="Times New Roman" w:cs="Times New Roman"/>
          <w:color w:val="000000" w:themeColor="text1"/>
          <w:sz w:val="20"/>
          <w:szCs w:val="20"/>
        </w:rPr>
        <w:t>: &lt;</w:t>
      </w:r>
      <w:hyperlink r:id="rId5" w:history="1">
        <w:r w:rsidR="00426E30" w:rsidRPr="006565DB">
          <w:rPr>
            <w:rStyle w:val="Hyperlink"/>
            <w:rFonts w:ascii="Times New Roman" w:hAnsi="Times New Roman" w:cs="Times New Roman"/>
            <w:color w:val="000000" w:themeColor="text1"/>
            <w:sz w:val="20"/>
            <w:szCs w:val="20"/>
            <w:u w:val="none"/>
          </w:rPr>
          <w:t>https://files.ontario.ca/moecc_46_giaso_aoda_en_0.pdf</w:t>
        </w:r>
      </w:hyperlink>
      <w:r w:rsidR="00426E30" w:rsidRPr="006565DB">
        <w:rPr>
          <w:rFonts w:ascii="Times New Roman" w:hAnsi="Times New Roman" w:cs="Times New Roman"/>
          <w:color w:val="000000" w:themeColor="text1"/>
          <w:sz w:val="20"/>
          <w:szCs w:val="20"/>
        </w:rPr>
        <w:t>&gt;</w:t>
      </w:r>
    </w:p>
  </w:footnote>
  <w:footnote w:id="53">
    <w:p w14:paraId="23DE2729" w14:textId="71CE7098" w:rsidR="00D32B49" w:rsidRDefault="00D32B49" w:rsidP="00E56CB2">
      <w:pPr>
        <w:pStyle w:val="FootnoteText"/>
      </w:pPr>
      <w:r w:rsidRPr="006565DB">
        <w:rPr>
          <w:rStyle w:val="FootnoteReference"/>
        </w:rPr>
        <w:footnoteRef/>
      </w:r>
      <w:r w:rsidRPr="006565DB">
        <w:t xml:space="preserve"> </w:t>
      </w:r>
      <w:r w:rsidR="00562057" w:rsidRPr="006565DB">
        <w:rPr>
          <w:i/>
          <w:iCs/>
          <w:color w:val="000000" w:themeColor="text1"/>
        </w:rPr>
        <w:t>Pure Metal</w:t>
      </w:r>
      <w:r w:rsidR="00562057" w:rsidRPr="00B36D3B">
        <w:rPr>
          <w:i/>
          <w:iCs/>
          <w:color w:val="000000" w:themeColor="text1"/>
        </w:rPr>
        <w:t xml:space="preserve"> Galvanizing ESDM Report</w:t>
      </w:r>
      <w:r w:rsidR="00562057" w:rsidRPr="00B36D3B">
        <w:t xml:space="preserve"> </w:t>
      </w:r>
      <w:r w:rsidR="00562057" w:rsidRPr="00B36D3B">
        <w:rPr>
          <w:i/>
          <w:iCs/>
        </w:rPr>
        <w:t xml:space="preserve">supra </w:t>
      </w:r>
      <w:r w:rsidR="00562057" w:rsidRPr="00B36D3B">
        <w:t>note 1</w:t>
      </w:r>
      <w:r w:rsidR="00F91C36">
        <w:t xml:space="preserve"> at </w:t>
      </w:r>
      <w:r w:rsidR="00FF3F0E">
        <w:t>B-6, B-7</w:t>
      </w:r>
      <w:r w:rsidR="00F91C3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01EAC9" w14:paraId="08F4EE00" w14:textId="77777777" w:rsidTr="002B109E">
      <w:tc>
        <w:tcPr>
          <w:tcW w:w="3120" w:type="dxa"/>
        </w:tcPr>
        <w:p w14:paraId="4D97E6C1" w14:textId="139A92AE" w:rsidR="4801EAC9" w:rsidRDefault="4801EAC9" w:rsidP="002B109E">
          <w:pPr>
            <w:pStyle w:val="Header"/>
            <w:ind w:left="-115"/>
          </w:pPr>
        </w:p>
      </w:tc>
      <w:tc>
        <w:tcPr>
          <w:tcW w:w="3120" w:type="dxa"/>
        </w:tcPr>
        <w:p w14:paraId="6888C42E" w14:textId="0BBB561F" w:rsidR="4801EAC9" w:rsidRDefault="4801EAC9" w:rsidP="002B109E">
          <w:pPr>
            <w:pStyle w:val="Header"/>
            <w:jc w:val="center"/>
          </w:pPr>
        </w:p>
      </w:tc>
      <w:tc>
        <w:tcPr>
          <w:tcW w:w="3120" w:type="dxa"/>
        </w:tcPr>
        <w:p w14:paraId="3AEF7129" w14:textId="6BDE8DE8" w:rsidR="4801EAC9" w:rsidRDefault="4801EAC9" w:rsidP="002B109E">
          <w:pPr>
            <w:pStyle w:val="Header"/>
            <w:ind w:right="-115"/>
            <w:jc w:val="right"/>
          </w:pPr>
        </w:p>
      </w:tc>
    </w:tr>
  </w:tbl>
  <w:p w14:paraId="46ECF0EA" w14:textId="7A631BCA" w:rsidR="004E676D" w:rsidRDefault="004E676D" w:rsidP="000E2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08C"/>
    <w:multiLevelType w:val="hybridMultilevel"/>
    <w:tmpl w:val="35B0FD82"/>
    <w:lvl w:ilvl="0" w:tplc="F496AD50">
      <w:start w:val="1"/>
      <w:numFmt w:val="bullet"/>
      <w:lvlText w:val=""/>
      <w:lvlJc w:val="left"/>
      <w:pPr>
        <w:ind w:left="720" w:hanging="360"/>
      </w:pPr>
      <w:rPr>
        <w:rFonts w:ascii="Symbol" w:hAnsi="Symbol" w:hint="default"/>
      </w:rPr>
    </w:lvl>
    <w:lvl w:ilvl="1" w:tplc="415CEA48">
      <w:start w:val="1"/>
      <w:numFmt w:val="bullet"/>
      <w:lvlText w:val="o"/>
      <w:lvlJc w:val="left"/>
      <w:pPr>
        <w:ind w:left="1440" w:hanging="360"/>
      </w:pPr>
      <w:rPr>
        <w:rFonts w:ascii="Courier New" w:hAnsi="Courier New" w:hint="default"/>
      </w:rPr>
    </w:lvl>
    <w:lvl w:ilvl="2" w:tplc="53B00F7A">
      <w:start w:val="1"/>
      <w:numFmt w:val="bullet"/>
      <w:lvlText w:val=""/>
      <w:lvlJc w:val="left"/>
      <w:pPr>
        <w:ind w:left="2160" w:hanging="360"/>
      </w:pPr>
      <w:rPr>
        <w:rFonts w:ascii="Wingdings" w:hAnsi="Wingdings" w:hint="default"/>
      </w:rPr>
    </w:lvl>
    <w:lvl w:ilvl="3" w:tplc="3B06D856">
      <w:start w:val="1"/>
      <w:numFmt w:val="bullet"/>
      <w:lvlText w:val=""/>
      <w:lvlJc w:val="left"/>
      <w:pPr>
        <w:ind w:left="2880" w:hanging="360"/>
      </w:pPr>
      <w:rPr>
        <w:rFonts w:ascii="Symbol" w:hAnsi="Symbol" w:hint="default"/>
      </w:rPr>
    </w:lvl>
    <w:lvl w:ilvl="4" w:tplc="101EC000">
      <w:start w:val="1"/>
      <w:numFmt w:val="bullet"/>
      <w:lvlText w:val="o"/>
      <w:lvlJc w:val="left"/>
      <w:pPr>
        <w:ind w:left="3600" w:hanging="360"/>
      </w:pPr>
      <w:rPr>
        <w:rFonts w:ascii="Courier New" w:hAnsi="Courier New" w:hint="default"/>
      </w:rPr>
    </w:lvl>
    <w:lvl w:ilvl="5" w:tplc="77601FC8">
      <w:start w:val="1"/>
      <w:numFmt w:val="bullet"/>
      <w:lvlText w:val=""/>
      <w:lvlJc w:val="left"/>
      <w:pPr>
        <w:ind w:left="4320" w:hanging="360"/>
      </w:pPr>
      <w:rPr>
        <w:rFonts w:ascii="Wingdings" w:hAnsi="Wingdings" w:hint="default"/>
      </w:rPr>
    </w:lvl>
    <w:lvl w:ilvl="6" w:tplc="9732EA68">
      <w:start w:val="1"/>
      <w:numFmt w:val="bullet"/>
      <w:lvlText w:val=""/>
      <w:lvlJc w:val="left"/>
      <w:pPr>
        <w:ind w:left="5040" w:hanging="360"/>
      </w:pPr>
      <w:rPr>
        <w:rFonts w:ascii="Symbol" w:hAnsi="Symbol" w:hint="default"/>
      </w:rPr>
    </w:lvl>
    <w:lvl w:ilvl="7" w:tplc="18249E6E">
      <w:start w:val="1"/>
      <w:numFmt w:val="bullet"/>
      <w:lvlText w:val="o"/>
      <w:lvlJc w:val="left"/>
      <w:pPr>
        <w:ind w:left="5760" w:hanging="360"/>
      </w:pPr>
      <w:rPr>
        <w:rFonts w:ascii="Courier New" w:hAnsi="Courier New" w:hint="default"/>
      </w:rPr>
    </w:lvl>
    <w:lvl w:ilvl="8" w:tplc="8812B4D8">
      <w:start w:val="1"/>
      <w:numFmt w:val="bullet"/>
      <w:lvlText w:val=""/>
      <w:lvlJc w:val="left"/>
      <w:pPr>
        <w:ind w:left="6480" w:hanging="360"/>
      </w:pPr>
      <w:rPr>
        <w:rFonts w:ascii="Wingdings" w:hAnsi="Wingdings" w:hint="default"/>
      </w:rPr>
    </w:lvl>
  </w:abstractNum>
  <w:abstractNum w:abstractNumId="1" w15:restartNumberingAfterBreak="0">
    <w:nsid w:val="13607E35"/>
    <w:multiLevelType w:val="hybridMultilevel"/>
    <w:tmpl w:val="255A7644"/>
    <w:lvl w:ilvl="0" w:tplc="7AFEFB20">
      <w:start w:val="1"/>
      <w:numFmt w:val="bullet"/>
      <w:lvlText w:val=""/>
      <w:lvlJc w:val="left"/>
      <w:pPr>
        <w:ind w:left="720" w:hanging="360"/>
      </w:pPr>
      <w:rPr>
        <w:rFonts w:ascii="Symbol" w:hAnsi="Symbol" w:hint="default"/>
      </w:rPr>
    </w:lvl>
    <w:lvl w:ilvl="1" w:tplc="7E6EA108">
      <w:start w:val="1"/>
      <w:numFmt w:val="bullet"/>
      <w:lvlText w:val="o"/>
      <w:lvlJc w:val="left"/>
      <w:pPr>
        <w:ind w:left="1440" w:hanging="360"/>
      </w:pPr>
      <w:rPr>
        <w:rFonts w:ascii="Courier New" w:hAnsi="Courier New" w:hint="default"/>
      </w:rPr>
    </w:lvl>
    <w:lvl w:ilvl="2" w:tplc="24AA1702">
      <w:start w:val="1"/>
      <w:numFmt w:val="bullet"/>
      <w:lvlText w:val=""/>
      <w:lvlJc w:val="left"/>
      <w:pPr>
        <w:ind w:left="2160" w:hanging="360"/>
      </w:pPr>
      <w:rPr>
        <w:rFonts w:ascii="Wingdings" w:hAnsi="Wingdings" w:hint="default"/>
      </w:rPr>
    </w:lvl>
    <w:lvl w:ilvl="3" w:tplc="21B6CB1E">
      <w:start w:val="1"/>
      <w:numFmt w:val="bullet"/>
      <w:lvlText w:val=""/>
      <w:lvlJc w:val="left"/>
      <w:pPr>
        <w:ind w:left="2880" w:hanging="360"/>
      </w:pPr>
      <w:rPr>
        <w:rFonts w:ascii="Symbol" w:hAnsi="Symbol" w:hint="default"/>
      </w:rPr>
    </w:lvl>
    <w:lvl w:ilvl="4" w:tplc="BE94A940">
      <w:start w:val="1"/>
      <w:numFmt w:val="bullet"/>
      <w:lvlText w:val="o"/>
      <w:lvlJc w:val="left"/>
      <w:pPr>
        <w:ind w:left="3600" w:hanging="360"/>
      </w:pPr>
      <w:rPr>
        <w:rFonts w:ascii="Courier New" w:hAnsi="Courier New" w:hint="default"/>
      </w:rPr>
    </w:lvl>
    <w:lvl w:ilvl="5" w:tplc="7C0C6AE6">
      <w:start w:val="1"/>
      <w:numFmt w:val="bullet"/>
      <w:lvlText w:val=""/>
      <w:lvlJc w:val="left"/>
      <w:pPr>
        <w:ind w:left="4320" w:hanging="360"/>
      </w:pPr>
      <w:rPr>
        <w:rFonts w:ascii="Wingdings" w:hAnsi="Wingdings" w:hint="default"/>
      </w:rPr>
    </w:lvl>
    <w:lvl w:ilvl="6" w:tplc="83A0008E">
      <w:start w:val="1"/>
      <w:numFmt w:val="bullet"/>
      <w:lvlText w:val=""/>
      <w:lvlJc w:val="left"/>
      <w:pPr>
        <w:ind w:left="5040" w:hanging="360"/>
      </w:pPr>
      <w:rPr>
        <w:rFonts w:ascii="Symbol" w:hAnsi="Symbol" w:hint="default"/>
      </w:rPr>
    </w:lvl>
    <w:lvl w:ilvl="7" w:tplc="C69AA110">
      <w:start w:val="1"/>
      <w:numFmt w:val="bullet"/>
      <w:lvlText w:val="o"/>
      <w:lvlJc w:val="left"/>
      <w:pPr>
        <w:ind w:left="5760" w:hanging="360"/>
      </w:pPr>
      <w:rPr>
        <w:rFonts w:ascii="Courier New" w:hAnsi="Courier New" w:hint="default"/>
      </w:rPr>
    </w:lvl>
    <w:lvl w:ilvl="8" w:tplc="5ED0C28C">
      <w:start w:val="1"/>
      <w:numFmt w:val="bullet"/>
      <w:lvlText w:val=""/>
      <w:lvlJc w:val="left"/>
      <w:pPr>
        <w:ind w:left="6480" w:hanging="360"/>
      </w:pPr>
      <w:rPr>
        <w:rFonts w:ascii="Wingdings" w:hAnsi="Wingdings" w:hint="default"/>
      </w:rPr>
    </w:lvl>
  </w:abstractNum>
  <w:abstractNum w:abstractNumId="2" w15:restartNumberingAfterBreak="0">
    <w:nsid w:val="318E636D"/>
    <w:multiLevelType w:val="hybridMultilevel"/>
    <w:tmpl w:val="2FEE28BC"/>
    <w:lvl w:ilvl="0" w:tplc="20885F78">
      <w:start w:val="1"/>
      <w:numFmt w:val="decimal"/>
      <w:lvlText w:val="%1."/>
      <w:lvlJc w:val="left"/>
      <w:pPr>
        <w:ind w:left="720" w:hanging="360"/>
      </w:pPr>
    </w:lvl>
    <w:lvl w:ilvl="1" w:tplc="0E40ED7C">
      <w:start w:val="1"/>
      <w:numFmt w:val="lowerLetter"/>
      <w:lvlText w:val="%2."/>
      <w:lvlJc w:val="left"/>
      <w:pPr>
        <w:ind w:left="1440" w:hanging="360"/>
      </w:pPr>
    </w:lvl>
    <w:lvl w:ilvl="2" w:tplc="77DCD644">
      <w:start w:val="1"/>
      <w:numFmt w:val="lowerRoman"/>
      <w:lvlText w:val="%3."/>
      <w:lvlJc w:val="right"/>
      <w:pPr>
        <w:ind w:left="2160" w:hanging="180"/>
      </w:pPr>
    </w:lvl>
    <w:lvl w:ilvl="3" w:tplc="7C06531C">
      <w:start w:val="1"/>
      <w:numFmt w:val="decimal"/>
      <w:lvlText w:val="%4."/>
      <w:lvlJc w:val="left"/>
      <w:pPr>
        <w:ind w:left="2880" w:hanging="360"/>
      </w:pPr>
    </w:lvl>
    <w:lvl w:ilvl="4" w:tplc="C9D21DFC">
      <w:start w:val="1"/>
      <w:numFmt w:val="lowerLetter"/>
      <w:lvlText w:val="%5."/>
      <w:lvlJc w:val="left"/>
      <w:pPr>
        <w:ind w:left="3600" w:hanging="360"/>
      </w:pPr>
    </w:lvl>
    <w:lvl w:ilvl="5" w:tplc="945E821A">
      <w:start w:val="1"/>
      <w:numFmt w:val="lowerRoman"/>
      <w:lvlText w:val="%6."/>
      <w:lvlJc w:val="right"/>
      <w:pPr>
        <w:ind w:left="4320" w:hanging="180"/>
      </w:pPr>
    </w:lvl>
    <w:lvl w:ilvl="6" w:tplc="983CA048">
      <w:start w:val="1"/>
      <w:numFmt w:val="decimal"/>
      <w:lvlText w:val="%7."/>
      <w:lvlJc w:val="left"/>
      <w:pPr>
        <w:ind w:left="5040" w:hanging="360"/>
      </w:pPr>
    </w:lvl>
    <w:lvl w:ilvl="7" w:tplc="9084C41C">
      <w:start w:val="1"/>
      <w:numFmt w:val="lowerLetter"/>
      <w:lvlText w:val="%8."/>
      <w:lvlJc w:val="left"/>
      <w:pPr>
        <w:ind w:left="5760" w:hanging="360"/>
      </w:pPr>
    </w:lvl>
    <w:lvl w:ilvl="8" w:tplc="E9668CB0">
      <w:start w:val="1"/>
      <w:numFmt w:val="lowerRoman"/>
      <w:lvlText w:val="%9."/>
      <w:lvlJc w:val="right"/>
      <w:pPr>
        <w:ind w:left="6480" w:hanging="180"/>
      </w:pPr>
    </w:lvl>
  </w:abstractNum>
  <w:abstractNum w:abstractNumId="3" w15:restartNumberingAfterBreak="0">
    <w:nsid w:val="39471FEB"/>
    <w:multiLevelType w:val="hybridMultilevel"/>
    <w:tmpl w:val="FFFFFFFF"/>
    <w:lvl w:ilvl="0" w:tplc="760C080A">
      <w:start w:val="1"/>
      <w:numFmt w:val="decimal"/>
      <w:lvlText w:val="%1."/>
      <w:lvlJc w:val="left"/>
      <w:pPr>
        <w:ind w:left="720" w:hanging="360"/>
      </w:pPr>
    </w:lvl>
    <w:lvl w:ilvl="1" w:tplc="E40A1AA6">
      <w:start w:val="1"/>
      <w:numFmt w:val="lowerLetter"/>
      <w:lvlText w:val="%2."/>
      <w:lvlJc w:val="left"/>
      <w:pPr>
        <w:ind w:left="1440" w:hanging="360"/>
      </w:pPr>
    </w:lvl>
    <w:lvl w:ilvl="2" w:tplc="AE765608">
      <w:start w:val="1"/>
      <w:numFmt w:val="lowerRoman"/>
      <w:lvlText w:val="%3."/>
      <w:lvlJc w:val="right"/>
      <w:pPr>
        <w:ind w:left="2160" w:hanging="180"/>
      </w:pPr>
    </w:lvl>
    <w:lvl w:ilvl="3" w:tplc="F0BA9698">
      <w:start w:val="1"/>
      <w:numFmt w:val="decimal"/>
      <w:lvlText w:val="%4."/>
      <w:lvlJc w:val="left"/>
      <w:pPr>
        <w:ind w:left="2880" w:hanging="360"/>
      </w:pPr>
    </w:lvl>
    <w:lvl w:ilvl="4" w:tplc="CBEA6B04">
      <w:start w:val="1"/>
      <w:numFmt w:val="lowerLetter"/>
      <w:lvlText w:val="%5."/>
      <w:lvlJc w:val="left"/>
      <w:pPr>
        <w:ind w:left="3600" w:hanging="360"/>
      </w:pPr>
    </w:lvl>
    <w:lvl w:ilvl="5" w:tplc="D30273A6">
      <w:start w:val="1"/>
      <w:numFmt w:val="lowerRoman"/>
      <w:lvlText w:val="%6."/>
      <w:lvlJc w:val="right"/>
      <w:pPr>
        <w:ind w:left="4320" w:hanging="180"/>
      </w:pPr>
    </w:lvl>
    <w:lvl w:ilvl="6" w:tplc="13BA1676">
      <w:start w:val="1"/>
      <w:numFmt w:val="decimal"/>
      <w:lvlText w:val="%7."/>
      <w:lvlJc w:val="left"/>
      <w:pPr>
        <w:ind w:left="5040" w:hanging="360"/>
      </w:pPr>
    </w:lvl>
    <w:lvl w:ilvl="7" w:tplc="F154C556">
      <w:start w:val="1"/>
      <w:numFmt w:val="lowerLetter"/>
      <w:lvlText w:val="%8."/>
      <w:lvlJc w:val="left"/>
      <w:pPr>
        <w:ind w:left="5760" w:hanging="360"/>
      </w:pPr>
    </w:lvl>
    <w:lvl w:ilvl="8" w:tplc="220A2496">
      <w:start w:val="1"/>
      <w:numFmt w:val="lowerRoman"/>
      <w:lvlText w:val="%9."/>
      <w:lvlJc w:val="right"/>
      <w:pPr>
        <w:ind w:left="6480" w:hanging="180"/>
      </w:pPr>
    </w:lvl>
  </w:abstractNum>
  <w:abstractNum w:abstractNumId="4" w15:restartNumberingAfterBreak="0">
    <w:nsid w:val="4D226567"/>
    <w:multiLevelType w:val="hybridMultilevel"/>
    <w:tmpl w:val="38EAF772"/>
    <w:lvl w:ilvl="0" w:tplc="76CC0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55855"/>
    <w:multiLevelType w:val="hybridMultilevel"/>
    <w:tmpl w:val="DEBA309C"/>
    <w:lvl w:ilvl="0" w:tplc="288A81C8">
      <w:start w:val="1"/>
      <w:numFmt w:val="decimal"/>
      <w:lvlText w:val="%1."/>
      <w:lvlJc w:val="left"/>
      <w:pPr>
        <w:ind w:left="720" w:hanging="360"/>
      </w:pPr>
      <w:rPr>
        <w:rFonts w:ascii="Times New Roman" w:hAnsi="Times New Roman" w:cs="Times New Roman" w:hint="default"/>
      </w:rPr>
    </w:lvl>
    <w:lvl w:ilvl="1" w:tplc="BBC4D338">
      <w:start w:val="1"/>
      <w:numFmt w:val="lowerLetter"/>
      <w:lvlText w:val="%2."/>
      <w:lvlJc w:val="left"/>
      <w:pPr>
        <w:ind w:left="1440" w:hanging="360"/>
      </w:pPr>
    </w:lvl>
    <w:lvl w:ilvl="2" w:tplc="9A94C568">
      <w:start w:val="1"/>
      <w:numFmt w:val="lowerRoman"/>
      <w:lvlText w:val="%3."/>
      <w:lvlJc w:val="right"/>
      <w:pPr>
        <w:ind w:left="2160" w:hanging="180"/>
      </w:pPr>
    </w:lvl>
    <w:lvl w:ilvl="3" w:tplc="CDE41FC8">
      <w:start w:val="1"/>
      <w:numFmt w:val="decimal"/>
      <w:lvlText w:val="%4."/>
      <w:lvlJc w:val="left"/>
      <w:pPr>
        <w:ind w:left="2880" w:hanging="360"/>
      </w:pPr>
    </w:lvl>
    <w:lvl w:ilvl="4" w:tplc="9996A302">
      <w:start w:val="1"/>
      <w:numFmt w:val="lowerLetter"/>
      <w:lvlText w:val="%5."/>
      <w:lvlJc w:val="left"/>
      <w:pPr>
        <w:ind w:left="3600" w:hanging="360"/>
      </w:pPr>
    </w:lvl>
    <w:lvl w:ilvl="5" w:tplc="11147950">
      <w:start w:val="1"/>
      <w:numFmt w:val="lowerRoman"/>
      <w:lvlText w:val="%6."/>
      <w:lvlJc w:val="right"/>
      <w:pPr>
        <w:ind w:left="4320" w:hanging="180"/>
      </w:pPr>
    </w:lvl>
    <w:lvl w:ilvl="6" w:tplc="5C665000">
      <w:start w:val="1"/>
      <w:numFmt w:val="decimal"/>
      <w:lvlText w:val="%7."/>
      <w:lvlJc w:val="left"/>
      <w:pPr>
        <w:ind w:left="5040" w:hanging="360"/>
      </w:pPr>
    </w:lvl>
    <w:lvl w:ilvl="7" w:tplc="7354F918">
      <w:start w:val="1"/>
      <w:numFmt w:val="lowerLetter"/>
      <w:lvlText w:val="%8."/>
      <w:lvlJc w:val="left"/>
      <w:pPr>
        <w:ind w:left="5760" w:hanging="360"/>
      </w:pPr>
    </w:lvl>
    <w:lvl w:ilvl="8" w:tplc="BA32C2AC">
      <w:start w:val="1"/>
      <w:numFmt w:val="lowerRoman"/>
      <w:lvlText w:val="%9."/>
      <w:lvlJc w:val="right"/>
      <w:pPr>
        <w:ind w:left="6480" w:hanging="180"/>
      </w:pPr>
    </w:lvl>
  </w:abstractNum>
  <w:abstractNum w:abstractNumId="6" w15:restartNumberingAfterBreak="0">
    <w:nsid w:val="5A070248"/>
    <w:multiLevelType w:val="hybridMultilevel"/>
    <w:tmpl w:val="5AF022B8"/>
    <w:lvl w:ilvl="0" w:tplc="48507B80">
      <w:start w:val="1"/>
      <w:numFmt w:val="decimal"/>
      <w:lvlText w:val="%1."/>
      <w:lvlJc w:val="left"/>
      <w:pPr>
        <w:ind w:left="720" w:hanging="360"/>
      </w:pPr>
    </w:lvl>
    <w:lvl w:ilvl="1" w:tplc="52E0CE72">
      <w:start w:val="1"/>
      <w:numFmt w:val="lowerLetter"/>
      <w:lvlText w:val="%2."/>
      <w:lvlJc w:val="left"/>
      <w:pPr>
        <w:ind w:left="1440" w:hanging="360"/>
      </w:pPr>
    </w:lvl>
    <w:lvl w:ilvl="2" w:tplc="96E6A2EE">
      <w:start w:val="1"/>
      <w:numFmt w:val="lowerRoman"/>
      <w:lvlText w:val="%3."/>
      <w:lvlJc w:val="right"/>
      <w:pPr>
        <w:ind w:left="2160" w:hanging="180"/>
      </w:pPr>
    </w:lvl>
    <w:lvl w:ilvl="3" w:tplc="F22E7EE0">
      <w:start w:val="1"/>
      <w:numFmt w:val="decimal"/>
      <w:lvlText w:val="%4."/>
      <w:lvlJc w:val="left"/>
      <w:pPr>
        <w:ind w:left="2880" w:hanging="360"/>
      </w:pPr>
    </w:lvl>
    <w:lvl w:ilvl="4" w:tplc="E4425E16">
      <w:start w:val="1"/>
      <w:numFmt w:val="lowerLetter"/>
      <w:lvlText w:val="%5."/>
      <w:lvlJc w:val="left"/>
      <w:pPr>
        <w:ind w:left="3600" w:hanging="360"/>
      </w:pPr>
    </w:lvl>
    <w:lvl w:ilvl="5" w:tplc="F3D250A4">
      <w:start w:val="1"/>
      <w:numFmt w:val="lowerRoman"/>
      <w:lvlText w:val="%6."/>
      <w:lvlJc w:val="right"/>
      <w:pPr>
        <w:ind w:left="4320" w:hanging="180"/>
      </w:pPr>
    </w:lvl>
    <w:lvl w:ilvl="6" w:tplc="FF121394">
      <w:start w:val="1"/>
      <w:numFmt w:val="decimal"/>
      <w:lvlText w:val="%7."/>
      <w:lvlJc w:val="left"/>
      <w:pPr>
        <w:ind w:left="5040" w:hanging="360"/>
      </w:pPr>
    </w:lvl>
    <w:lvl w:ilvl="7" w:tplc="6CB83774">
      <w:start w:val="1"/>
      <w:numFmt w:val="lowerLetter"/>
      <w:lvlText w:val="%8."/>
      <w:lvlJc w:val="left"/>
      <w:pPr>
        <w:ind w:left="5760" w:hanging="360"/>
      </w:pPr>
    </w:lvl>
    <w:lvl w:ilvl="8" w:tplc="CBECBE78">
      <w:start w:val="1"/>
      <w:numFmt w:val="lowerRoman"/>
      <w:lvlText w:val="%9."/>
      <w:lvlJc w:val="right"/>
      <w:pPr>
        <w:ind w:left="6480" w:hanging="180"/>
      </w:pPr>
    </w:lvl>
  </w:abstractNum>
  <w:abstractNum w:abstractNumId="7" w15:restartNumberingAfterBreak="0">
    <w:nsid w:val="5D8C11C5"/>
    <w:multiLevelType w:val="hybridMultilevel"/>
    <w:tmpl w:val="C986C760"/>
    <w:lvl w:ilvl="0" w:tplc="B3204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BA43EE"/>
    <w:multiLevelType w:val="hybridMultilevel"/>
    <w:tmpl w:val="4F9EB9D6"/>
    <w:lvl w:ilvl="0" w:tplc="F45609E8">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975888"/>
    <w:multiLevelType w:val="hybridMultilevel"/>
    <w:tmpl w:val="FFFFFFFF"/>
    <w:lvl w:ilvl="0" w:tplc="5B2E89F8">
      <w:start w:val="1"/>
      <w:numFmt w:val="bullet"/>
      <w:lvlText w:val=""/>
      <w:lvlJc w:val="left"/>
      <w:pPr>
        <w:ind w:left="720" w:hanging="360"/>
      </w:pPr>
      <w:rPr>
        <w:rFonts w:ascii="Symbol" w:hAnsi="Symbol" w:hint="default"/>
      </w:rPr>
    </w:lvl>
    <w:lvl w:ilvl="1" w:tplc="4ECA3184">
      <w:start w:val="1"/>
      <w:numFmt w:val="bullet"/>
      <w:lvlText w:val="o"/>
      <w:lvlJc w:val="left"/>
      <w:pPr>
        <w:ind w:left="1440" w:hanging="360"/>
      </w:pPr>
      <w:rPr>
        <w:rFonts w:ascii="Courier New" w:hAnsi="Courier New" w:hint="default"/>
      </w:rPr>
    </w:lvl>
    <w:lvl w:ilvl="2" w:tplc="F1AC0AD4">
      <w:start w:val="1"/>
      <w:numFmt w:val="bullet"/>
      <w:lvlText w:val=""/>
      <w:lvlJc w:val="left"/>
      <w:pPr>
        <w:ind w:left="2160" w:hanging="360"/>
      </w:pPr>
      <w:rPr>
        <w:rFonts w:ascii="Wingdings" w:hAnsi="Wingdings" w:hint="default"/>
      </w:rPr>
    </w:lvl>
    <w:lvl w:ilvl="3" w:tplc="A59A80A0">
      <w:start w:val="1"/>
      <w:numFmt w:val="bullet"/>
      <w:lvlText w:val=""/>
      <w:lvlJc w:val="left"/>
      <w:pPr>
        <w:ind w:left="2880" w:hanging="360"/>
      </w:pPr>
      <w:rPr>
        <w:rFonts w:ascii="Symbol" w:hAnsi="Symbol" w:hint="default"/>
      </w:rPr>
    </w:lvl>
    <w:lvl w:ilvl="4" w:tplc="05E6860A">
      <w:start w:val="1"/>
      <w:numFmt w:val="bullet"/>
      <w:lvlText w:val="o"/>
      <w:lvlJc w:val="left"/>
      <w:pPr>
        <w:ind w:left="3600" w:hanging="360"/>
      </w:pPr>
      <w:rPr>
        <w:rFonts w:ascii="Courier New" w:hAnsi="Courier New" w:hint="default"/>
      </w:rPr>
    </w:lvl>
    <w:lvl w:ilvl="5" w:tplc="D1983344">
      <w:start w:val="1"/>
      <w:numFmt w:val="bullet"/>
      <w:lvlText w:val=""/>
      <w:lvlJc w:val="left"/>
      <w:pPr>
        <w:ind w:left="4320" w:hanging="360"/>
      </w:pPr>
      <w:rPr>
        <w:rFonts w:ascii="Wingdings" w:hAnsi="Wingdings" w:hint="default"/>
      </w:rPr>
    </w:lvl>
    <w:lvl w:ilvl="6" w:tplc="4364A1EC">
      <w:start w:val="1"/>
      <w:numFmt w:val="bullet"/>
      <w:lvlText w:val=""/>
      <w:lvlJc w:val="left"/>
      <w:pPr>
        <w:ind w:left="5040" w:hanging="360"/>
      </w:pPr>
      <w:rPr>
        <w:rFonts w:ascii="Symbol" w:hAnsi="Symbol" w:hint="default"/>
      </w:rPr>
    </w:lvl>
    <w:lvl w:ilvl="7" w:tplc="43544892">
      <w:start w:val="1"/>
      <w:numFmt w:val="bullet"/>
      <w:lvlText w:val="o"/>
      <w:lvlJc w:val="left"/>
      <w:pPr>
        <w:ind w:left="5760" w:hanging="360"/>
      </w:pPr>
      <w:rPr>
        <w:rFonts w:ascii="Courier New" w:hAnsi="Courier New" w:hint="default"/>
      </w:rPr>
    </w:lvl>
    <w:lvl w:ilvl="8" w:tplc="56101E24">
      <w:start w:val="1"/>
      <w:numFmt w:val="bullet"/>
      <w:lvlText w:val=""/>
      <w:lvlJc w:val="left"/>
      <w:pPr>
        <w:ind w:left="6480" w:hanging="360"/>
      </w:pPr>
      <w:rPr>
        <w:rFonts w:ascii="Wingdings" w:hAnsi="Wingdings" w:hint="default"/>
      </w:rPr>
    </w:lvl>
  </w:abstractNum>
  <w:abstractNum w:abstractNumId="10" w15:restartNumberingAfterBreak="0">
    <w:nsid w:val="7B7C1481"/>
    <w:multiLevelType w:val="hybridMultilevel"/>
    <w:tmpl w:val="97784E92"/>
    <w:lvl w:ilvl="0" w:tplc="BABC396E">
      <w:start w:val="1"/>
      <w:numFmt w:val="decimal"/>
      <w:lvlText w:val="%1."/>
      <w:lvlJc w:val="left"/>
      <w:pPr>
        <w:ind w:left="720" w:hanging="360"/>
      </w:pPr>
    </w:lvl>
    <w:lvl w:ilvl="1" w:tplc="7848CE66">
      <w:start w:val="1"/>
      <w:numFmt w:val="lowerLetter"/>
      <w:lvlText w:val="%2."/>
      <w:lvlJc w:val="left"/>
      <w:pPr>
        <w:ind w:left="1440" w:hanging="360"/>
      </w:pPr>
    </w:lvl>
    <w:lvl w:ilvl="2" w:tplc="DF544150">
      <w:start w:val="1"/>
      <w:numFmt w:val="lowerRoman"/>
      <w:lvlText w:val="%3."/>
      <w:lvlJc w:val="right"/>
      <w:pPr>
        <w:ind w:left="2160" w:hanging="180"/>
      </w:pPr>
    </w:lvl>
    <w:lvl w:ilvl="3" w:tplc="EB2A512C">
      <w:start w:val="1"/>
      <w:numFmt w:val="decimal"/>
      <w:lvlText w:val="%4."/>
      <w:lvlJc w:val="left"/>
      <w:pPr>
        <w:ind w:left="2880" w:hanging="360"/>
      </w:pPr>
    </w:lvl>
    <w:lvl w:ilvl="4" w:tplc="8A80D96A">
      <w:start w:val="1"/>
      <w:numFmt w:val="lowerLetter"/>
      <w:lvlText w:val="%5."/>
      <w:lvlJc w:val="left"/>
      <w:pPr>
        <w:ind w:left="3600" w:hanging="360"/>
      </w:pPr>
    </w:lvl>
    <w:lvl w:ilvl="5" w:tplc="61428406">
      <w:start w:val="1"/>
      <w:numFmt w:val="lowerRoman"/>
      <w:lvlText w:val="%6."/>
      <w:lvlJc w:val="right"/>
      <w:pPr>
        <w:ind w:left="4320" w:hanging="180"/>
      </w:pPr>
    </w:lvl>
    <w:lvl w:ilvl="6" w:tplc="58A6618C">
      <w:start w:val="1"/>
      <w:numFmt w:val="decimal"/>
      <w:lvlText w:val="%7."/>
      <w:lvlJc w:val="left"/>
      <w:pPr>
        <w:ind w:left="5040" w:hanging="360"/>
      </w:pPr>
    </w:lvl>
    <w:lvl w:ilvl="7" w:tplc="CBC6EAB2">
      <w:start w:val="1"/>
      <w:numFmt w:val="lowerLetter"/>
      <w:lvlText w:val="%8."/>
      <w:lvlJc w:val="left"/>
      <w:pPr>
        <w:ind w:left="5760" w:hanging="360"/>
      </w:pPr>
    </w:lvl>
    <w:lvl w:ilvl="8" w:tplc="4AB6B72E">
      <w:start w:val="1"/>
      <w:numFmt w:val="lowerRoman"/>
      <w:lvlText w:val="%9."/>
      <w:lvlJc w:val="right"/>
      <w:pPr>
        <w:ind w:left="6480" w:hanging="180"/>
      </w:pPr>
    </w:lvl>
  </w:abstractNum>
  <w:abstractNum w:abstractNumId="11" w15:restartNumberingAfterBreak="0">
    <w:nsid w:val="7E0F65E5"/>
    <w:multiLevelType w:val="hybridMultilevel"/>
    <w:tmpl w:val="96B0594E"/>
    <w:lvl w:ilvl="0" w:tplc="F55EC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6"/>
  </w:num>
  <w:num w:numId="5">
    <w:abstractNumId w:val="10"/>
  </w:num>
  <w:num w:numId="6">
    <w:abstractNumId w:val="9"/>
  </w:num>
  <w:num w:numId="7">
    <w:abstractNumId w:val="5"/>
  </w:num>
  <w:num w:numId="8">
    <w:abstractNumId w:val="1"/>
  </w:num>
  <w:num w:numId="9">
    <w:abstractNumId w:val="11"/>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FF10DD"/>
    <w:rsid w:val="00004189"/>
    <w:rsid w:val="00004ACF"/>
    <w:rsid w:val="00006F6F"/>
    <w:rsid w:val="000104AA"/>
    <w:rsid w:val="00010608"/>
    <w:rsid w:val="000106A7"/>
    <w:rsid w:val="00016DB6"/>
    <w:rsid w:val="000209E4"/>
    <w:rsid w:val="00020BE9"/>
    <w:rsid w:val="0002481E"/>
    <w:rsid w:val="0002665E"/>
    <w:rsid w:val="00036387"/>
    <w:rsid w:val="000372A2"/>
    <w:rsid w:val="0006796F"/>
    <w:rsid w:val="0007238B"/>
    <w:rsid w:val="00074E94"/>
    <w:rsid w:val="00077735"/>
    <w:rsid w:val="00087D37"/>
    <w:rsid w:val="00091706"/>
    <w:rsid w:val="000A6F40"/>
    <w:rsid w:val="000A77F6"/>
    <w:rsid w:val="000B3419"/>
    <w:rsid w:val="000D367E"/>
    <w:rsid w:val="000E2293"/>
    <w:rsid w:val="000F17C8"/>
    <w:rsid w:val="000F28D1"/>
    <w:rsid w:val="000F3052"/>
    <w:rsid w:val="000F3954"/>
    <w:rsid w:val="000F76FB"/>
    <w:rsid w:val="001037F4"/>
    <w:rsid w:val="001040A6"/>
    <w:rsid w:val="00106499"/>
    <w:rsid w:val="0011494F"/>
    <w:rsid w:val="0012318D"/>
    <w:rsid w:val="001332A9"/>
    <w:rsid w:val="00143652"/>
    <w:rsid w:val="001503FD"/>
    <w:rsid w:val="001523AF"/>
    <w:rsid w:val="001523CE"/>
    <w:rsid w:val="00154DB0"/>
    <w:rsid w:val="00164E96"/>
    <w:rsid w:val="00171286"/>
    <w:rsid w:val="001726BE"/>
    <w:rsid w:val="001736EB"/>
    <w:rsid w:val="00176D8D"/>
    <w:rsid w:val="001A00C5"/>
    <w:rsid w:val="001A6C34"/>
    <w:rsid w:val="001B070D"/>
    <w:rsid w:val="001C3128"/>
    <w:rsid w:val="001C6473"/>
    <w:rsid w:val="001C655B"/>
    <w:rsid w:val="001C7F05"/>
    <w:rsid w:val="001D7332"/>
    <w:rsid w:val="001E0792"/>
    <w:rsid w:val="001F4E2B"/>
    <w:rsid w:val="002015B1"/>
    <w:rsid w:val="00203499"/>
    <w:rsid w:val="002037C2"/>
    <w:rsid w:val="002041A4"/>
    <w:rsid w:val="0021176F"/>
    <w:rsid w:val="0021374F"/>
    <w:rsid w:val="00220AE4"/>
    <w:rsid w:val="00221ACE"/>
    <w:rsid w:val="00241F28"/>
    <w:rsid w:val="002467DC"/>
    <w:rsid w:val="00252AD1"/>
    <w:rsid w:val="002557B6"/>
    <w:rsid w:val="0026212D"/>
    <w:rsid w:val="00271244"/>
    <w:rsid w:val="002747B8"/>
    <w:rsid w:val="00283C37"/>
    <w:rsid w:val="00287189"/>
    <w:rsid w:val="00287AE8"/>
    <w:rsid w:val="002946E6"/>
    <w:rsid w:val="00296F40"/>
    <w:rsid w:val="0029B966"/>
    <w:rsid w:val="002A4640"/>
    <w:rsid w:val="002B109E"/>
    <w:rsid w:val="002B2766"/>
    <w:rsid w:val="002B5D35"/>
    <w:rsid w:val="002C183C"/>
    <w:rsid w:val="002C270E"/>
    <w:rsid w:val="002C2E0A"/>
    <w:rsid w:val="002C2E5E"/>
    <w:rsid w:val="002C7EE8"/>
    <w:rsid w:val="002D1458"/>
    <w:rsid w:val="002E14D1"/>
    <w:rsid w:val="00301440"/>
    <w:rsid w:val="003015C3"/>
    <w:rsid w:val="00303993"/>
    <w:rsid w:val="00310803"/>
    <w:rsid w:val="00310EC6"/>
    <w:rsid w:val="0031348C"/>
    <w:rsid w:val="00315A33"/>
    <w:rsid w:val="00316199"/>
    <w:rsid w:val="00337666"/>
    <w:rsid w:val="00340F7E"/>
    <w:rsid w:val="00342CE9"/>
    <w:rsid w:val="00345859"/>
    <w:rsid w:val="00345A5B"/>
    <w:rsid w:val="00346D1E"/>
    <w:rsid w:val="003520F9"/>
    <w:rsid w:val="003523FF"/>
    <w:rsid w:val="003604D8"/>
    <w:rsid w:val="0036083C"/>
    <w:rsid w:val="00360B26"/>
    <w:rsid w:val="00362098"/>
    <w:rsid w:val="00364AC8"/>
    <w:rsid w:val="0036548D"/>
    <w:rsid w:val="00380529"/>
    <w:rsid w:val="0038151B"/>
    <w:rsid w:val="0038418B"/>
    <w:rsid w:val="003852E7"/>
    <w:rsid w:val="00387D38"/>
    <w:rsid w:val="00396787"/>
    <w:rsid w:val="00397C7E"/>
    <w:rsid w:val="003A2EF1"/>
    <w:rsid w:val="003A4E04"/>
    <w:rsid w:val="003C3958"/>
    <w:rsid w:val="003C5AF4"/>
    <w:rsid w:val="003C7DB6"/>
    <w:rsid w:val="003D278E"/>
    <w:rsid w:val="003E2E2F"/>
    <w:rsid w:val="003E3B58"/>
    <w:rsid w:val="003E620F"/>
    <w:rsid w:val="003F4864"/>
    <w:rsid w:val="003F717D"/>
    <w:rsid w:val="00404C15"/>
    <w:rsid w:val="00410AD4"/>
    <w:rsid w:val="00412206"/>
    <w:rsid w:val="00421A0C"/>
    <w:rsid w:val="00424016"/>
    <w:rsid w:val="00426E30"/>
    <w:rsid w:val="004275D9"/>
    <w:rsid w:val="00430F5D"/>
    <w:rsid w:val="004342F4"/>
    <w:rsid w:val="00435AF8"/>
    <w:rsid w:val="00440860"/>
    <w:rsid w:val="004435BD"/>
    <w:rsid w:val="0045400F"/>
    <w:rsid w:val="00454C42"/>
    <w:rsid w:val="00457EA7"/>
    <w:rsid w:val="00460506"/>
    <w:rsid w:val="00466F44"/>
    <w:rsid w:val="00469695"/>
    <w:rsid w:val="004723CC"/>
    <w:rsid w:val="00481B98"/>
    <w:rsid w:val="00483AC3"/>
    <w:rsid w:val="0048440B"/>
    <w:rsid w:val="004859F7"/>
    <w:rsid w:val="004928AA"/>
    <w:rsid w:val="00494CF7"/>
    <w:rsid w:val="00497431"/>
    <w:rsid w:val="00498C3B"/>
    <w:rsid w:val="004A1C97"/>
    <w:rsid w:val="004A224A"/>
    <w:rsid w:val="004A563C"/>
    <w:rsid w:val="004B62B8"/>
    <w:rsid w:val="004C0355"/>
    <w:rsid w:val="004C554B"/>
    <w:rsid w:val="004D78B1"/>
    <w:rsid w:val="004E4497"/>
    <w:rsid w:val="004E676D"/>
    <w:rsid w:val="004F1523"/>
    <w:rsid w:val="004F1D89"/>
    <w:rsid w:val="0050282E"/>
    <w:rsid w:val="00510DE2"/>
    <w:rsid w:val="00517DFB"/>
    <w:rsid w:val="00517F5B"/>
    <w:rsid w:val="0052276F"/>
    <w:rsid w:val="005228B8"/>
    <w:rsid w:val="005231EF"/>
    <w:rsid w:val="005264B4"/>
    <w:rsid w:val="005420B2"/>
    <w:rsid w:val="00542396"/>
    <w:rsid w:val="00545133"/>
    <w:rsid w:val="00546E8A"/>
    <w:rsid w:val="00550527"/>
    <w:rsid w:val="00551F19"/>
    <w:rsid w:val="005553EB"/>
    <w:rsid w:val="00556588"/>
    <w:rsid w:val="00557D88"/>
    <w:rsid w:val="00562057"/>
    <w:rsid w:val="00562197"/>
    <w:rsid w:val="0056280F"/>
    <w:rsid w:val="00566C60"/>
    <w:rsid w:val="00570E53"/>
    <w:rsid w:val="0057419A"/>
    <w:rsid w:val="00575E26"/>
    <w:rsid w:val="005761A2"/>
    <w:rsid w:val="005899F6"/>
    <w:rsid w:val="0059476A"/>
    <w:rsid w:val="005A1E2D"/>
    <w:rsid w:val="005A4A39"/>
    <w:rsid w:val="005A673F"/>
    <w:rsid w:val="005A6CB5"/>
    <w:rsid w:val="005B073A"/>
    <w:rsid w:val="005B1B6B"/>
    <w:rsid w:val="005B2C10"/>
    <w:rsid w:val="005B4BD5"/>
    <w:rsid w:val="005B5720"/>
    <w:rsid w:val="005D4581"/>
    <w:rsid w:val="005E34F5"/>
    <w:rsid w:val="005E5798"/>
    <w:rsid w:val="005E6C23"/>
    <w:rsid w:val="005E74FD"/>
    <w:rsid w:val="005F065C"/>
    <w:rsid w:val="005F0FA1"/>
    <w:rsid w:val="005F1A14"/>
    <w:rsid w:val="005F4A51"/>
    <w:rsid w:val="005F4E68"/>
    <w:rsid w:val="00602581"/>
    <w:rsid w:val="00607EEB"/>
    <w:rsid w:val="006101D1"/>
    <w:rsid w:val="00617D01"/>
    <w:rsid w:val="00624BCD"/>
    <w:rsid w:val="006252F1"/>
    <w:rsid w:val="00627755"/>
    <w:rsid w:val="00631195"/>
    <w:rsid w:val="00631BF5"/>
    <w:rsid w:val="00637F29"/>
    <w:rsid w:val="006423AE"/>
    <w:rsid w:val="00643C0C"/>
    <w:rsid w:val="00652BE2"/>
    <w:rsid w:val="006565DB"/>
    <w:rsid w:val="006632B7"/>
    <w:rsid w:val="00667EDE"/>
    <w:rsid w:val="0067217C"/>
    <w:rsid w:val="006727CF"/>
    <w:rsid w:val="00674E2E"/>
    <w:rsid w:val="00683FA3"/>
    <w:rsid w:val="00693A4C"/>
    <w:rsid w:val="00694430"/>
    <w:rsid w:val="006A5B02"/>
    <w:rsid w:val="006A79FC"/>
    <w:rsid w:val="006B0AFC"/>
    <w:rsid w:val="006B57C3"/>
    <w:rsid w:val="006C00F6"/>
    <w:rsid w:val="006C5D2B"/>
    <w:rsid w:val="006D4FC2"/>
    <w:rsid w:val="006D501C"/>
    <w:rsid w:val="006E3605"/>
    <w:rsid w:val="006F398C"/>
    <w:rsid w:val="006F5949"/>
    <w:rsid w:val="006F6F51"/>
    <w:rsid w:val="006F7F47"/>
    <w:rsid w:val="00700763"/>
    <w:rsid w:val="00711CD8"/>
    <w:rsid w:val="007208D8"/>
    <w:rsid w:val="007242FF"/>
    <w:rsid w:val="0072464B"/>
    <w:rsid w:val="00735F18"/>
    <w:rsid w:val="00737C64"/>
    <w:rsid w:val="00743752"/>
    <w:rsid w:val="00753C4C"/>
    <w:rsid w:val="00756EDB"/>
    <w:rsid w:val="0075717F"/>
    <w:rsid w:val="00757891"/>
    <w:rsid w:val="007652A5"/>
    <w:rsid w:val="007665F4"/>
    <w:rsid w:val="00771E12"/>
    <w:rsid w:val="00774BA3"/>
    <w:rsid w:val="00777FB7"/>
    <w:rsid w:val="0078113A"/>
    <w:rsid w:val="00781322"/>
    <w:rsid w:val="00781CF5"/>
    <w:rsid w:val="007853FD"/>
    <w:rsid w:val="00786E32"/>
    <w:rsid w:val="00787AC4"/>
    <w:rsid w:val="00791C19"/>
    <w:rsid w:val="007927AF"/>
    <w:rsid w:val="00793C2E"/>
    <w:rsid w:val="007A14F2"/>
    <w:rsid w:val="007A1AF4"/>
    <w:rsid w:val="007A2900"/>
    <w:rsid w:val="007C150D"/>
    <w:rsid w:val="007C5F3A"/>
    <w:rsid w:val="007D0FA8"/>
    <w:rsid w:val="007D1E65"/>
    <w:rsid w:val="007D7264"/>
    <w:rsid w:val="007E3721"/>
    <w:rsid w:val="0080284D"/>
    <w:rsid w:val="0080480C"/>
    <w:rsid w:val="008048B7"/>
    <w:rsid w:val="008058F4"/>
    <w:rsid w:val="008144A9"/>
    <w:rsid w:val="008194FE"/>
    <w:rsid w:val="00824B1D"/>
    <w:rsid w:val="00827C3D"/>
    <w:rsid w:val="00830BA9"/>
    <w:rsid w:val="008417BD"/>
    <w:rsid w:val="00856A48"/>
    <w:rsid w:val="00864B92"/>
    <w:rsid w:val="00864C8D"/>
    <w:rsid w:val="008650DF"/>
    <w:rsid w:val="0086D100"/>
    <w:rsid w:val="008721EE"/>
    <w:rsid w:val="008755CE"/>
    <w:rsid w:val="008800F5"/>
    <w:rsid w:val="008830D7"/>
    <w:rsid w:val="00885652"/>
    <w:rsid w:val="008A71D5"/>
    <w:rsid w:val="008B5BD0"/>
    <w:rsid w:val="008C084E"/>
    <w:rsid w:val="008C0EB5"/>
    <w:rsid w:val="008C3964"/>
    <w:rsid w:val="008C53FF"/>
    <w:rsid w:val="008D362C"/>
    <w:rsid w:val="008D508F"/>
    <w:rsid w:val="008D6587"/>
    <w:rsid w:val="008E20BF"/>
    <w:rsid w:val="008F5C3F"/>
    <w:rsid w:val="00907545"/>
    <w:rsid w:val="00907E19"/>
    <w:rsid w:val="00924818"/>
    <w:rsid w:val="009254FF"/>
    <w:rsid w:val="00926C8A"/>
    <w:rsid w:val="009271BF"/>
    <w:rsid w:val="0094078F"/>
    <w:rsid w:val="009417F5"/>
    <w:rsid w:val="00944692"/>
    <w:rsid w:val="009449C1"/>
    <w:rsid w:val="009458B9"/>
    <w:rsid w:val="0094625D"/>
    <w:rsid w:val="009567BE"/>
    <w:rsid w:val="009610E0"/>
    <w:rsid w:val="00961D3F"/>
    <w:rsid w:val="00963AC5"/>
    <w:rsid w:val="00973297"/>
    <w:rsid w:val="00976D30"/>
    <w:rsid w:val="009825A8"/>
    <w:rsid w:val="0098E513"/>
    <w:rsid w:val="00990228"/>
    <w:rsid w:val="0099126E"/>
    <w:rsid w:val="00992FA8"/>
    <w:rsid w:val="009947BE"/>
    <w:rsid w:val="009972DD"/>
    <w:rsid w:val="009A376C"/>
    <w:rsid w:val="009A3A9A"/>
    <w:rsid w:val="009B78A2"/>
    <w:rsid w:val="009C0FE6"/>
    <w:rsid w:val="009C52D1"/>
    <w:rsid w:val="009D01DE"/>
    <w:rsid w:val="009D3AC5"/>
    <w:rsid w:val="009E2388"/>
    <w:rsid w:val="009E5945"/>
    <w:rsid w:val="009F042D"/>
    <w:rsid w:val="009F4965"/>
    <w:rsid w:val="00A0028A"/>
    <w:rsid w:val="00A0029F"/>
    <w:rsid w:val="00A00375"/>
    <w:rsid w:val="00A03DCD"/>
    <w:rsid w:val="00A06070"/>
    <w:rsid w:val="00A06845"/>
    <w:rsid w:val="00A0794D"/>
    <w:rsid w:val="00A1379E"/>
    <w:rsid w:val="00A20FBC"/>
    <w:rsid w:val="00A24B84"/>
    <w:rsid w:val="00A25859"/>
    <w:rsid w:val="00A26D3A"/>
    <w:rsid w:val="00A27E4D"/>
    <w:rsid w:val="00A3678A"/>
    <w:rsid w:val="00A37184"/>
    <w:rsid w:val="00A4002D"/>
    <w:rsid w:val="00A62ED7"/>
    <w:rsid w:val="00A7773B"/>
    <w:rsid w:val="00A87AB4"/>
    <w:rsid w:val="00A916E5"/>
    <w:rsid w:val="00A938A9"/>
    <w:rsid w:val="00A95BF4"/>
    <w:rsid w:val="00AA4063"/>
    <w:rsid w:val="00AA66B7"/>
    <w:rsid w:val="00AB44B6"/>
    <w:rsid w:val="00AB713F"/>
    <w:rsid w:val="00AD32CD"/>
    <w:rsid w:val="00AD7672"/>
    <w:rsid w:val="00AE50F2"/>
    <w:rsid w:val="00AF3533"/>
    <w:rsid w:val="00B04AAE"/>
    <w:rsid w:val="00B145EF"/>
    <w:rsid w:val="00B15005"/>
    <w:rsid w:val="00B17D70"/>
    <w:rsid w:val="00B203C2"/>
    <w:rsid w:val="00B21D92"/>
    <w:rsid w:val="00B31C3E"/>
    <w:rsid w:val="00B36D3B"/>
    <w:rsid w:val="00B42C4E"/>
    <w:rsid w:val="00B431E3"/>
    <w:rsid w:val="00B474F8"/>
    <w:rsid w:val="00B5591E"/>
    <w:rsid w:val="00B563D8"/>
    <w:rsid w:val="00B568C7"/>
    <w:rsid w:val="00B574D2"/>
    <w:rsid w:val="00B65FE5"/>
    <w:rsid w:val="00B661C0"/>
    <w:rsid w:val="00B71EBE"/>
    <w:rsid w:val="00B720C7"/>
    <w:rsid w:val="00B73F03"/>
    <w:rsid w:val="00B80B1C"/>
    <w:rsid w:val="00B80B98"/>
    <w:rsid w:val="00B82DB5"/>
    <w:rsid w:val="00B8470D"/>
    <w:rsid w:val="00B8755D"/>
    <w:rsid w:val="00B90D10"/>
    <w:rsid w:val="00B92E68"/>
    <w:rsid w:val="00BA0957"/>
    <w:rsid w:val="00BA3E02"/>
    <w:rsid w:val="00BA4739"/>
    <w:rsid w:val="00BA67FC"/>
    <w:rsid w:val="00BB161A"/>
    <w:rsid w:val="00BB6C6C"/>
    <w:rsid w:val="00BD16A7"/>
    <w:rsid w:val="00BD1ED4"/>
    <w:rsid w:val="00BD21BC"/>
    <w:rsid w:val="00BD42D4"/>
    <w:rsid w:val="00BE3DA3"/>
    <w:rsid w:val="00BE578D"/>
    <w:rsid w:val="00BF001D"/>
    <w:rsid w:val="00BF2858"/>
    <w:rsid w:val="00BF3E39"/>
    <w:rsid w:val="00BF6132"/>
    <w:rsid w:val="00C01331"/>
    <w:rsid w:val="00C03C10"/>
    <w:rsid w:val="00C04B71"/>
    <w:rsid w:val="00C05D16"/>
    <w:rsid w:val="00C10E01"/>
    <w:rsid w:val="00C200BE"/>
    <w:rsid w:val="00C20F12"/>
    <w:rsid w:val="00C22590"/>
    <w:rsid w:val="00C26523"/>
    <w:rsid w:val="00C309FD"/>
    <w:rsid w:val="00C32988"/>
    <w:rsid w:val="00C339C3"/>
    <w:rsid w:val="00C36154"/>
    <w:rsid w:val="00C36A93"/>
    <w:rsid w:val="00C37749"/>
    <w:rsid w:val="00C47C1B"/>
    <w:rsid w:val="00C54D3D"/>
    <w:rsid w:val="00C566CF"/>
    <w:rsid w:val="00C663FD"/>
    <w:rsid w:val="00C67C2D"/>
    <w:rsid w:val="00C73304"/>
    <w:rsid w:val="00C742D1"/>
    <w:rsid w:val="00C75785"/>
    <w:rsid w:val="00C82FC3"/>
    <w:rsid w:val="00C840DB"/>
    <w:rsid w:val="00C9052A"/>
    <w:rsid w:val="00C93A69"/>
    <w:rsid w:val="00C93F65"/>
    <w:rsid w:val="00C95D47"/>
    <w:rsid w:val="00C96304"/>
    <w:rsid w:val="00CA1854"/>
    <w:rsid w:val="00CA3018"/>
    <w:rsid w:val="00CA5B96"/>
    <w:rsid w:val="00CC03EB"/>
    <w:rsid w:val="00CC1DE2"/>
    <w:rsid w:val="00CC5B05"/>
    <w:rsid w:val="00CE0A6D"/>
    <w:rsid w:val="00CF3F4A"/>
    <w:rsid w:val="00D01D57"/>
    <w:rsid w:val="00D02D48"/>
    <w:rsid w:val="00D05F2B"/>
    <w:rsid w:val="00D0643D"/>
    <w:rsid w:val="00D10649"/>
    <w:rsid w:val="00D167BD"/>
    <w:rsid w:val="00D2047B"/>
    <w:rsid w:val="00D21846"/>
    <w:rsid w:val="00D24882"/>
    <w:rsid w:val="00D32B49"/>
    <w:rsid w:val="00D331C1"/>
    <w:rsid w:val="00D33C67"/>
    <w:rsid w:val="00D341DC"/>
    <w:rsid w:val="00D3622C"/>
    <w:rsid w:val="00D368CB"/>
    <w:rsid w:val="00D528F5"/>
    <w:rsid w:val="00D54D7F"/>
    <w:rsid w:val="00D624C1"/>
    <w:rsid w:val="00D63497"/>
    <w:rsid w:val="00D65F49"/>
    <w:rsid w:val="00D66293"/>
    <w:rsid w:val="00D66B81"/>
    <w:rsid w:val="00D73E24"/>
    <w:rsid w:val="00D74616"/>
    <w:rsid w:val="00D74BB5"/>
    <w:rsid w:val="00D7605B"/>
    <w:rsid w:val="00D8022E"/>
    <w:rsid w:val="00D80AB8"/>
    <w:rsid w:val="00D818A0"/>
    <w:rsid w:val="00D82A56"/>
    <w:rsid w:val="00D843CC"/>
    <w:rsid w:val="00DA114B"/>
    <w:rsid w:val="00DA7FEE"/>
    <w:rsid w:val="00DB3B97"/>
    <w:rsid w:val="00DC0165"/>
    <w:rsid w:val="00DC05E2"/>
    <w:rsid w:val="00DC3FDB"/>
    <w:rsid w:val="00DD1B7B"/>
    <w:rsid w:val="00DD7E8B"/>
    <w:rsid w:val="00DE1655"/>
    <w:rsid w:val="00DF1E31"/>
    <w:rsid w:val="00DF3C44"/>
    <w:rsid w:val="00DF4F4D"/>
    <w:rsid w:val="00E00D25"/>
    <w:rsid w:val="00E028BC"/>
    <w:rsid w:val="00E04605"/>
    <w:rsid w:val="00E15E1B"/>
    <w:rsid w:val="00E25715"/>
    <w:rsid w:val="00E25AA2"/>
    <w:rsid w:val="00E2636F"/>
    <w:rsid w:val="00E275D3"/>
    <w:rsid w:val="00E452D5"/>
    <w:rsid w:val="00E52699"/>
    <w:rsid w:val="00E53BAA"/>
    <w:rsid w:val="00E56CB2"/>
    <w:rsid w:val="00E56DA2"/>
    <w:rsid w:val="00E61FD4"/>
    <w:rsid w:val="00E63108"/>
    <w:rsid w:val="00E656A8"/>
    <w:rsid w:val="00E6B778"/>
    <w:rsid w:val="00E73686"/>
    <w:rsid w:val="00E737EF"/>
    <w:rsid w:val="00E751B0"/>
    <w:rsid w:val="00E7737C"/>
    <w:rsid w:val="00E824E9"/>
    <w:rsid w:val="00E84ED6"/>
    <w:rsid w:val="00E867E0"/>
    <w:rsid w:val="00E9099A"/>
    <w:rsid w:val="00E95B40"/>
    <w:rsid w:val="00EA0303"/>
    <w:rsid w:val="00EA345D"/>
    <w:rsid w:val="00EA3A8B"/>
    <w:rsid w:val="00EA4663"/>
    <w:rsid w:val="00EA6A90"/>
    <w:rsid w:val="00EA761E"/>
    <w:rsid w:val="00EB1195"/>
    <w:rsid w:val="00EB1842"/>
    <w:rsid w:val="00EB4879"/>
    <w:rsid w:val="00EC0755"/>
    <w:rsid w:val="00EC11BD"/>
    <w:rsid w:val="00EC1D4E"/>
    <w:rsid w:val="00EC2E7D"/>
    <w:rsid w:val="00EC3F04"/>
    <w:rsid w:val="00EC6A57"/>
    <w:rsid w:val="00EC75A9"/>
    <w:rsid w:val="00ED0BDF"/>
    <w:rsid w:val="00ED1F99"/>
    <w:rsid w:val="00ED27F7"/>
    <w:rsid w:val="00ED4422"/>
    <w:rsid w:val="00EE467F"/>
    <w:rsid w:val="00EE62A0"/>
    <w:rsid w:val="00EE6D0E"/>
    <w:rsid w:val="00EF18B4"/>
    <w:rsid w:val="00EF4649"/>
    <w:rsid w:val="00F01529"/>
    <w:rsid w:val="00F047E6"/>
    <w:rsid w:val="00F134B4"/>
    <w:rsid w:val="00F2106A"/>
    <w:rsid w:val="00F24061"/>
    <w:rsid w:val="00F33937"/>
    <w:rsid w:val="00F4294C"/>
    <w:rsid w:val="00F455DA"/>
    <w:rsid w:val="00F473BF"/>
    <w:rsid w:val="00F51B50"/>
    <w:rsid w:val="00F53694"/>
    <w:rsid w:val="00F55A59"/>
    <w:rsid w:val="00F57739"/>
    <w:rsid w:val="00F6063E"/>
    <w:rsid w:val="00F63130"/>
    <w:rsid w:val="00F729B7"/>
    <w:rsid w:val="00F72D56"/>
    <w:rsid w:val="00F747C3"/>
    <w:rsid w:val="00F800BF"/>
    <w:rsid w:val="00F8112D"/>
    <w:rsid w:val="00F83440"/>
    <w:rsid w:val="00F86BB9"/>
    <w:rsid w:val="00F86E4D"/>
    <w:rsid w:val="00F87664"/>
    <w:rsid w:val="00F91C36"/>
    <w:rsid w:val="00F94117"/>
    <w:rsid w:val="00FB1318"/>
    <w:rsid w:val="00FB1B8B"/>
    <w:rsid w:val="00FC44E3"/>
    <w:rsid w:val="00FC5354"/>
    <w:rsid w:val="00FC65FA"/>
    <w:rsid w:val="00FC708B"/>
    <w:rsid w:val="00FD06A2"/>
    <w:rsid w:val="00FD07F3"/>
    <w:rsid w:val="00FD2E7F"/>
    <w:rsid w:val="00FD3177"/>
    <w:rsid w:val="00FD4D1F"/>
    <w:rsid w:val="00FE2F48"/>
    <w:rsid w:val="00FE3FDD"/>
    <w:rsid w:val="00FF0A4D"/>
    <w:rsid w:val="00FF1050"/>
    <w:rsid w:val="00FF1975"/>
    <w:rsid w:val="00FF29D2"/>
    <w:rsid w:val="00FF3F0E"/>
    <w:rsid w:val="00FF7B52"/>
    <w:rsid w:val="0105A411"/>
    <w:rsid w:val="01391568"/>
    <w:rsid w:val="01427DCC"/>
    <w:rsid w:val="0153CBED"/>
    <w:rsid w:val="01785478"/>
    <w:rsid w:val="017BF678"/>
    <w:rsid w:val="018CF227"/>
    <w:rsid w:val="0194989D"/>
    <w:rsid w:val="0195822D"/>
    <w:rsid w:val="019D0B60"/>
    <w:rsid w:val="019D656F"/>
    <w:rsid w:val="01E01D82"/>
    <w:rsid w:val="0201F120"/>
    <w:rsid w:val="0224F1AE"/>
    <w:rsid w:val="023A5F24"/>
    <w:rsid w:val="0253C9B3"/>
    <w:rsid w:val="0257F788"/>
    <w:rsid w:val="02729333"/>
    <w:rsid w:val="02785ECC"/>
    <w:rsid w:val="0286AB26"/>
    <w:rsid w:val="028FB8C2"/>
    <w:rsid w:val="0293FE5A"/>
    <w:rsid w:val="02A0CDCE"/>
    <w:rsid w:val="02D09A43"/>
    <w:rsid w:val="02D9D102"/>
    <w:rsid w:val="02DAE4AE"/>
    <w:rsid w:val="0313CFE2"/>
    <w:rsid w:val="032089B0"/>
    <w:rsid w:val="033F789F"/>
    <w:rsid w:val="0342F19C"/>
    <w:rsid w:val="035A8821"/>
    <w:rsid w:val="035BD87E"/>
    <w:rsid w:val="036C7D57"/>
    <w:rsid w:val="03705953"/>
    <w:rsid w:val="0372D1A5"/>
    <w:rsid w:val="03845E75"/>
    <w:rsid w:val="03A6D423"/>
    <w:rsid w:val="03D4A4C7"/>
    <w:rsid w:val="03E3DE87"/>
    <w:rsid w:val="041B63DD"/>
    <w:rsid w:val="04449E11"/>
    <w:rsid w:val="045CC364"/>
    <w:rsid w:val="04683F02"/>
    <w:rsid w:val="047274A8"/>
    <w:rsid w:val="0473AADA"/>
    <w:rsid w:val="04741A61"/>
    <w:rsid w:val="0474582A"/>
    <w:rsid w:val="04B0FB4B"/>
    <w:rsid w:val="04B1A7D5"/>
    <w:rsid w:val="04BC2D00"/>
    <w:rsid w:val="0515A5D2"/>
    <w:rsid w:val="054119C6"/>
    <w:rsid w:val="05580E3B"/>
    <w:rsid w:val="058C93A1"/>
    <w:rsid w:val="058EA60C"/>
    <w:rsid w:val="05A903F0"/>
    <w:rsid w:val="05B04218"/>
    <w:rsid w:val="05BC3545"/>
    <w:rsid w:val="05C721C0"/>
    <w:rsid w:val="05C93863"/>
    <w:rsid w:val="05E22DEF"/>
    <w:rsid w:val="05E629FE"/>
    <w:rsid w:val="05E9BE54"/>
    <w:rsid w:val="05F6855C"/>
    <w:rsid w:val="05FDB331"/>
    <w:rsid w:val="06058CEA"/>
    <w:rsid w:val="0662B761"/>
    <w:rsid w:val="066BF7B2"/>
    <w:rsid w:val="0674D198"/>
    <w:rsid w:val="068B6A4D"/>
    <w:rsid w:val="068DB941"/>
    <w:rsid w:val="069656C8"/>
    <w:rsid w:val="06CEEEA7"/>
    <w:rsid w:val="06D65589"/>
    <w:rsid w:val="06E5664C"/>
    <w:rsid w:val="06FB5B49"/>
    <w:rsid w:val="06FFB9A1"/>
    <w:rsid w:val="071CB8D1"/>
    <w:rsid w:val="071E9AC6"/>
    <w:rsid w:val="0723FDFD"/>
    <w:rsid w:val="07264D5F"/>
    <w:rsid w:val="07421242"/>
    <w:rsid w:val="0745690E"/>
    <w:rsid w:val="074AB272"/>
    <w:rsid w:val="07540D2C"/>
    <w:rsid w:val="07575828"/>
    <w:rsid w:val="07666A85"/>
    <w:rsid w:val="07890A24"/>
    <w:rsid w:val="078A5FFD"/>
    <w:rsid w:val="078ED480"/>
    <w:rsid w:val="078FFEB8"/>
    <w:rsid w:val="079B22BC"/>
    <w:rsid w:val="079D193B"/>
    <w:rsid w:val="07A3BA30"/>
    <w:rsid w:val="07C032B8"/>
    <w:rsid w:val="07C4BBA7"/>
    <w:rsid w:val="07C88996"/>
    <w:rsid w:val="07CC765C"/>
    <w:rsid w:val="07D0A441"/>
    <w:rsid w:val="07D11D46"/>
    <w:rsid w:val="07EBC4DC"/>
    <w:rsid w:val="07EBF181"/>
    <w:rsid w:val="07F3A9F1"/>
    <w:rsid w:val="07F991E7"/>
    <w:rsid w:val="0804F7D1"/>
    <w:rsid w:val="082711B1"/>
    <w:rsid w:val="08346841"/>
    <w:rsid w:val="084AEADF"/>
    <w:rsid w:val="085310C0"/>
    <w:rsid w:val="0853DC62"/>
    <w:rsid w:val="08ABF6F1"/>
    <w:rsid w:val="08D0A1B5"/>
    <w:rsid w:val="08E4B1D3"/>
    <w:rsid w:val="08ECF4C9"/>
    <w:rsid w:val="08EF3AD9"/>
    <w:rsid w:val="08FA5639"/>
    <w:rsid w:val="090C6B9F"/>
    <w:rsid w:val="091C646E"/>
    <w:rsid w:val="096AD673"/>
    <w:rsid w:val="096B39CF"/>
    <w:rsid w:val="098A01B9"/>
    <w:rsid w:val="09936941"/>
    <w:rsid w:val="09AF2D8C"/>
    <w:rsid w:val="09B363CF"/>
    <w:rsid w:val="0A13CC95"/>
    <w:rsid w:val="0A16935C"/>
    <w:rsid w:val="0A42170A"/>
    <w:rsid w:val="0A4AC34B"/>
    <w:rsid w:val="0A52F613"/>
    <w:rsid w:val="0A5A7DF7"/>
    <w:rsid w:val="0A75935B"/>
    <w:rsid w:val="0A7A0ADB"/>
    <w:rsid w:val="0A8606AB"/>
    <w:rsid w:val="0A918B35"/>
    <w:rsid w:val="0AABB78F"/>
    <w:rsid w:val="0AADE558"/>
    <w:rsid w:val="0AC16947"/>
    <w:rsid w:val="0AC380E5"/>
    <w:rsid w:val="0AD42D1D"/>
    <w:rsid w:val="0AD86990"/>
    <w:rsid w:val="0AE15874"/>
    <w:rsid w:val="0AE9A16C"/>
    <w:rsid w:val="0AF70A2C"/>
    <w:rsid w:val="0B0FB711"/>
    <w:rsid w:val="0B44698E"/>
    <w:rsid w:val="0B4D53E4"/>
    <w:rsid w:val="0B54119A"/>
    <w:rsid w:val="0B5AEEBD"/>
    <w:rsid w:val="0B7BE466"/>
    <w:rsid w:val="0B8129E0"/>
    <w:rsid w:val="0B8750FE"/>
    <w:rsid w:val="0B97851E"/>
    <w:rsid w:val="0BAB0034"/>
    <w:rsid w:val="0BC37E1A"/>
    <w:rsid w:val="0BC71B2F"/>
    <w:rsid w:val="0BD1E990"/>
    <w:rsid w:val="0BDD782C"/>
    <w:rsid w:val="0BEC90CD"/>
    <w:rsid w:val="0C0E56BC"/>
    <w:rsid w:val="0C234301"/>
    <w:rsid w:val="0C7BB589"/>
    <w:rsid w:val="0C884B30"/>
    <w:rsid w:val="0C89F0E8"/>
    <w:rsid w:val="0C8AD640"/>
    <w:rsid w:val="0CBC9DF1"/>
    <w:rsid w:val="0CE1B645"/>
    <w:rsid w:val="0CE5F625"/>
    <w:rsid w:val="0CEFE7DB"/>
    <w:rsid w:val="0CF5F10C"/>
    <w:rsid w:val="0CF6BB55"/>
    <w:rsid w:val="0CFBDE93"/>
    <w:rsid w:val="0D09C214"/>
    <w:rsid w:val="0D3C4702"/>
    <w:rsid w:val="0D466156"/>
    <w:rsid w:val="0D5102F7"/>
    <w:rsid w:val="0D56DEE6"/>
    <w:rsid w:val="0D5C84AB"/>
    <w:rsid w:val="0D77D7BD"/>
    <w:rsid w:val="0D996B4C"/>
    <w:rsid w:val="0D9C6116"/>
    <w:rsid w:val="0DA5C208"/>
    <w:rsid w:val="0DEAB8F7"/>
    <w:rsid w:val="0DEB2931"/>
    <w:rsid w:val="0DEDAE4F"/>
    <w:rsid w:val="0DF10A0D"/>
    <w:rsid w:val="0DF1672B"/>
    <w:rsid w:val="0E0576AA"/>
    <w:rsid w:val="0E103A28"/>
    <w:rsid w:val="0E1F5D1E"/>
    <w:rsid w:val="0E658E34"/>
    <w:rsid w:val="0E928B8E"/>
    <w:rsid w:val="0EC96EFC"/>
    <w:rsid w:val="0EE7D4CE"/>
    <w:rsid w:val="0EFD5CEA"/>
    <w:rsid w:val="0F02F7B4"/>
    <w:rsid w:val="0F047494"/>
    <w:rsid w:val="0F0B65FB"/>
    <w:rsid w:val="0F1C26D1"/>
    <w:rsid w:val="0F28759F"/>
    <w:rsid w:val="0F2A8D3D"/>
    <w:rsid w:val="0F51C848"/>
    <w:rsid w:val="0F52ECA0"/>
    <w:rsid w:val="0F5DA64A"/>
    <w:rsid w:val="0F5EF2A4"/>
    <w:rsid w:val="0F7DC9AB"/>
    <w:rsid w:val="0F8717F7"/>
    <w:rsid w:val="0FB58AAB"/>
    <w:rsid w:val="0FE63C3B"/>
    <w:rsid w:val="102C500E"/>
    <w:rsid w:val="10701904"/>
    <w:rsid w:val="1076E7B4"/>
    <w:rsid w:val="10863F19"/>
    <w:rsid w:val="10BC4509"/>
    <w:rsid w:val="10DCA209"/>
    <w:rsid w:val="10F122E7"/>
    <w:rsid w:val="10F96C5C"/>
    <w:rsid w:val="10FE3D03"/>
    <w:rsid w:val="112B9CEF"/>
    <w:rsid w:val="1135A2F9"/>
    <w:rsid w:val="11681218"/>
    <w:rsid w:val="116B17BE"/>
    <w:rsid w:val="1179BC2E"/>
    <w:rsid w:val="11AFAC94"/>
    <w:rsid w:val="11BA1638"/>
    <w:rsid w:val="11C16B0C"/>
    <w:rsid w:val="11FE3C90"/>
    <w:rsid w:val="12007846"/>
    <w:rsid w:val="1203A84D"/>
    <w:rsid w:val="121B0169"/>
    <w:rsid w:val="1236022B"/>
    <w:rsid w:val="12380675"/>
    <w:rsid w:val="124D2730"/>
    <w:rsid w:val="127A621B"/>
    <w:rsid w:val="1288D192"/>
    <w:rsid w:val="129E213B"/>
    <w:rsid w:val="12A79D06"/>
    <w:rsid w:val="12BA7113"/>
    <w:rsid w:val="12BB5EBA"/>
    <w:rsid w:val="12C60EC7"/>
    <w:rsid w:val="12CE68D2"/>
    <w:rsid w:val="12CF64F1"/>
    <w:rsid w:val="12CFE219"/>
    <w:rsid w:val="12D268FE"/>
    <w:rsid w:val="12E28D6E"/>
    <w:rsid w:val="12F9326C"/>
    <w:rsid w:val="12F9FCB5"/>
    <w:rsid w:val="12FB9925"/>
    <w:rsid w:val="13130C05"/>
    <w:rsid w:val="13220209"/>
    <w:rsid w:val="1335EB9A"/>
    <w:rsid w:val="1343AE69"/>
    <w:rsid w:val="1348E146"/>
    <w:rsid w:val="134BD85D"/>
    <w:rsid w:val="135CAE8D"/>
    <w:rsid w:val="1388A558"/>
    <w:rsid w:val="13D100DE"/>
    <w:rsid w:val="13D9DEF0"/>
    <w:rsid w:val="13DD8D29"/>
    <w:rsid w:val="13E2D021"/>
    <w:rsid w:val="13E433F3"/>
    <w:rsid w:val="13F12038"/>
    <w:rsid w:val="143DE1B9"/>
    <w:rsid w:val="146444E6"/>
    <w:rsid w:val="146FB568"/>
    <w:rsid w:val="147ADC92"/>
    <w:rsid w:val="14BF6601"/>
    <w:rsid w:val="14C4EB0F"/>
    <w:rsid w:val="14C5D339"/>
    <w:rsid w:val="14EF5621"/>
    <w:rsid w:val="14F51A57"/>
    <w:rsid w:val="14F6B886"/>
    <w:rsid w:val="15022749"/>
    <w:rsid w:val="15369408"/>
    <w:rsid w:val="155BB44F"/>
    <w:rsid w:val="15666A67"/>
    <w:rsid w:val="156F69CE"/>
    <w:rsid w:val="159149C3"/>
    <w:rsid w:val="159342FC"/>
    <w:rsid w:val="15948618"/>
    <w:rsid w:val="15D2DC1B"/>
    <w:rsid w:val="15F5DA8C"/>
    <w:rsid w:val="16016D34"/>
    <w:rsid w:val="163A88EE"/>
    <w:rsid w:val="163BE244"/>
    <w:rsid w:val="164104F0"/>
    <w:rsid w:val="164273A7"/>
    <w:rsid w:val="16584EF3"/>
    <w:rsid w:val="165CAF6B"/>
    <w:rsid w:val="16618F56"/>
    <w:rsid w:val="166257E0"/>
    <w:rsid w:val="1683381D"/>
    <w:rsid w:val="1687A545"/>
    <w:rsid w:val="169284E4"/>
    <w:rsid w:val="1696AD2F"/>
    <w:rsid w:val="16AAE6FB"/>
    <w:rsid w:val="16AC1EC4"/>
    <w:rsid w:val="16B2FFD3"/>
    <w:rsid w:val="16B6D88F"/>
    <w:rsid w:val="16BFB585"/>
    <w:rsid w:val="16D16D24"/>
    <w:rsid w:val="16DCDDFF"/>
    <w:rsid w:val="171CDB6C"/>
    <w:rsid w:val="172758A8"/>
    <w:rsid w:val="1733E477"/>
    <w:rsid w:val="17397E69"/>
    <w:rsid w:val="173DC328"/>
    <w:rsid w:val="173EE27B"/>
    <w:rsid w:val="1740D5FC"/>
    <w:rsid w:val="174ADA34"/>
    <w:rsid w:val="17565741"/>
    <w:rsid w:val="1769B28F"/>
    <w:rsid w:val="17712C78"/>
    <w:rsid w:val="177276B5"/>
    <w:rsid w:val="1774218A"/>
    <w:rsid w:val="178C358F"/>
    <w:rsid w:val="1796B011"/>
    <w:rsid w:val="179CA718"/>
    <w:rsid w:val="17A25DFC"/>
    <w:rsid w:val="17C262F8"/>
    <w:rsid w:val="17C51BAB"/>
    <w:rsid w:val="17F66F4B"/>
    <w:rsid w:val="17F90A94"/>
    <w:rsid w:val="1813CE07"/>
    <w:rsid w:val="1818BEBC"/>
    <w:rsid w:val="18240B1C"/>
    <w:rsid w:val="18582504"/>
    <w:rsid w:val="185CCE19"/>
    <w:rsid w:val="185E1951"/>
    <w:rsid w:val="18617C29"/>
    <w:rsid w:val="186CA60D"/>
    <w:rsid w:val="18A4FB94"/>
    <w:rsid w:val="18AE2DCD"/>
    <w:rsid w:val="18AE4BE1"/>
    <w:rsid w:val="18B6737E"/>
    <w:rsid w:val="18C0481D"/>
    <w:rsid w:val="18C202F2"/>
    <w:rsid w:val="18C66A35"/>
    <w:rsid w:val="18D4A76F"/>
    <w:rsid w:val="18E0E3F2"/>
    <w:rsid w:val="18FDB19C"/>
    <w:rsid w:val="191927FE"/>
    <w:rsid w:val="191B8A48"/>
    <w:rsid w:val="1922A4AD"/>
    <w:rsid w:val="192B5E9F"/>
    <w:rsid w:val="192E4F77"/>
    <w:rsid w:val="1947B917"/>
    <w:rsid w:val="194EACFD"/>
    <w:rsid w:val="195C1B78"/>
    <w:rsid w:val="19782921"/>
    <w:rsid w:val="1985ABCD"/>
    <w:rsid w:val="19A7B358"/>
    <w:rsid w:val="19AE0257"/>
    <w:rsid w:val="19B0920D"/>
    <w:rsid w:val="19C3B250"/>
    <w:rsid w:val="19D85F95"/>
    <w:rsid w:val="19D87023"/>
    <w:rsid w:val="19E71985"/>
    <w:rsid w:val="19EDD720"/>
    <w:rsid w:val="1A00E791"/>
    <w:rsid w:val="1A2536F2"/>
    <w:rsid w:val="1A3DD9EA"/>
    <w:rsid w:val="1A48285D"/>
    <w:rsid w:val="1A54B4C3"/>
    <w:rsid w:val="1A5BC4EA"/>
    <w:rsid w:val="1A5DD15F"/>
    <w:rsid w:val="1A7B9354"/>
    <w:rsid w:val="1A7CCCDC"/>
    <w:rsid w:val="1A841730"/>
    <w:rsid w:val="1A8EB973"/>
    <w:rsid w:val="1A9F7EF4"/>
    <w:rsid w:val="1AD9DF5E"/>
    <w:rsid w:val="1AE881A6"/>
    <w:rsid w:val="1AF8F32F"/>
    <w:rsid w:val="1B04E4A2"/>
    <w:rsid w:val="1B141ABD"/>
    <w:rsid w:val="1B161D77"/>
    <w:rsid w:val="1B41B35C"/>
    <w:rsid w:val="1B4220DC"/>
    <w:rsid w:val="1B4BD3CF"/>
    <w:rsid w:val="1B9B5746"/>
    <w:rsid w:val="1BB1ADD0"/>
    <w:rsid w:val="1BB24707"/>
    <w:rsid w:val="1BB83995"/>
    <w:rsid w:val="1C0204ED"/>
    <w:rsid w:val="1C051436"/>
    <w:rsid w:val="1C082C19"/>
    <w:rsid w:val="1C1812F9"/>
    <w:rsid w:val="1C1C1089"/>
    <w:rsid w:val="1C292813"/>
    <w:rsid w:val="1C4D6FBC"/>
    <w:rsid w:val="1C53B137"/>
    <w:rsid w:val="1C71C1B2"/>
    <w:rsid w:val="1C77F807"/>
    <w:rsid w:val="1C7B6701"/>
    <w:rsid w:val="1C985353"/>
    <w:rsid w:val="1C9D15BD"/>
    <w:rsid w:val="1CC1E2C6"/>
    <w:rsid w:val="1CC80F6E"/>
    <w:rsid w:val="1CCDBE18"/>
    <w:rsid w:val="1CDA3392"/>
    <w:rsid w:val="1CE863E1"/>
    <w:rsid w:val="1CEDDF63"/>
    <w:rsid w:val="1CFC3A15"/>
    <w:rsid w:val="1D0EA48C"/>
    <w:rsid w:val="1D290671"/>
    <w:rsid w:val="1D2A9A08"/>
    <w:rsid w:val="1D570E45"/>
    <w:rsid w:val="1D70A176"/>
    <w:rsid w:val="1D7847CB"/>
    <w:rsid w:val="1D946F1D"/>
    <w:rsid w:val="1D9655BA"/>
    <w:rsid w:val="1DB8FC0D"/>
    <w:rsid w:val="1DCE7991"/>
    <w:rsid w:val="1E045FBD"/>
    <w:rsid w:val="1E160036"/>
    <w:rsid w:val="1E1952CD"/>
    <w:rsid w:val="1E1B013D"/>
    <w:rsid w:val="1E36BB0F"/>
    <w:rsid w:val="1E450189"/>
    <w:rsid w:val="1E499415"/>
    <w:rsid w:val="1E5534B3"/>
    <w:rsid w:val="1E6EA042"/>
    <w:rsid w:val="1E7DBAD2"/>
    <w:rsid w:val="1E9F988C"/>
    <w:rsid w:val="1EB589A1"/>
    <w:rsid w:val="1EC4D368"/>
    <w:rsid w:val="1EC65FD1"/>
    <w:rsid w:val="1EDB9702"/>
    <w:rsid w:val="1EDFBCAB"/>
    <w:rsid w:val="1EE7C9B0"/>
    <w:rsid w:val="1EF05959"/>
    <w:rsid w:val="1EF3FF63"/>
    <w:rsid w:val="1F28FDDC"/>
    <w:rsid w:val="1F2E3BAD"/>
    <w:rsid w:val="1F385EDA"/>
    <w:rsid w:val="1F3AEE90"/>
    <w:rsid w:val="1F459BE3"/>
    <w:rsid w:val="1F4C10C7"/>
    <w:rsid w:val="1F62E017"/>
    <w:rsid w:val="1F85E7BB"/>
    <w:rsid w:val="1FA59CF6"/>
    <w:rsid w:val="1FC692AD"/>
    <w:rsid w:val="1FD2C61F"/>
    <w:rsid w:val="1FD41F07"/>
    <w:rsid w:val="1FD502AD"/>
    <w:rsid w:val="1FDE4139"/>
    <w:rsid w:val="1FFCBE5C"/>
    <w:rsid w:val="1FFF18B8"/>
    <w:rsid w:val="2041C906"/>
    <w:rsid w:val="2043147D"/>
    <w:rsid w:val="20937005"/>
    <w:rsid w:val="20952BA0"/>
    <w:rsid w:val="20989A09"/>
    <w:rsid w:val="20D38C8C"/>
    <w:rsid w:val="20D5C2D2"/>
    <w:rsid w:val="20FD6A56"/>
    <w:rsid w:val="210D1557"/>
    <w:rsid w:val="21179293"/>
    <w:rsid w:val="213842D4"/>
    <w:rsid w:val="213CB6FB"/>
    <w:rsid w:val="214948E2"/>
    <w:rsid w:val="21561A63"/>
    <w:rsid w:val="216A738D"/>
    <w:rsid w:val="216BCC1B"/>
    <w:rsid w:val="216C60D9"/>
    <w:rsid w:val="21A33944"/>
    <w:rsid w:val="21AC9D03"/>
    <w:rsid w:val="21AEBF39"/>
    <w:rsid w:val="223E12C5"/>
    <w:rsid w:val="223F3D0C"/>
    <w:rsid w:val="2247A54B"/>
    <w:rsid w:val="2260585C"/>
    <w:rsid w:val="2271F7DA"/>
    <w:rsid w:val="2274C4F9"/>
    <w:rsid w:val="2279C7FA"/>
    <w:rsid w:val="227C175D"/>
    <w:rsid w:val="227C4DD8"/>
    <w:rsid w:val="228417D6"/>
    <w:rsid w:val="2285181D"/>
    <w:rsid w:val="22A2877B"/>
    <w:rsid w:val="22B37D2F"/>
    <w:rsid w:val="22B7C1EB"/>
    <w:rsid w:val="22DEE050"/>
    <w:rsid w:val="23146E04"/>
    <w:rsid w:val="2325EEDD"/>
    <w:rsid w:val="233403DC"/>
    <w:rsid w:val="2334672D"/>
    <w:rsid w:val="23513F30"/>
    <w:rsid w:val="235B84CE"/>
    <w:rsid w:val="23795E1C"/>
    <w:rsid w:val="237A5A3B"/>
    <w:rsid w:val="2392B690"/>
    <w:rsid w:val="23B09760"/>
    <w:rsid w:val="23BA8BCD"/>
    <w:rsid w:val="23BFB412"/>
    <w:rsid w:val="241C719D"/>
    <w:rsid w:val="241E9E6B"/>
    <w:rsid w:val="241EC1C8"/>
    <w:rsid w:val="241FB57F"/>
    <w:rsid w:val="24228F43"/>
    <w:rsid w:val="2451C2B4"/>
    <w:rsid w:val="24528D54"/>
    <w:rsid w:val="2459B86F"/>
    <w:rsid w:val="246CE504"/>
    <w:rsid w:val="2482C2FE"/>
    <w:rsid w:val="2492C7ED"/>
    <w:rsid w:val="24A7B376"/>
    <w:rsid w:val="24B8A3C3"/>
    <w:rsid w:val="24C052E5"/>
    <w:rsid w:val="24D985DA"/>
    <w:rsid w:val="24E1A536"/>
    <w:rsid w:val="24EF7B76"/>
    <w:rsid w:val="24F03CE4"/>
    <w:rsid w:val="25040E8E"/>
    <w:rsid w:val="252E656C"/>
    <w:rsid w:val="252EC087"/>
    <w:rsid w:val="254D16BB"/>
    <w:rsid w:val="2550A4EF"/>
    <w:rsid w:val="255762E5"/>
    <w:rsid w:val="255C9801"/>
    <w:rsid w:val="25868B76"/>
    <w:rsid w:val="2597570E"/>
    <w:rsid w:val="25AED78F"/>
    <w:rsid w:val="25B4EDA7"/>
    <w:rsid w:val="25C15DFE"/>
    <w:rsid w:val="25DE1EFD"/>
    <w:rsid w:val="261A26B3"/>
    <w:rsid w:val="261C38F1"/>
    <w:rsid w:val="2637DC98"/>
    <w:rsid w:val="264C6CBB"/>
    <w:rsid w:val="264F51FE"/>
    <w:rsid w:val="265A3E68"/>
    <w:rsid w:val="265ACD18"/>
    <w:rsid w:val="266FBBFD"/>
    <w:rsid w:val="267BAF2F"/>
    <w:rsid w:val="26903038"/>
    <w:rsid w:val="26A9D53C"/>
    <w:rsid w:val="26AC9E28"/>
    <w:rsid w:val="26BA6E71"/>
    <w:rsid w:val="26C602F3"/>
    <w:rsid w:val="26E9A791"/>
    <w:rsid w:val="27347468"/>
    <w:rsid w:val="27573674"/>
    <w:rsid w:val="27626216"/>
    <w:rsid w:val="2784C744"/>
    <w:rsid w:val="27882A45"/>
    <w:rsid w:val="27928821"/>
    <w:rsid w:val="279D93FC"/>
    <w:rsid w:val="27A878E5"/>
    <w:rsid w:val="27B3084B"/>
    <w:rsid w:val="27B4FDCF"/>
    <w:rsid w:val="27C42CF7"/>
    <w:rsid w:val="27C4C13C"/>
    <w:rsid w:val="27CF19CE"/>
    <w:rsid w:val="27E54007"/>
    <w:rsid w:val="27ECEA71"/>
    <w:rsid w:val="27EFDDFE"/>
    <w:rsid w:val="2821BF63"/>
    <w:rsid w:val="283459EE"/>
    <w:rsid w:val="2848B4CB"/>
    <w:rsid w:val="285438BE"/>
    <w:rsid w:val="285AA57F"/>
    <w:rsid w:val="286B5471"/>
    <w:rsid w:val="2871B163"/>
    <w:rsid w:val="287B6931"/>
    <w:rsid w:val="2882A141"/>
    <w:rsid w:val="289FD9D7"/>
    <w:rsid w:val="28B696BF"/>
    <w:rsid w:val="28CAAC4A"/>
    <w:rsid w:val="28E1C6D4"/>
    <w:rsid w:val="28F5424F"/>
    <w:rsid w:val="28F8D6FD"/>
    <w:rsid w:val="2905570F"/>
    <w:rsid w:val="290E4B4C"/>
    <w:rsid w:val="290F2D03"/>
    <w:rsid w:val="29132F0E"/>
    <w:rsid w:val="291E4CC4"/>
    <w:rsid w:val="29284720"/>
    <w:rsid w:val="2933E9E7"/>
    <w:rsid w:val="295A59E5"/>
    <w:rsid w:val="2966E8E1"/>
    <w:rsid w:val="29718030"/>
    <w:rsid w:val="297ED364"/>
    <w:rsid w:val="297F2798"/>
    <w:rsid w:val="2995C7D9"/>
    <w:rsid w:val="29A2D211"/>
    <w:rsid w:val="29AA83ED"/>
    <w:rsid w:val="29C43A8D"/>
    <w:rsid w:val="29E7F49F"/>
    <w:rsid w:val="29F3E62A"/>
    <w:rsid w:val="2A00C04B"/>
    <w:rsid w:val="2A1E53F6"/>
    <w:rsid w:val="2A5DC418"/>
    <w:rsid w:val="2A6ECED8"/>
    <w:rsid w:val="2A786366"/>
    <w:rsid w:val="2ACF85B8"/>
    <w:rsid w:val="2AD378EE"/>
    <w:rsid w:val="2AE06202"/>
    <w:rsid w:val="2B0641C0"/>
    <w:rsid w:val="2B0BBB3B"/>
    <w:rsid w:val="2B1E26C1"/>
    <w:rsid w:val="2B38E2B5"/>
    <w:rsid w:val="2B63EB52"/>
    <w:rsid w:val="2B72C4F0"/>
    <w:rsid w:val="2B7CA878"/>
    <w:rsid w:val="2B820789"/>
    <w:rsid w:val="2B8CCF93"/>
    <w:rsid w:val="2B9A986E"/>
    <w:rsid w:val="2BA5F269"/>
    <w:rsid w:val="2BA800D2"/>
    <w:rsid w:val="2BA85208"/>
    <w:rsid w:val="2BB0D60B"/>
    <w:rsid w:val="2BB967FF"/>
    <w:rsid w:val="2BD3F79D"/>
    <w:rsid w:val="2BD6F68C"/>
    <w:rsid w:val="2BDAA248"/>
    <w:rsid w:val="2BE754AA"/>
    <w:rsid w:val="2C116432"/>
    <w:rsid w:val="2C238839"/>
    <w:rsid w:val="2C2DA128"/>
    <w:rsid w:val="2C31CBC8"/>
    <w:rsid w:val="2C541CC0"/>
    <w:rsid w:val="2C5E7160"/>
    <w:rsid w:val="2C71ED71"/>
    <w:rsid w:val="2C75EBD7"/>
    <w:rsid w:val="2CB6E460"/>
    <w:rsid w:val="2CC3E77E"/>
    <w:rsid w:val="2CCCD53E"/>
    <w:rsid w:val="2CD42636"/>
    <w:rsid w:val="2CD5F514"/>
    <w:rsid w:val="2D0ABCF1"/>
    <w:rsid w:val="2D0B3C4D"/>
    <w:rsid w:val="2D384D40"/>
    <w:rsid w:val="2D953D9C"/>
    <w:rsid w:val="2DAC93FE"/>
    <w:rsid w:val="2DAE68C8"/>
    <w:rsid w:val="2DBBA72B"/>
    <w:rsid w:val="2DC98AAC"/>
    <w:rsid w:val="2DD88C88"/>
    <w:rsid w:val="2DDA348B"/>
    <w:rsid w:val="2DDBE687"/>
    <w:rsid w:val="2DEB854A"/>
    <w:rsid w:val="2DF18AED"/>
    <w:rsid w:val="2E1A6095"/>
    <w:rsid w:val="2E2499BE"/>
    <w:rsid w:val="2E379897"/>
    <w:rsid w:val="2E518FF6"/>
    <w:rsid w:val="2E5337CD"/>
    <w:rsid w:val="2E564BDD"/>
    <w:rsid w:val="2E59C392"/>
    <w:rsid w:val="2E5E4C81"/>
    <w:rsid w:val="2E6A8F2A"/>
    <w:rsid w:val="2E6F2D49"/>
    <w:rsid w:val="2E6F7728"/>
    <w:rsid w:val="2E74E42D"/>
    <w:rsid w:val="2E7FB660"/>
    <w:rsid w:val="2E98A7CF"/>
    <w:rsid w:val="2E9D9841"/>
    <w:rsid w:val="2E9F10FF"/>
    <w:rsid w:val="2EAF5DE0"/>
    <w:rsid w:val="2EC4AC02"/>
    <w:rsid w:val="2EE45C59"/>
    <w:rsid w:val="2EFBDCB3"/>
    <w:rsid w:val="2F08EBAD"/>
    <w:rsid w:val="2F4CE475"/>
    <w:rsid w:val="2F562311"/>
    <w:rsid w:val="2F6CE971"/>
    <w:rsid w:val="2F771FCC"/>
    <w:rsid w:val="2F775B11"/>
    <w:rsid w:val="2F7DE6DF"/>
    <w:rsid w:val="2F8AF2D6"/>
    <w:rsid w:val="2FB0960C"/>
    <w:rsid w:val="2FC831CA"/>
    <w:rsid w:val="2FD21693"/>
    <w:rsid w:val="2FD51ACD"/>
    <w:rsid w:val="2FD63A3C"/>
    <w:rsid w:val="2FE4591C"/>
    <w:rsid w:val="2FF3370E"/>
    <w:rsid w:val="2FF82CD3"/>
    <w:rsid w:val="2FFB02C8"/>
    <w:rsid w:val="3039ACDE"/>
    <w:rsid w:val="304D8967"/>
    <w:rsid w:val="305DA0A8"/>
    <w:rsid w:val="30834077"/>
    <w:rsid w:val="3085C096"/>
    <w:rsid w:val="3087D3FE"/>
    <w:rsid w:val="308BF74B"/>
    <w:rsid w:val="30906781"/>
    <w:rsid w:val="30B70982"/>
    <w:rsid w:val="30C0F150"/>
    <w:rsid w:val="30C18885"/>
    <w:rsid w:val="30D706F6"/>
    <w:rsid w:val="30E62520"/>
    <w:rsid w:val="3103843B"/>
    <w:rsid w:val="312FA403"/>
    <w:rsid w:val="313986EB"/>
    <w:rsid w:val="313D5305"/>
    <w:rsid w:val="3144FE0A"/>
    <w:rsid w:val="315A7FC2"/>
    <w:rsid w:val="31772173"/>
    <w:rsid w:val="31872F9F"/>
    <w:rsid w:val="318BA2D8"/>
    <w:rsid w:val="3196C300"/>
    <w:rsid w:val="31A304CD"/>
    <w:rsid w:val="31CFB119"/>
    <w:rsid w:val="31D1944D"/>
    <w:rsid w:val="31D91DCA"/>
    <w:rsid w:val="3202BBAE"/>
    <w:rsid w:val="320A175B"/>
    <w:rsid w:val="320B4391"/>
    <w:rsid w:val="321F40EF"/>
    <w:rsid w:val="323D3068"/>
    <w:rsid w:val="323E80BC"/>
    <w:rsid w:val="3241F6C0"/>
    <w:rsid w:val="326AD510"/>
    <w:rsid w:val="326DA119"/>
    <w:rsid w:val="326F61F8"/>
    <w:rsid w:val="32736869"/>
    <w:rsid w:val="32739998"/>
    <w:rsid w:val="32953C07"/>
    <w:rsid w:val="3295C00E"/>
    <w:rsid w:val="32C64197"/>
    <w:rsid w:val="32EF6103"/>
    <w:rsid w:val="32F02B4C"/>
    <w:rsid w:val="33168116"/>
    <w:rsid w:val="33186276"/>
    <w:rsid w:val="3321B97C"/>
    <w:rsid w:val="3326771A"/>
    <w:rsid w:val="333AB43B"/>
    <w:rsid w:val="3359E0E9"/>
    <w:rsid w:val="33806F64"/>
    <w:rsid w:val="339FF36F"/>
    <w:rsid w:val="33AED066"/>
    <w:rsid w:val="33BE0BBB"/>
    <w:rsid w:val="33C56653"/>
    <w:rsid w:val="33D5378B"/>
    <w:rsid w:val="33D8377B"/>
    <w:rsid w:val="33F59696"/>
    <w:rsid w:val="33F77255"/>
    <w:rsid w:val="33FB820A"/>
    <w:rsid w:val="340E5B10"/>
    <w:rsid w:val="3424C0E6"/>
    <w:rsid w:val="342A1164"/>
    <w:rsid w:val="34652C4E"/>
    <w:rsid w:val="347337F7"/>
    <w:rsid w:val="349C954F"/>
    <w:rsid w:val="34A8D56F"/>
    <w:rsid w:val="34AE715B"/>
    <w:rsid w:val="34B5A38F"/>
    <w:rsid w:val="34C6242A"/>
    <w:rsid w:val="34DBA1AE"/>
    <w:rsid w:val="34E83531"/>
    <w:rsid w:val="34F30E3B"/>
    <w:rsid w:val="3511534A"/>
    <w:rsid w:val="351C1702"/>
    <w:rsid w:val="35250CC4"/>
    <w:rsid w:val="3539B6F2"/>
    <w:rsid w:val="356255AB"/>
    <w:rsid w:val="356E0814"/>
    <w:rsid w:val="3580211E"/>
    <w:rsid w:val="3593CF52"/>
    <w:rsid w:val="35A6F7EC"/>
    <w:rsid w:val="35B5F311"/>
    <w:rsid w:val="35B94FA5"/>
    <w:rsid w:val="35E2D51F"/>
    <w:rsid w:val="35F8814C"/>
    <w:rsid w:val="35FB8D42"/>
    <w:rsid w:val="3600C528"/>
    <w:rsid w:val="361824CE"/>
    <w:rsid w:val="361F8853"/>
    <w:rsid w:val="3621A5CB"/>
    <w:rsid w:val="365E3F1A"/>
    <w:rsid w:val="3664D577"/>
    <w:rsid w:val="366B613C"/>
    <w:rsid w:val="366D597A"/>
    <w:rsid w:val="368E4886"/>
    <w:rsid w:val="36AA3F54"/>
    <w:rsid w:val="36BD4C31"/>
    <w:rsid w:val="36C93178"/>
    <w:rsid w:val="36D19FE4"/>
    <w:rsid w:val="36EC280C"/>
    <w:rsid w:val="36FE7200"/>
    <w:rsid w:val="37620CE9"/>
    <w:rsid w:val="376EDEE0"/>
    <w:rsid w:val="379ACCD2"/>
    <w:rsid w:val="37A69710"/>
    <w:rsid w:val="37C79401"/>
    <w:rsid w:val="37D1A9A5"/>
    <w:rsid w:val="37DC915C"/>
    <w:rsid w:val="37E13E1F"/>
    <w:rsid w:val="37EF3830"/>
    <w:rsid w:val="37FB51DC"/>
    <w:rsid w:val="37FC3367"/>
    <w:rsid w:val="3802396F"/>
    <w:rsid w:val="380E49A3"/>
    <w:rsid w:val="381181B1"/>
    <w:rsid w:val="38243BFD"/>
    <w:rsid w:val="38256599"/>
    <w:rsid w:val="382A67C1"/>
    <w:rsid w:val="3851AD9A"/>
    <w:rsid w:val="38581039"/>
    <w:rsid w:val="385AA0DC"/>
    <w:rsid w:val="3889FA7F"/>
    <w:rsid w:val="38AB75CD"/>
    <w:rsid w:val="38CE22C2"/>
    <w:rsid w:val="38D54189"/>
    <w:rsid w:val="38E55C16"/>
    <w:rsid w:val="38F9AA86"/>
    <w:rsid w:val="39079BE0"/>
    <w:rsid w:val="391AF311"/>
    <w:rsid w:val="391FFA7B"/>
    <w:rsid w:val="39204BC9"/>
    <w:rsid w:val="3922C554"/>
    <w:rsid w:val="39359F55"/>
    <w:rsid w:val="393C404A"/>
    <w:rsid w:val="3948B5C4"/>
    <w:rsid w:val="397EBB50"/>
    <w:rsid w:val="39841825"/>
    <w:rsid w:val="398E9561"/>
    <w:rsid w:val="3990A628"/>
    <w:rsid w:val="39931AF7"/>
    <w:rsid w:val="3994EC96"/>
    <w:rsid w:val="399A4177"/>
    <w:rsid w:val="39A6C97D"/>
    <w:rsid w:val="39BB6439"/>
    <w:rsid w:val="39C4CF7B"/>
    <w:rsid w:val="39CCCDBA"/>
    <w:rsid w:val="39D4886F"/>
    <w:rsid w:val="39DC093F"/>
    <w:rsid w:val="39E359B6"/>
    <w:rsid w:val="39EB113D"/>
    <w:rsid w:val="39FEFA7F"/>
    <w:rsid w:val="3A090DD5"/>
    <w:rsid w:val="3A21A793"/>
    <w:rsid w:val="3A25E9EC"/>
    <w:rsid w:val="3A2D48BF"/>
    <w:rsid w:val="3A2E308A"/>
    <w:rsid w:val="3A48408E"/>
    <w:rsid w:val="3A4D08A5"/>
    <w:rsid w:val="3A6BCB92"/>
    <w:rsid w:val="3A7087F1"/>
    <w:rsid w:val="3A7AB359"/>
    <w:rsid w:val="3A9A50C6"/>
    <w:rsid w:val="3ABF0C56"/>
    <w:rsid w:val="3AC59C4C"/>
    <w:rsid w:val="3AD732F1"/>
    <w:rsid w:val="3ADBD886"/>
    <w:rsid w:val="3AE09859"/>
    <w:rsid w:val="3B10A5ED"/>
    <w:rsid w:val="3B228CA8"/>
    <w:rsid w:val="3B247175"/>
    <w:rsid w:val="3B31562E"/>
    <w:rsid w:val="3B48537C"/>
    <w:rsid w:val="3B520F48"/>
    <w:rsid w:val="3B762123"/>
    <w:rsid w:val="3BB1E3B1"/>
    <w:rsid w:val="3BCD6735"/>
    <w:rsid w:val="3BE0FFEC"/>
    <w:rsid w:val="3BE24FBD"/>
    <w:rsid w:val="3BF5D130"/>
    <w:rsid w:val="3BF8CA2E"/>
    <w:rsid w:val="3C06F896"/>
    <w:rsid w:val="3C135BC1"/>
    <w:rsid w:val="3C291880"/>
    <w:rsid w:val="3C3EADB3"/>
    <w:rsid w:val="3C4B8ADE"/>
    <w:rsid w:val="3C54A659"/>
    <w:rsid w:val="3C7C1435"/>
    <w:rsid w:val="3C903E38"/>
    <w:rsid w:val="3CB80AB8"/>
    <w:rsid w:val="3CFA2411"/>
    <w:rsid w:val="3D0F251C"/>
    <w:rsid w:val="3D2B5E6C"/>
    <w:rsid w:val="3D30AB89"/>
    <w:rsid w:val="3D32F873"/>
    <w:rsid w:val="3D6EA838"/>
    <w:rsid w:val="3D7009F9"/>
    <w:rsid w:val="3D726FB7"/>
    <w:rsid w:val="3D7737CE"/>
    <w:rsid w:val="3D931680"/>
    <w:rsid w:val="3DC01F39"/>
    <w:rsid w:val="3DE8B459"/>
    <w:rsid w:val="3DF2D1E0"/>
    <w:rsid w:val="3DFCA596"/>
    <w:rsid w:val="3E038C3F"/>
    <w:rsid w:val="3E080AE1"/>
    <w:rsid w:val="3E419C85"/>
    <w:rsid w:val="3E494C50"/>
    <w:rsid w:val="3E49ADFB"/>
    <w:rsid w:val="3E59743B"/>
    <w:rsid w:val="3E68337E"/>
    <w:rsid w:val="3E6ED512"/>
    <w:rsid w:val="3E7416D9"/>
    <w:rsid w:val="3E85271B"/>
    <w:rsid w:val="3E98E8CF"/>
    <w:rsid w:val="3EA54F94"/>
    <w:rsid w:val="3EADF9E8"/>
    <w:rsid w:val="3EBFC02E"/>
    <w:rsid w:val="3EFC296F"/>
    <w:rsid w:val="3F0A4F9C"/>
    <w:rsid w:val="3F2D5553"/>
    <w:rsid w:val="3F33859F"/>
    <w:rsid w:val="3F46DDF0"/>
    <w:rsid w:val="3F63777E"/>
    <w:rsid w:val="3F6417CF"/>
    <w:rsid w:val="3F6BDC6E"/>
    <w:rsid w:val="3F8FB272"/>
    <w:rsid w:val="3F96403B"/>
    <w:rsid w:val="3F99FEA5"/>
    <w:rsid w:val="3F9BA45E"/>
    <w:rsid w:val="3FA6E2AA"/>
    <w:rsid w:val="3FB313D3"/>
    <w:rsid w:val="3FC78066"/>
    <w:rsid w:val="3FD28D06"/>
    <w:rsid w:val="3FDCC1FD"/>
    <w:rsid w:val="4007C741"/>
    <w:rsid w:val="40230F1A"/>
    <w:rsid w:val="4027CB9B"/>
    <w:rsid w:val="402811E0"/>
    <w:rsid w:val="404A22E7"/>
    <w:rsid w:val="404FF8CF"/>
    <w:rsid w:val="40548C56"/>
    <w:rsid w:val="407200FD"/>
    <w:rsid w:val="408D90D7"/>
    <w:rsid w:val="40BB8047"/>
    <w:rsid w:val="40C1E116"/>
    <w:rsid w:val="40C43F8D"/>
    <w:rsid w:val="40C88CD2"/>
    <w:rsid w:val="41073565"/>
    <w:rsid w:val="412445E1"/>
    <w:rsid w:val="4131309B"/>
    <w:rsid w:val="41354C5C"/>
    <w:rsid w:val="413C1F72"/>
    <w:rsid w:val="416559DD"/>
    <w:rsid w:val="417A2ECE"/>
    <w:rsid w:val="419BDF5F"/>
    <w:rsid w:val="41A5F487"/>
    <w:rsid w:val="41B76070"/>
    <w:rsid w:val="41C524A2"/>
    <w:rsid w:val="41CA309D"/>
    <w:rsid w:val="41CB057E"/>
    <w:rsid w:val="41D84E13"/>
    <w:rsid w:val="41E29949"/>
    <w:rsid w:val="41F139D2"/>
    <w:rsid w:val="420FFC6D"/>
    <w:rsid w:val="4217A00A"/>
    <w:rsid w:val="423553A6"/>
    <w:rsid w:val="4239DD7C"/>
    <w:rsid w:val="42546F55"/>
    <w:rsid w:val="425960BD"/>
    <w:rsid w:val="4272D3E6"/>
    <w:rsid w:val="42756595"/>
    <w:rsid w:val="42848094"/>
    <w:rsid w:val="428D46FB"/>
    <w:rsid w:val="42B0E69E"/>
    <w:rsid w:val="42B97247"/>
    <w:rsid w:val="430188BE"/>
    <w:rsid w:val="430C39A2"/>
    <w:rsid w:val="431F912A"/>
    <w:rsid w:val="43305740"/>
    <w:rsid w:val="433A6DDB"/>
    <w:rsid w:val="43420B2A"/>
    <w:rsid w:val="4356DD69"/>
    <w:rsid w:val="43608160"/>
    <w:rsid w:val="4361447A"/>
    <w:rsid w:val="4388BCEE"/>
    <w:rsid w:val="43D307D9"/>
    <w:rsid w:val="43DF755F"/>
    <w:rsid w:val="43E06614"/>
    <w:rsid w:val="43EB958D"/>
    <w:rsid w:val="43F2BA3C"/>
    <w:rsid w:val="43F82BB2"/>
    <w:rsid w:val="43F947C0"/>
    <w:rsid w:val="440E1C9A"/>
    <w:rsid w:val="44547A8D"/>
    <w:rsid w:val="4457E358"/>
    <w:rsid w:val="4462EA58"/>
    <w:rsid w:val="4478B1D4"/>
    <w:rsid w:val="44B736FD"/>
    <w:rsid w:val="44C6A949"/>
    <w:rsid w:val="44D7D3CD"/>
    <w:rsid w:val="44DED2DC"/>
    <w:rsid w:val="44E057D0"/>
    <w:rsid w:val="44E1AFA4"/>
    <w:rsid w:val="44EE1A43"/>
    <w:rsid w:val="45059A9D"/>
    <w:rsid w:val="450A46AD"/>
    <w:rsid w:val="4522EF20"/>
    <w:rsid w:val="4523BB28"/>
    <w:rsid w:val="452E20C6"/>
    <w:rsid w:val="45307EE8"/>
    <w:rsid w:val="4549A489"/>
    <w:rsid w:val="454EB5E0"/>
    <w:rsid w:val="4550FFCF"/>
    <w:rsid w:val="457954D7"/>
    <w:rsid w:val="457D1EB4"/>
    <w:rsid w:val="457F16F2"/>
    <w:rsid w:val="458B536A"/>
    <w:rsid w:val="458EBF2D"/>
    <w:rsid w:val="459277A6"/>
    <w:rsid w:val="45A6F508"/>
    <w:rsid w:val="45B78C0E"/>
    <w:rsid w:val="45BF7B55"/>
    <w:rsid w:val="45E6638A"/>
    <w:rsid w:val="4609D7F2"/>
    <w:rsid w:val="460C90A5"/>
    <w:rsid w:val="460DBDD6"/>
    <w:rsid w:val="46214F17"/>
    <w:rsid w:val="464827B4"/>
    <w:rsid w:val="466D4A3F"/>
    <w:rsid w:val="4682C076"/>
    <w:rsid w:val="4685857B"/>
    <w:rsid w:val="46893FBB"/>
    <w:rsid w:val="468CFE61"/>
    <w:rsid w:val="46964CAD"/>
    <w:rsid w:val="46BFBD5F"/>
    <w:rsid w:val="46CB7423"/>
    <w:rsid w:val="46D259F7"/>
    <w:rsid w:val="46D6609E"/>
    <w:rsid w:val="46D889EE"/>
    <w:rsid w:val="46DA6586"/>
    <w:rsid w:val="46E48E56"/>
    <w:rsid w:val="46E4CC97"/>
    <w:rsid w:val="46F76AEE"/>
    <w:rsid w:val="470C0A5C"/>
    <w:rsid w:val="471F5C75"/>
    <w:rsid w:val="4728F064"/>
    <w:rsid w:val="475F8436"/>
    <w:rsid w:val="476C0E19"/>
    <w:rsid w:val="47783853"/>
    <w:rsid w:val="479035C3"/>
    <w:rsid w:val="47A2784C"/>
    <w:rsid w:val="47B4861F"/>
    <w:rsid w:val="47DD21EB"/>
    <w:rsid w:val="47DE250C"/>
    <w:rsid w:val="47ED3C6C"/>
    <w:rsid w:val="4801EAC9"/>
    <w:rsid w:val="48458801"/>
    <w:rsid w:val="4863AD1C"/>
    <w:rsid w:val="486481FD"/>
    <w:rsid w:val="48677D38"/>
    <w:rsid w:val="48819AD6"/>
    <w:rsid w:val="489EF9F1"/>
    <w:rsid w:val="489F2CC2"/>
    <w:rsid w:val="48A3E3C5"/>
    <w:rsid w:val="48B18DB0"/>
    <w:rsid w:val="48CAFCFF"/>
    <w:rsid w:val="48E8273F"/>
    <w:rsid w:val="48FB3F64"/>
    <w:rsid w:val="48FFAAB2"/>
    <w:rsid w:val="49115E9C"/>
    <w:rsid w:val="493B34F0"/>
    <w:rsid w:val="4944D472"/>
    <w:rsid w:val="494D2734"/>
    <w:rsid w:val="4977BBA9"/>
    <w:rsid w:val="49788F8F"/>
    <w:rsid w:val="4983203C"/>
    <w:rsid w:val="4983FE52"/>
    <w:rsid w:val="499A0A19"/>
    <w:rsid w:val="49AFBCD7"/>
    <w:rsid w:val="49CC4AB6"/>
    <w:rsid w:val="49CECE44"/>
    <w:rsid w:val="49D183DC"/>
    <w:rsid w:val="49E67D59"/>
    <w:rsid w:val="49F6375B"/>
    <w:rsid w:val="49FEB42F"/>
    <w:rsid w:val="4A3B949B"/>
    <w:rsid w:val="4A431CC5"/>
    <w:rsid w:val="4A4A36E3"/>
    <w:rsid w:val="4A5A10F4"/>
    <w:rsid w:val="4A5E2074"/>
    <w:rsid w:val="4A72DE47"/>
    <w:rsid w:val="4A7BF9C2"/>
    <w:rsid w:val="4A935991"/>
    <w:rsid w:val="4A9D35E8"/>
    <w:rsid w:val="4AB3C247"/>
    <w:rsid w:val="4AB7D536"/>
    <w:rsid w:val="4ACED284"/>
    <w:rsid w:val="4AFF10DD"/>
    <w:rsid w:val="4AFF8319"/>
    <w:rsid w:val="4B04648D"/>
    <w:rsid w:val="4B2F8964"/>
    <w:rsid w:val="4B3AF72C"/>
    <w:rsid w:val="4B3DEA69"/>
    <w:rsid w:val="4B465586"/>
    <w:rsid w:val="4B471551"/>
    <w:rsid w:val="4B484159"/>
    <w:rsid w:val="4B66D2E5"/>
    <w:rsid w:val="4B7FEE1B"/>
    <w:rsid w:val="4B90235F"/>
    <w:rsid w:val="4B93D632"/>
    <w:rsid w:val="4BA5B479"/>
    <w:rsid w:val="4BDF39E0"/>
    <w:rsid w:val="4BF051AF"/>
    <w:rsid w:val="4BF08385"/>
    <w:rsid w:val="4BFA0F3A"/>
    <w:rsid w:val="4BFD9B0F"/>
    <w:rsid w:val="4C262CF5"/>
    <w:rsid w:val="4C3189F8"/>
    <w:rsid w:val="4C600FDA"/>
    <w:rsid w:val="4C63A6E6"/>
    <w:rsid w:val="4C6B4DCE"/>
    <w:rsid w:val="4C8FE3F3"/>
    <w:rsid w:val="4CAC6FEC"/>
    <w:rsid w:val="4CB6FDE3"/>
    <w:rsid w:val="4CBC49FD"/>
    <w:rsid w:val="4CC39637"/>
    <w:rsid w:val="4CC991E4"/>
    <w:rsid w:val="4CCB1F16"/>
    <w:rsid w:val="4CD013D9"/>
    <w:rsid w:val="4CE61778"/>
    <w:rsid w:val="4D15E05A"/>
    <w:rsid w:val="4D3429E2"/>
    <w:rsid w:val="4D3D488A"/>
    <w:rsid w:val="4D4190E3"/>
    <w:rsid w:val="4D6347DB"/>
    <w:rsid w:val="4D6AE330"/>
    <w:rsid w:val="4D92EFBF"/>
    <w:rsid w:val="4DAC9F80"/>
    <w:rsid w:val="4DDD47DB"/>
    <w:rsid w:val="4DF301CD"/>
    <w:rsid w:val="4E65F24E"/>
    <w:rsid w:val="4E703CC8"/>
    <w:rsid w:val="4ECEFE24"/>
    <w:rsid w:val="4ED7E6CE"/>
    <w:rsid w:val="4EF04DBB"/>
    <w:rsid w:val="4F02EC12"/>
    <w:rsid w:val="4F260DA4"/>
    <w:rsid w:val="4F31A564"/>
    <w:rsid w:val="4F39F3E7"/>
    <w:rsid w:val="4F4AC586"/>
    <w:rsid w:val="4F58548A"/>
    <w:rsid w:val="4F5980C0"/>
    <w:rsid w:val="4F613B75"/>
    <w:rsid w:val="4F886FE7"/>
    <w:rsid w:val="4F96F18A"/>
    <w:rsid w:val="4F990014"/>
    <w:rsid w:val="4F9C8130"/>
    <w:rsid w:val="4FC40378"/>
    <w:rsid w:val="4FC4274D"/>
    <w:rsid w:val="4FD1BAB4"/>
    <w:rsid w:val="4FDC5807"/>
    <w:rsid w:val="4FE88E26"/>
    <w:rsid w:val="50148D90"/>
    <w:rsid w:val="50349CDA"/>
    <w:rsid w:val="5049EC6E"/>
    <w:rsid w:val="5055CF4F"/>
    <w:rsid w:val="505839AB"/>
    <w:rsid w:val="507C583E"/>
    <w:rsid w:val="50B22B32"/>
    <w:rsid w:val="50B2B41A"/>
    <w:rsid w:val="50BC8BC8"/>
    <w:rsid w:val="50CC753B"/>
    <w:rsid w:val="50F7EE29"/>
    <w:rsid w:val="50FEAA05"/>
    <w:rsid w:val="50FF0ADE"/>
    <w:rsid w:val="5100B86E"/>
    <w:rsid w:val="512C4A92"/>
    <w:rsid w:val="51454C78"/>
    <w:rsid w:val="515AFA10"/>
    <w:rsid w:val="5161B78B"/>
    <w:rsid w:val="51709E76"/>
    <w:rsid w:val="5175A237"/>
    <w:rsid w:val="51A0EE05"/>
    <w:rsid w:val="51B49946"/>
    <w:rsid w:val="51D47665"/>
    <w:rsid w:val="51D99B61"/>
    <w:rsid w:val="51F1C291"/>
    <w:rsid w:val="51FA8D65"/>
    <w:rsid w:val="51FB7F9A"/>
    <w:rsid w:val="521B0B83"/>
    <w:rsid w:val="521FF919"/>
    <w:rsid w:val="524A3414"/>
    <w:rsid w:val="5250E812"/>
    <w:rsid w:val="52534DD0"/>
    <w:rsid w:val="5258F7CA"/>
    <w:rsid w:val="5265FECA"/>
    <w:rsid w:val="526672C5"/>
    <w:rsid w:val="526CF321"/>
    <w:rsid w:val="52735DC0"/>
    <w:rsid w:val="52804B52"/>
    <w:rsid w:val="52954F90"/>
    <w:rsid w:val="52D05FB6"/>
    <w:rsid w:val="52E5990B"/>
    <w:rsid w:val="52F707DA"/>
    <w:rsid w:val="5308DA29"/>
    <w:rsid w:val="53386761"/>
    <w:rsid w:val="534D7B74"/>
    <w:rsid w:val="5350E91E"/>
    <w:rsid w:val="536661FD"/>
    <w:rsid w:val="536DB710"/>
    <w:rsid w:val="537E8D40"/>
    <w:rsid w:val="53994839"/>
    <w:rsid w:val="53B798DB"/>
    <w:rsid w:val="53BD5D11"/>
    <w:rsid w:val="53C05D01"/>
    <w:rsid w:val="53C9B401"/>
    <w:rsid w:val="53CA6706"/>
    <w:rsid w:val="53CD3AE2"/>
    <w:rsid w:val="53DB3146"/>
    <w:rsid w:val="53E29AD9"/>
    <w:rsid w:val="53E4965D"/>
    <w:rsid w:val="54260228"/>
    <w:rsid w:val="5462D575"/>
    <w:rsid w:val="5486ECE7"/>
    <w:rsid w:val="54900084"/>
    <w:rsid w:val="54B67CD9"/>
    <w:rsid w:val="54BA96C6"/>
    <w:rsid w:val="54D405EC"/>
    <w:rsid w:val="54E3AD2C"/>
    <w:rsid w:val="54F15974"/>
    <w:rsid w:val="54F2257C"/>
    <w:rsid w:val="54F6114C"/>
    <w:rsid w:val="55183292"/>
    <w:rsid w:val="55244C3E"/>
    <w:rsid w:val="5526F0F8"/>
    <w:rsid w:val="553FA947"/>
    <w:rsid w:val="55478DF4"/>
    <w:rsid w:val="55582DA4"/>
    <w:rsid w:val="555BEAFA"/>
    <w:rsid w:val="555DC0F9"/>
    <w:rsid w:val="556FC0CC"/>
    <w:rsid w:val="557156F6"/>
    <w:rsid w:val="5574CAC5"/>
    <w:rsid w:val="5592979D"/>
    <w:rsid w:val="5599F581"/>
    <w:rsid w:val="559A31E2"/>
    <w:rsid w:val="55A6314F"/>
    <w:rsid w:val="55B64DE5"/>
    <w:rsid w:val="55CEB94B"/>
    <w:rsid w:val="55D98E69"/>
    <w:rsid w:val="55DFB6B9"/>
    <w:rsid w:val="55ECD8DB"/>
    <w:rsid w:val="55FBE8A3"/>
    <w:rsid w:val="5622FFC9"/>
    <w:rsid w:val="564802CF"/>
    <w:rsid w:val="56618171"/>
    <w:rsid w:val="56653AAC"/>
    <w:rsid w:val="568AFD7A"/>
    <w:rsid w:val="5692BC35"/>
    <w:rsid w:val="56A075AC"/>
    <w:rsid w:val="56A132C6"/>
    <w:rsid w:val="56B2C7AC"/>
    <w:rsid w:val="56BA8EB8"/>
    <w:rsid w:val="56C143BA"/>
    <w:rsid w:val="56EEB7A9"/>
    <w:rsid w:val="56FFFEBA"/>
    <w:rsid w:val="57177C5A"/>
    <w:rsid w:val="572F379F"/>
    <w:rsid w:val="57386CED"/>
    <w:rsid w:val="5742B2D2"/>
    <w:rsid w:val="5751BB5E"/>
    <w:rsid w:val="576F386A"/>
    <w:rsid w:val="5770E2A0"/>
    <w:rsid w:val="5773CC65"/>
    <w:rsid w:val="57BBCDDC"/>
    <w:rsid w:val="57D87479"/>
    <w:rsid w:val="57FBC453"/>
    <w:rsid w:val="580974BB"/>
    <w:rsid w:val="58115D92"/>
    <w:rsid w:val="58380220"/>
    <w:rsid w:val="58569EE0"/>
    <w:rsid w:val="589BD773"/>
    <w:rsid w:val="589C282F"/>
    <w:rsid w:val="58A64939"/>
    <w:rsid w:val="58CF06E9"/>
    <w:rsid w:val="58D4D1DD"/>
    <w:rsid w:val="58DBB970"/>
    <w:rsid w:val="58DEEB36"/>
    <w:rsid w:val="590B65AC"/>
    <w:rsid w:val="591BA464"/>
    <w:rsid w:val="592543E6"/>
    <w:rsid w:val="59276134"/>
    <w:rsid w:val="5946D503"/>
    <w:rsid w:val="597294E0"/>
    <w:rsid w:val="59927AD8"/>
    <w:rsid w:val="5999ED51"/>
    <w:rsid w:val="59A2E786"/>
    <w:rsid w:val="59DEBEFC"/>
    <w:rsid w:val="59E978A6"/>
    <w:rsid w:val="59EC9D9A"/>
    <w:rsid w:val="59F0046B"/>
    <w:rsid w:val="59F29421"/>
    <w:rsid w:val="5A1767AF"/>
    <w:rsid w:val="5A1EDBC6"/>
    <w:rsid w:val="5A5E3877"/>
    <w:rsid w:val="5A63722B"/>
    <w:rsid w:val="5A68E948"/>
    <w:rsid w:val="5A752CEC"/>
    <w:rsid w:val="5A77EE78"/>
    <w:rsid w:val="5A895C20"/>
    <w:rsid w:val="5A8D600B"/>
    <w:rsid w:val="5A9C3D1A"/>
    <w:rsid w:val="5AA0269D"/>
    <w:rsid w:val="5AED3CE8"/>
    <w:rsid w:val="5B1B3689"/>
    <w:rsid w:val="5B3284B1"/>
    <w:rsid w:val="5B8D5DCB"/>
    <w:rsid w:val="5BAAC82E"/>
    <w:rsid w:val="5BC6E438"/>
    <w:rsid w:val="5BD284D1"/>
    <w:rsid w:val="5BE725FE"/>
    <w:rsid w:val="5BEB204E"/>
    <w:rsid w:val="5BF00FA3"/>
    <w:rsid w:val="5BF4A9CE"/>
    <w:rsid w:val="5C028406"/>
    <w:rsid w:val="5C10A44B"/>
    <w:rsid w:val="5C3F26D4"/>
    <w:rsid w:val="5C4CE09F"/>
    <w:rsid w:val="5C558363"/>
    <w:rsid w:val="5C85577C"/>
    <w:rsid w:val="5C9D50E9"/>
    <w:rsid w:val="5C9D9A11"/>
    <w:rsid w:val="5CA079D6"/>
    <w:rsid w:val="5CCAC724"/>
    <w:rsid w:val="5CCC1E26"/>
    <w:rsid w:val="5CDA1203"/>
    <w:rsid w:val="5CEF23B8"/>
    <w:rsid w:val="5CF9A0F4"/>
    <w:rsid w:val="5D0683EE"/>
    <w:rsid w:val="5D162CED"/>
    <w:rsid w:val="5D23070E"/>
    <w:rsid w:val="5D2AA3B3"/>
    <w:rsid w:val="5D4D4209"/>
    <w:rsid w:val="5D52387B"/>
    <w:rsid w:val="5D817ACB"/>
    <w:rsid w:val="5D960331"/>
    <w:rsid w:val="5DAAFCAE"/>
    <w:rsid w:val="5DDE3F57"/>
    <w:rsid w:val="5DE9A446"/>
    <w:rsid w:val="5DF58248"/>
    <w:rsid w:val="5E031979"/>
    <w:rsid w:val="5E2DEE8D"/>
    <w:rsid w:val="5E32CC61"/>
    <w:rsid w:val="5E3559CB"/>
    <w:rsid w:val="5E3CD3F1"/>
    <w:rsid w:val="5E4FB5DA"/>
    <w:rsid w:val="5E51D49A"/>
    <w:rsid w:val="5E638383"/>
    <w:rsid w:val="5E8B58C0"/>
    <w:rsid w:val="5E95D2FF"/>
    <w:rsid w:val="5EA31F5C"/>
    <w:rsid w:val="5EA4254F"/>
    <w:rsid w:val="5EB7CFF8"/>
    <w:rsid w:val="5EB8F693"/>
    <w:rsid w:val="5ECA56C0"/>
    <w:rsid w:val="5EE52AC7"/>
    <w:rsid w:val="5EEA0F84"/>
    <w:rsid w:val="5EF2C35B"/>
    <w:rsid w:val="5EF32A60"/>
    <w:rsid w:val="5F251470"/>
    <w:rsid w:val="5F2A21B6"/>
    <w:rsid w:val="5F469D3E"/>
    <w:rsid w:val="5F486B3E"/>
    <w:rsid w:val="5F7ECA7D"/>
    <w:rsid w:val="5F8487F2"/>
    <w:rsid w:val="5F893771"/>
    <w:rsid w:val="5FB3D22B"/>
    <w:rsid w:val="5FC41B7B"/>
    <w:rsid w:val="5FC583BF"/>
    <w:rsid w:val="5FC7998C"/>
    <w:rsid w:val="5FDF1BE7"/>
    <w:rsid w:val="5FF03204"/>
    <w:rsid w:val="5FF4DCD9"/>
    <w:rsid w:val="6000FED5"/>
    <w:rsid w:val="600C3B57"/>
    <w:rsid w:val="6014501B"/>
    <w:rsid w:val="607B7E02"/>
    <w:rsid w:val="607FD7CB"/>
    <w:rsid w:val="60BB3F78"/>
    <w:rsid w:val="60CB1342"/>
    <w:rsid w:val="60D6283E"/>
    <w:rsid w:val="60EDEE92"/>
    <w:rsid w:val="60EE9109"/>
    <w:rsid w:val="60F4F36A"/>
    <w:rsid w:val="6111605F"/>
    <w:rsid w:val="6129667F"/>
    <w:rsid w:val="6141D069"/>
    <w:rsid w:val="6142F168"/>
    <w:rsid w:val="61509284"/>
    <w:rsid w:val="6152D76B"/>
    <w:rsid w:val="61663FD6"/>
    <w:rsid w:val="61797AC7"/>
    <w:rsid w:val="61D946FC"/>
    <w:rsid w:val="61DDA11B"/>
    <w:rsid w:val="61F83AC2"/>
    <w:rsid w:val="62013D6E"/>
    <w:rsid w:val="620BEC80"/>
    <w:rsid w:val="6222D337"/>
    <w:rsid w:val="6225FBAD"/>
    <w:rsid w:val="624159ED"/>
    <w:rsid w:val="624EA681"/>
    <w:rsid w:val="62567315"/>
    <w:rsid w:val="62696676"/>
    <w:rsid w:val="626A1F3D"/>
    <w:rsid w:val="62A0A1F9"/>
    <w:rsid w:val="62A0BC41"/>
    <w:rsid w:val="62B62DD6"/>
    <w:rsid w:val="62D4AA2F"/>
    <w:rsid w:val="62E1E129"/>
    <w:rsid w:val="62E55667"/>
    <w:rsid w:val="62F3680C"/>
    <w:rsid w:val="62F3AC2B"/>
    <w:rsid w:val="62F3C6D9"/>
    <w:rsid w:val="63297B2F"/>
    <w:rsid w:val="635DE93B"/>
    <w:rsid w:val="6383DADA"/>
    <w:rsid w:val="63866B5F"/>
    <w:rsid w:val="63C16687"/>
    <w:rsid w:val="63E5C364"/>
    <w:rsid w:val="63E5EAA2"/>
    <w:rsid w:val="63E705C5"/>
    <w:rsid w:val="63E8C09A"/>
    <w:rsid w:val="63EB994C"/>
    <w:rsid w:val="63F47BD1"/>
    <w:rsid w:val="642206EB"/>
    <w:rsid w:val="6424F7DC"/>
    <w:rsid w:val="6451A428"/>
    <w:rsid w:val="6474C773"/>
    <w:rsid w:val="64752188"/>
    <w:rsid w:val="64835FD6"/>
    <w:rsid w:val="64A45D47"/>
    <w:rsid w:val="64A77BDF"/>
    <w:rsid w:val="64A87E31"/>
    <w:rsid w:val="64EDC023"/>
    <w:rsid w:val="64F97528"/>
    <w:rsid w:val="65135B40"/>
    <w:rsid w:val="655CE775"/>
    <w:rsid w:val="6584DDE8"/>
    <w:rsid w:val="659328AB"/>
    <w:rsid w:val="65B6B0A3"/>
    <w:rsid w:val="65CCB9B0"/>
    <w:rsid w:val="66087663"/>
    <w:rsid w:val="660EB369"/>
    <w:rsid w:val="661B8D8A"/>
    <w:rsid w:val="6628E7B4"/>
    <w:rsid w:val="666C3A42"/>
    <w:rsid w:val="668152C3"/>
    <w:rsid w:val="668D436B"/>
    <w:rsid w:val="668E4B49"/>
    <w:rsid w:val="66919640"/>
    <w:rsid w:val="66969485"/>
    <w:rsid w:val="66A17F59"/>
    <w:rsid w:val="66AD4656"/>
    <w:rsid w:val="66EAF740"/>
    <w:rsid w:val="66F6BF98"/>
    <w:rsid w:val="675B3314"/>
    <w:rsid w:val="676EFD89"/>
    <w:rsid w:val="67991EFB"/>
    <w:rsid w:val="67A4F424"/>
    <w:rsid w:val="67BA9B09"/>
    <w:rsid w:val="67C70E04"/>
    <w:rsid w:val="67C733C4"/>
    <w:rsid w:val="67DB8A51"/>
    <w:rsid w:val="67EB8783"/>
    <w:rsid w:val="67EFFD45"/>
    <w:rsid w:val="67F3D8B5"/>
    <w:rsid w:val="6804F166"/>
    <w:rsid w:val="680B31D1"/>
    <w:rsid w:val="681A7633"/>
    <w:rsid w:val="6828B925"/>
    <w:rsid w:val="683B5C71"/>
    <w:rsid w:val="68663A14"/>
    <w:rsid w:val="6883FC2F"/>
    <w:rsid w:val="688B9F8D"/>
    <w:rsid w:val="68941859"/>
    <w:rsid w:val="68CAE948"/>
    <w:rsid w:val="68DD170A"/>
    <w:rsid w:val="68E36656"/>
    <w:rsid w:val="68F9AC81"/>
    <w:rsid w:val="690A3B4E"/>
    <w:rsid w:val="690C338C"/>
    <w:rsid w:val="6936F630"/>
    <w:rsid w:val="693CDD21"/>
    <w:rsid w:val="6948BB39"/>
    <w:rsid w:val="69578F02"/>
    <w:rsid w:val="6973F3E3"/>
    <w:rsid w:val="6983CEAA"/>
    <w:rsid w:val="6997C546"/>
    <w:rsid w:val="69A011C6"/>
    <w:rsid w:val="69A39D9B"/>
    <w:rsid w:val="69A9407F"/>
    <w:rsid w:val="6A06E01E"/>
    <w:rsid w:val="6A182D55"/>
    <w:rsid w:val="6A2FE8BA"/>
    <w:rsid w:val="6A313FAB"/>
    <w:rsid w:val="6A5BB833"/>
    <w:rsid w:val="6A5E2063"/>
    <w:rsid w:val="6A5F582C"/>
    <w:rsid w:val="6A64EBB7"/>
    <w:rsid w:val="6A6EDC76"/>
    <w:rsid w:val="6A73B69C"/>
    <w:rsid w:val="6A9BC144"/>
    <w:rsid w:val="6AB810CF"/>
    <w:rsid w:val="6ABCE0C4"/>
    <w:rsid w:val="6ACE024E"/>
    <w:rsid w:val="6AD2FA7C"/>
    <w:rsid w:val="6AF48E53"/>
    <w:rsid w:val="6AF5CA39"/>
    <w:rsid w:val="6AFDF35E"/>
    <w:rsid w:val="6B006C55"/>
    <w:rsid w:val="6B158863"/>
    <w:rsid w:val="6B1DCB70"/>
    <w:rsid w:val="6B2B6606"/>
    <w:rsid w:val="6B5CCFD1"/>
    <w:rsid w:val="6B7C5609"/>
    <w:rsid w:val="6B8D5928"/>
    <w:rsid w:val="6B9642CD"/>
    <w:rsid w:val="6BA56313"/>
    <w:rsid w:val="6BAB46E2"/>
    <w:rsid w:val="6BB2DDAD"/>
    <w:rsid w:val="6BC0AE2F"/>
    <w:rsid w:val="6BC407DE"/>
    <w:rsid w:val="6BEC7D6C"/>
    <w:rsid w:val="6BEE5904"/>
    <w:rsid w:val="6C0648D3"/>
    <w:rsid w:val="6C11284F"/>
    <w:rsid w:val="6C25DA7D"/>
    <w:rsid w:val="6C306E68"/>
    <w:rsid w:val="6C41658E"/>
    <w:rsid w:val="6C45D81F"/>
    <w:rsid w:val="6C46459F"/>
    <w:rsid w:val="6C687FFF"/>
    <w:rsid w:val="6C7D42E7"/>
    <w:rsid w:val="6C81899B"/>
    <w:rsid w:val="6C8AA9DB"/>
    <w:rsid w:val="6C922421"/>
    <w:rsid w:val="6CAA6F26"/>
    <w:rsid w:val="6CB50A09"/>
    <w:rsid w:val="6CC7229A"/>
    <w:rsid w:val="6CD126C3"/>
    <w:rsid w:val="6CD53643"/>
    <w:rsid w:val="6CDC4BD9"/>
    <w:rsid w:val="6CF0B2AC"/>
    <w:rsid w:val="6D051332"/>
    <w:rsid w:val="6D1AE30F"/>
    <w:rsid w:val="6D1DFA53"/>
    <w:rsid w:val="6D38E535"/>
    <w:rsid w:val="6D4AA318"/>
    <w:rsid w:val="6D50658F"/>
    <w:rsid w:val="6D565230"/>
    <w:rsid w:val="6DAF67B7"/>
    <w:rsid w:val="6DCF0BE8"/>
    <w:rsid w:val="6DDF6D7E"/>
    <w:rsid w:val="6DF6310A"/>
    <w:rsid w:val="6E0B7020"/>
    <w:rsid w:val="6E0FDDCB"/>
    <w:rsid w:val="6E1306B8"/>
    <w:rsid w:val="6E5050E3"/>
    <w:rsid w:val="6E52D2A8"/>
    <w:rsid w:val="6E5B897C"/>
    <w:rsid w:val="6E639977"/>
    <w:rsid w:val="6E652227"/>
    <w:rsid w:val="6E7C1601"/>
    <w:rsid w:val="6E8BC582"/>
    <w:rsid w:val="6EA513F2"/>
    <w:rsid w:val="6EB3A0AE"/>
    <w:rsid w:val="6ECA7DBE"/>
    <w:rsid w:val="6ED04074"/>
    <w:rsid w:val="6EDE8FC7"/>
    <w:rsid w:val="6EF6B596"/>
    <w:rsid w:val="6EF87899"/>
    <w:rsid w:val="6F01D17D"/>
    <w:rsid w:val="6F19CAEA"/>
    <w:rsid w:val="6F565F8B"/>
    <w:rsid w:val="6F5775C5"/>
    <w:rsid w:val="6F6B167A"/>
    <w:rsid w:val="6F7C52CA"/>
    <w:rsid w:val="6F8052F6"/>
    <w:rsid w:val="6F8121EC"/>
    <w:rsid w:val="6F9A2A16"/>
    <w:rsid w:val="6F9C2FE9"/>
    <w:rsid w:val="6FA40331"/>
    <w:rsid w:val="6FA7B3DC"/>
    <w:rsid w:val="6FB892E5"/>
    <w:rsid w:val="70336822"/>
    <w:rsid w:val="703AC60E"/>
    <w:rsid w:val="705B3B51"/>
    <w:rsid w:val="706BC9D3"/>
    <w:rsid w:val="707066F3"/>
    <w:rsid w:val="707E123A"/>
    <w:rsid w:val="7083CEEC"/>
    <w:rsid w:val="7094C9AC"/>
    <w:rsid w:val="7097F1F0"/>
    <w:rsid w:val="709ABC28"/>
    <w:rsid w:val="70A248D6"/>
    <w:rsid w:val="70AC7FD0"/>
    <w:rsid w:val="70CE03F7"/>
    <w:rsid w:val="70E72C54"/>
    <w:rsid w:val="70F52D15"/>
    <w:rsid w:val="71080E6B"/>
    <w:rsid w:val="711C8F74"/>
    <w:rsid w:val="711D9F60"/>
    <w:rsid w:val="712DEEE3"/>
    <w:rsid w:val="7132766C"/>
    <w:rsid w:val="71480D2C"/>
    <w:rsid w:val="714AE8BF"/>
    <w:rsid w:val="71527196"/>
    <w:rsid w:val="71545A6D"/>
    <w:rsid w:val="7160BC1A"/>
    <w:rsid w:val="716E18B4"/>
    <w:rsid w:val="717454D1"/>
    <w:rsid w:val="7180A212"/>
    <w:rsid w:val="71974BCC"/>
    <w:rsid w:val="71977D12"/>
    <w:rsid w:val="71D5C2C0"/>
    <w:rsid w:val="71D802C8"/>
    <w:rsid w:val="720157C0"/>
    <w:rsid w:val="720192DA"/>
    <w:rsid w:val="721D53C6"/>
    <w:rsid w:val="722FA0E7"/>
    <w:rsid w:val="72412CF4"/>
    <w:rsid w:val="7257791E"/>
    <w:rsid w:val="7258250F"/>
    <w:rsid w:val="72946E7A"/>
    <w:rsid w:val="729A44F1"/>
    <w:rsid w:val="729A5317"/>
    <w:rsid w:val="72A118E3"/>
    <w:rsid w:val="72A66E82"/>
    <w:rsid w:val="72A6B548"/>
    <w:rsid w:val="72C1FE5C"/>
    <w:rsid w:val="72D40C55"/>
    <w:rsid w:val="72D66BF4"/>
    <w:rsid w:val="72D75A7E"/>
    <w:rsid w:val="72EC05C2"/>
    <w:rsid w:val="72EC7A19"/>
    <w:rsid w:val="72FBA429"/>
    <w:rsid w:val="73029D6E"/>
    <w:rsid w:val="730A45D3"/>
    <w:rsid w:val="731A67C9"/>
    <w:rsid w:val="73201DA8"/>
    <w:rsid w:val="73354501"/>
    <w:rsid w:val="7335B783"/>
    <w:rsid w:val="733B3D48"/>
    <w:rsid w:val="733F3957"/>
    <w:rsid w:val="7346424C"/>
    <w:rsid w:val="735ACA2C"/>
    <w:rsid w:val="73608110"/>
    <w:rsid w:val="737A807E"/>
    <w:rsid w:val="737F89ED"/>
    <w:rsid w:val="739C0275"/>
    <w:rsid w:val="739C342D"/>
    <w:rsid w:val="73A5DAC3"/>
    <w:rsid w:val="73E38660"/>
    <w:rsid w:val="73EDA800"/>
    <w:rsid w:val="73EF6FF5"/>
    <w:rsid w:val="741724A4"/>
    <w:rsid w:val="743218D3"/>
    <w:rsid w:val="74333FF5"/>
    <w:rsid w:val="743442C8"/>
    <w:rsid w:val="744632EE"/>
    <w:rsid w:val="746AD279"/>
    <w:rsid w:val="746D3B15"/>
    <w:rsid w:val="7472B46D"/>
    <w:rsid w:val="74962BBC"/>
    <w:rsid w:val="74A9998F"/>
    <w:rsid w:val="74C246FD"/>
    <w:rsid w:val="74D297D2"/>
    <w:rsid w:val="74DD6798"/>
    <w:rsid w:val="74E6C368"/>
    <w:rsid w:val="74F2E8DD"/>
    <w:rsid w:val="7507AB6C"/>
    <w:rsid w:val="753C30D2"/>
    <w:rsid w:val="753CB4D9"/>
    <w:rsid w:val="754B5FFA"/>
    <w:rsid w:val="756A2295"/>
    <w:rsid w:val="756D218A"/>
    <w:rsid w:val="756FDBBB"/>
    <w:rsid w:val="75779EC6"/>
    <w:rsid w:val="75B32904"/>
    <w:rsid w:val="75DB92FF"/>
    <w:rsid w:val="75E98335"/>
    <w:rsid w:val="75FCD315"/>
    <w:rsid w:val="7605123F"/>
    <w:rsid w:val="7608D680"/>
    <w:rsid w:val="7615F941"/>
    <w:rsid w:val="762D28CC"/>
    <w:rsid w:val="76403E10"/>
    <w:rsid w:val="764CDC87"/>
    <w:rsid w:val="7650B4E9"/>
    <w:rsid w:val="7652D7AE"/>
    <w:rsid w:val="7663CE42"/>
    <w:rsid w:val="766FCF1B"/>
    <w:rsid w:val="7698BF83"/>
    <w:rsid w:val="76A7FBE3"/>
    <w:rsid w:val="76A90D47"/>
    <w:rsid w:val="76C8BF95"/>
    <w:rsid w:val="76E56BE3"/>
    <w:rsid w:val="77127308"/>
    <w:rsid w:val="771404D6"/>
    <w:rsid w:val="774D6285"/>
    <w:rsid w:val="776B5FC9"/>
    <w:rsid w:val="77778006"/>
    <w:rsid w:val="77AAA665"/>
    <w:rsid w:val="77AF071B"/>
    <w:rsid w:val="77B57CC9"/>
    <w:rsid w:val="77BD6C7E"/>
    <w:rsid w:val="77CABF2E"/>
    <w:rsid w:val="77D1F5DC"/>
    <w:rsid w:val="77DF2133"/>
    <w:rsid w:val="77E3F064"/>
    <w:rsid w:val="77EE32FD"/>
    <w:rsid w:val="77F1BDCB"/>
    <w:rsid w:val="77FD3951"/>
    <w:rsid w:val="78106B5C"/>
    <w:rsid w:val="7815AA6A"/>
    <w:rsid w:val="783260FA"/>
    <w:rsid w:val="78338D8C"/>
    <w:rsid w:val="7838CDF3"/>
    <w:rsid w:val="783AF11E"/>
    <w:rsid w:val="785D95B6"/>
    <w:rsid w:val="7864217B"/>
    <w:rsid w:val="78A9E2B3"/>
    <w:rsid w:val="78AAF359"/>
    <w:rsid w:val="78B4D113"/>
    <w:rsid w:val="78BE940E"/>
    <w:rsid w:val="78C36CFD"/>
    <w:rsid w:val="78D1F0E0"/>
    <w:rsid w:val="79063A2F"/>
    <w:rsid w:val="7906E86B"/>
    <w:rsid w:val="790737B6"/>
    <w:rsid w:val="79122AA1"/>
    <w:rsid w:val="791AA834"/>
    <w:rsid w:val="7925A7CE"/>
    <w:rsid w:val="79661F55"/>
    <w:rsid w:val="79A37A93"/>
    <w:rsid w:val="79A444D8"/>
    <w:rsid w:val="79DF0FC5"/>
    <w:rsid w:val="79EDD113"/>
    <w:rsid w:val="7A3B1CC8"/>
    <w:rsid w:val="7A4E3DED"/>
    <w:rsid w:val="7A5297CD"/>
    <w:rsid w:val="7A8408BD"/>
    <w:rsid w:val="7A919A6F"/>
    <w:rsid w:val="7AAA75B3"/>
    <w:rsid w:val="7AAEA1C1"/>
    <w:rsid w:val="7AB139C9"/>
    <w:rsid w:val="7AB49397"/>
    <w:rsid w:val="7ABDB097"/>
    <w:rsid w:val="7AC78F78"/>
    <w:rsid w:val="7AD62BBC"/>
    <w:rsid w:val="7AE23AD0"/>
    <w:rsid w:val="7AF13ACF"/>
    <w:rsid w:val="7AF4ED7E"/>
    <w:rsid w:val="7AF5DFDE"/>
    <w:rsid w:val="7B035177"/>
    <w:rsid w:val="7B2B51C0"/>
    <w:rsid w:val="7B3AD6CD"/>
    <w:rsid w:val="7B44C46F"/>
    <w:rsid w:val="7B637399"/>
    <w:rsid w:val="7B66047D"/>
    <w:rsid w:val="7B85A3A4"/>
    <w:rsid w:val="7B8BF961"/>
    <w:rsid w:val="7B9F4F0D"/>
    <w:rsid w:val="7BA14676"/>
    <w:rsid w:val="7BA1A77A"/>
    <w:rsid w:val="7BC7A107"/>
    <w:rsid w:val="7BDB9038"/>
    <w:rsid w:val="7BE53688"/>
    <w:rsid w:val="7BF58B6B"/>
    <w:rsid w:val="7C32AC64"/>
    <w:rsid w:val="7C3BB0AB"/>
    <w:rsid w:val="7C3EE151"/>
    <w:rsid w:val="7C40F050"/>
    <w:rsid w:val="7C4E690F"/>
    <w:rsid w:val="7C545ADB"/>
    <w:rsid w:val="7C58B656"/>
    <w:rsid w:val="7C6C0858"/>
    <w:rsid w:val="7C6EE0B0"/>
    <w:rsid w:val="7C878225"/>
    <w:rsid w:val="7C8C0D77"/>
    <w:rsid w:val="7C8C37B9"/>
    <w:rsid w:val="7CAE9445"/>
    <w:rsid w:val="7CC8AB13"/>
    <w:rsid w:val="7CCCF4A5"/>
    <w:rsid w:val="7CE13B0A"/>
    <w:rsid w:val="7CEBD2DD"/>
    <w:rsid w:val="7CF77578"/>
    <w:rsid w:val="7D4C9822"/>
    <w:rsid w:val="7D53ECC1"/>
    <w:rsid w:val="7D58E330"/>
    <w:rsid w:val="7D5D62A9"/>
    <w:rsid w:val="7D5DE5F6"/>
    <w:rsid w:val="7D6D4A4E"/>
    <w:rsid w:val="7D732EA7"/>
    <w:rsid w:val="7D7BF4B8"/>
    <w:rsid w:val="7D7CA392"/>
    <w:rsid w:val="7D856695"/>
    <w:rsid w:val="7DB58832"/>
    <w:rsid w:val="7DB71E47"/>
    <w:rsid w:val="7DBAC1E6"/>
    <w:rsid w:val="7DBAFD90"/>
    <w:rsid w:val="7DBEE62E"/>
    <w:rsid w:val="7DC00056"/>
    <w:rsid w:val="7DD4F0FA"/>
    <w:rsid w:val="7DE69173"/>
    <w:rsid w:val="7DEFDFBF"/>
    <w:rsid w:val="7E025164"/>
    <w:rsid w:val="7E04B3F1"/>
    <w:rsid w:val="7E0CE7D0"/>
    <w:rsid w:val="7E11CE1A"/>
    <w:rsid w:val="7E1BF324"/>
    <w:rsid w:val="7E27D7D4"/>
    <w:rsid w:val="7E3D5AB1"/>
    <w:rsid w:val="7E4455B5"/>
    <w:rsid w:val="7E5A2AAF"/>
    <w:rsid w:val="7E5BB0B9"/>
    <w:rsid w:val="7EA41402"/>
    <w:rsid w:val="7EBB268A"/>
    <w:rsid w:val="7EBC9BFA"/>
    <w:rsid w:val="7EBCACEE"/>
    <w:rsid w:val="7ECB58A2"/>
    <w:rsid w:val="7EDDE03B"/>
    <w:rsid w:val="7EE74C90"/>
    <w:rsid w:val="7EF04963"/>
    <w:rsid w:val="7EFECCEA"/>
    <w:rsid w:val="7F2000D8"/>
    <w:rsid w:val="7F49E1F8"/>
    <w:rsid w:val="7F696C48"/>
    <w:rsid w:val="7F6CAF87"/>
    <w:rsid w:val="7F8C9449"/>
    <w:rsid w:val="7F998C8C"/>
    <w:rsid w:val="7F9EF6A6"/>
    <w:rsid w:val="7FA86EEA"/>
    <w:rsid w:val="7FB40A73"/>
    <w:rsid w:val="7FB44CEC"/>
    <w:rsid w:val="7FB96DFE"/>
    <w:rsid w:val="7FC91E30"/>
    <w:rsid w:val="7FD891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10DD"/>
  <w15:chartTrackingRefBased/>
  <w15:docId w15:val="{F4729B82-7BBA-3448-B464-E9C48F00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sid w:val="00176D8D"/>
    <w:pPr>
      <w:spacing w:line="240" w:lineRule="auto"/>
    </w:pPr>
    <w:rPr>
      <w:sz w:val="20"/>
      <w:szCs w:val="20"/>
    </w:rPr>
  </w:style>
  <w:style w:type="character" w:customStyle="1" w:styleId="CommentTextChar">
    <w:name w:val="Comment Text Char"/>
    <w:basedOn w:val="DefaultParagraphFont"/>
    <w:link w:val="CommentText"/>
    <w:uiPriority w:val="99"/>
    <w:semiHidden/>
    <w:rsid w:val="00176D8D"/>
    <w:rPr>
      <w:sz w:val="20"/>
      <w:szCs w:val="20"/>
    </w:rPr>
  </w:style>
  <w:style w:type="character" w:styleId="CommentReference">
    <w:name w:val="annotation reference"/>
    <w:basedOn w:val="DefaultParagraphFont"/>
    <w:uiPriority w:val="99"/>
    <w:semiHidden/>
    <w:unhideWhenUsed/>
    <w:rsid w:val="00176D8D"/>
    <w:rPr>
      <w:sz w:val="16"/>
      <w:szCs w:val="16"/>
    </w:rPr>
  </w:style>
  <w:style w:type="paragraph" w:styleId="FootnoteText">
    <w:name w:val="footnote text"/>
    <w:basedOn w:val="Normal"/>
    <w:link w:val="FootnoteTextChar"/>
    <w:uiPriority w:val="99"/>
    <w:semiHidden/>
    <w:unhideWhenUsed/>
    <w:rsid w:val="009C52D1"/>
    <w:pPr>
      <w:spacing w:after="0" w:line="240" w:lineRule="auto"/>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link w:val="FootnoteText"/>
    <w:uiPriority w:val="99"/>
    <w:semiHidden/>
    <w:rsid w:val="009C52D1"/>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9C52D1"/>
    <w:rPr>
      <w:vertAlign w:val="superscript"/>
    </w:rPr>
  </w:style>
  <w:style w:type="paragraph" w:styleId="CommentSubject">
    <w:name w:val="annotation subject"/>
    <w:basedOn w:val="CommentText"/>
    <w:next w:val="CommentText"/>
    <w:link w:val="CommentSubjectChar"/>
    <w:uiPriority w:val="99"/>
    <w:semiHidden/>
    <w:unhideWhenUsed/>
    <w:rsid w:val="000F3052"/>
    <w:rPr>
      <w:b/>
      <w:bCs/>
    </w:rPr>
  </w:style>
  <w:style w:type="character" w:customStyle="1" w:styleId="CommentSubjectChar">
    <w:name w:val="Comment Subject Char"/>
    <w:basedOn w:val="CommentTextChar"/>
    <w:link w:val="CommentSubject"/>
    <w:uiPriority w:val="99"/>
    <w:semiHidden/>
    <w:rsid w:val="000F3052"/>
    <w:rPr>
      <w:b/>
      <w:bCs/>
      <w:sz w:val="20"/>
      <w:szCs w:val="20"/>
    </w:rPr>
  </w:style>
  <w:style w:type="paragraph" w:styleId="BodyText">
    <w:name w:val="Body Text"/>
    <w:basedOn w:val="Normal"/>
    <w:link w:val="BodyTextChar"/>
    <w:uiPriority w:val="1"/>
    <w:qFormat/>
    <w:rsid w:val="000F3052"/>
    <w:pPr>
      <w:widowControl w:val="0"/>
      <w:autoSpaceDE w:val="0"/>
      <w:autoSpaceDN w:val="0"/>
      <w:spacing w:after="0" w:line="240" w:lineRule="auto"/>
      <w:ind w:left="161"/>
    </w:pPr>
    <w:rPr>
      <w:rFonts w:ascii="Arial MT" w:eastAsia="Arial MT" w:hAnsi="Arial MT" w:cs="Arial MT"/>
    </w:rPr>
  </w:style>
  <w:style w:type="character" w:customStyle="1" w:styleId="BodyTextChar">
    <w:name w:val="Body Text Char"/>
    <w:basedOn w:val="DefaultParagraphFont"/>
    <w:link w:val="BodyText"/>
    <w:uiPriority w:val="1"/>
    <w:rsid w:val="000F3052"/>
    <w:rPr>
      <w:rFonts w:ascii="Arial MT" w:eastAsia="Arial MT" w:hAnsi="Arial MT" w:cs="Arial MT"/>
    </w:rPr>
  </w:style>
  <w:style w:type="paragraph" w:styleId="Header">
    <w:name w:val="header"/>
    <w:basedOn w:val="Normal"/>
    <w:link w:val="HeaderChar"/>
    <w:uiPriority w:val="99"/>
    <w:unhideWhenUsed/>
    <w:rsid w:val="004E6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76D"/>
  </w:style>
  <w:style w:type="paragraph" w:styleId="Footer">
    <w:name w:val="footer"/>
    <w:basedOn w:val="Normal"/>
    <w:link w:val="FooterChar"/>
    <w:uiPriority w:val="99"/>
    <w:unhideWhenUsed/>
    <w:rsid w:val="004E6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6D"/>
  </w:style>
  <w:style w:type="table" w:styleId="TableGrid">
    <w:name w:val="Table Grid"/>
    <w:basedOn w:val="TableNormal"/>
    <w:uiPriority w:val="59"/>
    <w:rsid w:val="004E67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F3052"/>
    <w:pPr>
      <w:spacing w:after="0" w:line="240" w:lineRule="auto"/>
    </w:pPr>
  </w:style>
  <w:style w:type="character" w:styleId="FollowedHyperlink">
    <w:name w:val="FollowedHyperlink"/>
    <w:basedOn w:val="DefaultParagraphFont"/>
    <w:uiPriority w:val="99"/>
    <w:semiHidden/>
    <w:unhideWhenUsed/>
    <w:rsid w:val="00FE3FDD"/>
    <w:rPr>
      <w:color w:val="954F72" w:themeColor="followedHyperlink"/>
      <w:u w:val="single"/>
    </w:rPr>
  </w:style>
  <w:style w:type="character" w:styleId="Mention">
    <w:name w:val="Mention"/>
    <w:basedOn w:val="DefaultParagraphFont"/>
    <w:uiPriority w:val="99"/>
    <w:unhideWhenUsed/>
    <w:rsid w:val="00C663FD"/>
    <w:rPr>
      <w:color w:val="2B579A"/>
      <w:shd w:val="clear" w:color="auto" w:fill="E6E6E6"/>
    </w:rPr>
  </w:style>
  <w:style w:type="paragraph" w:styleId="NormalWeb">
    <w:name w:val="Normal (Web)"/>
    <w:basedOn w:val="Normal"/>
    <w:uiPriority w:val="99"/>
    <w:semiHidden/>
    <w:unhideWhenUsed/>
    <w:rsid w:val="00631195"/>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PageNumber">
    <w:name w:val="page number"/>
    <w:basedOn w:val="DefaultParagraphFont"/>
    <w:uiPriority w:val="99"/>
    <w:semiHidden/>
    <w:unhideWhenUsed/>
    <w:rsid w:val="00004ACF"/>
  </w:style>
  <w:style w:type="character" w:styleId="UnresolvedMention">
    <w:name w:val="Unresolved Mention"/>
    <w:basedOn w:val="DefaultParagraphFont"/>
    <w:uiPriority w:val="99"/>
    <w:semiHidden/>
    <w:unhideWhenUsed/>
    <w:rsid w:val="00BF6132"/>
    <w:rPr>
      <w:color w:val="605E5C"/>
      <w:shd w:val="clear" w:color="auto" w:fill="E1DFDD"/>
    </w:rPr>
  </w:style>
  <w:style w:type="character" w:styleId="Emphasis">
    <w:name w:val="Emphasis"/>
    <w:basedOn w:val="DefaultParagraphFont"/>
    <w:uiPriority w:val="20"/>
    <w:qFormat/>
    <w:rsid w:val="00EC3F04"/>
    <w:rPr>
      <w:i/>
      <w:iCs/>
    </w:rPr>
  </w:style>
  <w:style w:type="character" w:customStyle="1" w:styleId="message">
    <w:name w:val="message"/>
    <w:basedOn w:val="DefaultParagraphFont"/>
    <w:rsid w:val="00EC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867">
      <w:bodyDiv w:val="1"/>
      <w:marLeft w:val="0"/>
      <w:marRight w:val="0"/>
      <w:marTop w:val="0"/>
      <w:marBottom w:val="0"/>
      <w:divBdr>
        <w:top w:val="none" w:sz="0" w:space="0" w:color="auto"/>
        <w:left w:val="none" w:sz="0" w:space="0" w:color="auto"/>
        <w:bottom w:val="none" w:sz="0" w:space="0" w:color="auto"/>
        <w:right w:val="none" w:sz="0" w:space="0" w:color="auto"/>
      </w:divBdr>
    </w:div>
    <w:div w:id="27343867">
      <w:bodyDiv w:val="1"/>
      <w:marLeft w:val="0"/>
      <w:marRight w:val="0"/>
      <w:marTop w:val="0"/>
      <w:marBottom w:val="0"/>
      <w:divBdr>
        <w:top w:val="none" w:sz="0" w:space="0" w:color="auto"/>
        <w:left w:val="none" w:sz="0" w:space="0" w:color="auto"/>
        <w:bottom w:val="none" w:sz="0" w:space="0" w:color="auto"/>
        <w:right w:val="none" w:sz="0" w:space="0" w:color="auto"/>
      </w:divBdr>
    </w:div>
    <w:div w:id="88280550">
      <w:bodyDiv w:val="1"/>
      <w:marLeft w:val="0"/>
      <w:marRight w:val="0"/>
      <w:marTop w:val="0"/>
      <w:marBottom w:val="0"/>
      <w:divBdr>
        <w:top w:val="none" w:sz="0" w:space="0" w:color="auto"/>
        <w:left w:val="none" w:sz="0" w:space="0" w:color="auto"/>
        <w:bottom w:val="none" w:sz="0" w:space="0" w:color="auto"/>
        <w:right w:val="none" w:sz="0" w:space="0" w:color="auto"/>
      </w:divBdr>
    </w:div>
    <w:div w:id="220870108">
      <w:bodyDiv w:val="1"/>
      <w:marLeft w:val="0"/>
      <w:marRight w:val="0"/>
      <w:marTop w:val="0"/>
      <w:marBottom w:val="0"/>
      <w:divBdr>
        <w:top w:val="none" w:sz="0" w:space="0" w:color="auto"/>
        <w:left w:val="none" w:sz="0" w:space="0" w:color="auto"/>
        <w:bottom w:val="none" w:sz="0" w:space="0" w:color="auto"/>
        <w:right w:val="none" w:sz="0" w:space="0" w:color="auto"/>
      </w:divBdr>
    </w:div>
    <w:div w:id="487554315">
      <w:bodyDiv w:val="1"/>
      <w:marLeft w:val="0"/>
      <w:marRight w:val="0"/>
      <w:marTop w:val="0"/>
      <w:marBottom w:val="0"/>
      <w:divBdr>
        <w:top w:val="none" w:sz="0" w:space="0" w:color="auto"/>
        <w:left w:val="none" w:sz="0" w:space="0" w:color="auto"/>
        <w:bottom w:val="none" w:sz="0" w:space="0" w:color="auto"/>
        <w:right w:val="none" w:sz="0" w:space="0" w:color="auto"/>
      </w:divBdr>
      <w:divsChild>
        <w:div w:id="1696468673">
          <w:marLeft w:val="0"/>
          <w:marRight w:val="0"/>
          <w:marTop w:val="0"/>
          <w:marBottom w:val="0"/>
          <w:divBdr>
            <w:top w:val="none" w:sz="0" w:space="0" w:color="auto"/>
            <w:left w:val="none" w:sz="0" w:space="0" w:color="auto"/>
            <w:bottom w:val="none" w:sz="0" w:space="0" w:color="auto"/>
            <w:right w:val="none" w:sz="0" w:space="0" w:color="auto"/>
          </w:divBdr>
          <w:divsChild>
            <w:div w:id="1191383270">
              <w:marLeft w:val="0"/>
              <w:marRight w:val="0"/>
              <w:marTop w:val="0"/>
              <w:marBottom w:val="0"/>
              <w:divBdr>
                <w:top w:val="none" w:sz="0" w:space="0" w:color="auto"/>
                <w:left w:val="none" w:sz="0" w:space="0" w:color="auto"/>
                <w:bottom w:val="none" w:sz="0" w:space="0" w:color="auto"/>
                <w:right w:val="none" w:sz="0" w:space="0" w:color="auto"/>
              </w:divBdr>
              <w:divsChild>
                <w:div w:id="16544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00518">
      <w:bodyDiv w:val="1"/>
      <w:marLeft w:val="0"/>
      <w:marRight w:val="0"/>
      <w:marTop w:val="0"/>
      <w:marBottom w:val="0"/>
      <w:divBdr>
        <w:top w:val="none" w:sz="0" w:space="0" w:color="auto"/>
        <w:left w:val="none" w:sz="0" w:space="0" w:color="auto"/>
        <w:bottom w:val="none" w:sz="0" w:space="0" w:color="auto"/>
        <w:right w:val="none" w:sz="0" w:space="0" w:color="auto"/>
      </w:divBdr>
    </w:div>
    <w:div w:id="553084821">
      <w:bodyDiv w:val="1"/>
      <w:marLeft w:val="0"/>
      <w:marRight w:val="0"/>
      <w:marTop w:val="0"/>
      <w:marBottom w:val="0"/>
      <w:divBdr>
        <w:top w:val="none" w:sz="0" w:space="0" w:color="auto"/>
        <w:left w:val="none" w:sz="0" w:space="0" w:color="auto"/>
        <w:bottom w:val="none" w:sz="0" w:space="0" w:color="auto"/>
        <w:right w:val="none" w:sz="0" w:space="0" w:color="auto"/>
      </w:divBdr>
    </w:div>
    <w:div w:id="601298189">
      <w:bodyDiv w:val="1"/>
      <w:marLeft w:val="0"/>
      <w:marRight w:val="0"/>
      <w:marTop w:val="0"/>
      <w:marBottom w:val="0"/>
      <w:divBdr>
        <w:top w:val="none" w:sz="0" w:space="0" w:color="auto"/>
        <w:left w:val="none" w:sz="0" w:space="0" w:color="auto"/>
        <w:bottom w:val="none" w:sz="0" w:space="0" w:color="auto"/>
        <w:right w:val="none" w:sz="0" w:space="0" w:color="auto"/>
      </w:divBdr>
    </w:div>
    <w:div w:id="602684791">
      <w:bodyDiv w:val="1"/>
      <w:marLeft w:val="0"/>
      <w:marRight w:val="0"/>
      <w:marTop w:val="0"/>
      <w:marBottom w:val="0"/>
      <w:divBdr>
        <w:top w:val="none" w:sz="0" w:space="0" w:color="auto"/>
        <w:left w:val="none" w:sz="0" w:space="0" w:color="auto"/>
        <w:bottom w:val="none" w:sz="0" w:space="0" w:color="auto"/>
        <w:right w:val="none" w:sz="0" w:space="0" w:color="auto"/>
      </w:divBdr>
    </w:div>
    <w:div w:id="641814598">
      <w:bodyDiv w:val="1"/>
      <w:marLeft w:val="0"/>
      <w:marRight w:val="0"/>
      <w:marTop w:val="0"/>
      <w:marBottom w:val="0"/>
      <w:divBdr>
        <w:top w:val="none" w:sz="0" w:space="0" w:color="auto"/>
        <w:left w:val="none" w:sz="0" w:space="0" w:color="auto"/>
        <w:bottom w:val="none" w:sz="0" w:space="0" w:color="auto"/>
        <w:right w:val="none" w:sz="0" w:space="0" w:color="auto"/>
      </w:divBdr>
    </w:div>
    <w:div w:id="918756520">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sChild>
        <w:div w:id="1618488438">
          <w:marLeft w:val="0"/>
          <w:marRight w:val="0"/>
          <w:marTop w:val="0"/>
          <w:marBottom w:val="0"/>
          <w:divBdr>
            <w:top w:val="none" w:sz="0" w:space="0" w:color="auto"/>
            <w:left w:val="none" w:sz="0" w:space="0" w:color="auto"/>
            <w:bottom w:val="none" w:sz="0" w:space="0" w:color="auto"/>
            <w:right w:val="none" w:sz="0" w:space="0" w:color="auto"/>
          </w:divBdr>
          <w:divsChild>
            <w:div w:id="520431888">
              <w:marLeft w:val="0"/>
              <w:marRight w:val="0"/>
              <w:marTop w:val="0"/>
              <w:marBottom w:val="0"/>
              <w:divBdr>
                <w:top w:val="none" w:sz="0" w:space="0" w:color="auto"/>
                <w:left w:val="none" w:sz="0" w:space="0" w:color="auto"/>
                <w:bottom w:val="none" w:sz="0" w:space="0" w:color="auto"/>
                <w:right w:val="none" w:sz="0" w:space="0" w:color="auto"/>
              </w:divBdr>
              <w:divsChild>
                <w:div w:id="9441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17106">
      <w:bodyDiv w:val="1"/>
      <w:marLeft w:val="0"/>
      <w:marRight w:val="0"/>
      <w:marTop w:val="0"/>
      <w:marBottom w:val="0"/>
      <w:divBdr>
        <w:top w:val="none" w:sz="0" w:space="0" w:color="auto"/>
        <w:left w:val="none" w:sz="0" w:space="0" w:color="auto"/>
        <w:bottom w:val="none" w:sz="0" w:space="0" w:color="auto"/>
        <w:right w:val="none" w:sz="0" w:space="0" w:color="auto"/>
      </w:divBdr>
    </w:div>
    <w:div w:id="1261793115">
      <w:bodyDiv w:val="1"/>
      <w:marLeft w:val="0"/>
      <w:marRight w:val="0"/>
      <w:marTop w:val="0"/>
      <w:marBottom w:val="0"/>
      <w:divBdr>
        <w:top w:val="none" w:sz="0" w:space="0" w:color="auto"/>
        <w:left w:val="none" w:sz="0" w:space="0" w:color="auto"/>
        <w:bottom w:val="none" w:sz="0" w:space="0" w:color="auto"/>
        <w:right w:val="none" w:sz="0" w:space="0" w:color="auto"/>
      </w:divBdr>
    </w:div>
    <w:div w:id="1393769636">
      <w:bodyDiv w:val="1"/>
      <w:marLeft w:val="0"/>
      <w:marRight w:val="0"/>
      <w:marTop w:val="0"/>
      <w:marBottom w:val="0"/>
      <w:divBdr>
        <w:top w:val="none" w:sz="0" w:space="0" w:color="auto"/>
        <w:left w:val="none" w:sz="0" w:space="0" w:color="auto"/>
        <w:bottom w:val="none" w:sz="0" w:space="0" w:color="auto"/>
        <w:right w:val="none" w:sz="0" w:space="0" w:color="auto"/>
      </w:divBdr>
      <w:divsChild>
        <w:div w:id="848446741">
          <w:marLeft w:val="0"/>
          <w:marRight w:val="0"/>
          <w:marTop w:val="0"/>
          <w:marBottom w:val="0"/>
          <w:divBdr>
            <w:top w:val="none" w:sz="0" w:space="0" w:color="auto"/>
            <w:left w:val="none" w:sz="0" w:space="0" w:color="auto"/>
            <w:bottom w:val="none" w:sz="0" w:space="0" w:color="auto"/>
            <w:right w:val="none" w:sz="0" w:space="0" w:color="auto"/>
          </w:divBdr>
          <w:divsChild>
            <w:div w:id="666787281">
              <w:marLeft w:val="0"/>
              <w:marRight w:val="0"/>
              <w:marTop w:val="0"/>
              <w:marBottom w:val="0"/>
              <w:divBdr>
                <w:top w:val="none" w:sz="0" w:space="0" w:color="auto"/>
                <w:left w:val="none" w:sz="0" w:space="0" w:color="auto"/>
                <w:bottom w:val="none" w:sz="0" w:space="0" w:color="auto"/>
                <w:right w:val="none" w:sz="0" w:space="0" w:color="auto"/>
              </w:divBdr>
              <w:divsChild>
                <w:div w:id="4431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tario.ca/document/guideline-10-procedure-preparing-emission-summary-and-dispersion-modelling-esdm-report" TargetMode="External"/><Relationship Id="rId2" Type="http://schemas.openxmlformats.org/officeDocument/2006/relationships/hyperlink" Target="https://www.corbecgalv.com/eg/news-durable-corbec.php" TargetMode="External"/><Relationship Id="rId1" Type="http://schemas.openxmlformats.org/officeDocument/2006/relationships/hyperlink" Target="https://galvanizeit.org/uploads/publications/Zinc_Coatings.pdf" TargetMode="External"/><Relationship Id="rId5" Type="http://schemas.openxmlformats.org/officeDocument/2006/relationships/hyperlink" Target="https://files.ontario.ca/moecc_46_giaso_aoda_en_0.pdf" TargetMode="External"/><Relationship Id="rId4" Type="http://schemas.openxmlformats.org/officeDocument/2006/relationships/hyperlink" Target="https://www.forms.ssb.gov.on.ca/mbs/ssb/forms/ssbforms.nsf/ODAGetFormDetail?openagent&amp;lang=E&amp;env=ODA&amp;NO=4872&amp;ref=~06s~E~1~01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2B58-806A-0C4D-B92C-FA8464DF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4180</Words>
  <Characters>21951</Characters>
  <Application>Microsoft Office Word</Application>
  <DocSecurity>0</DocSecurity>
  <Lines>685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25820</CharactersWithSpaces>
  <SharedDoc>false</SharedDoc>
  <HLinks>
    <vt:vector size="30" baseType="variant">
      <vt:variant>
        <vt:i4>2162699</vt:i4>
      </vt:variant>
      <vt:variant>
        <vt:i4>12</vt:i4>
      </vt:variant>
      <vt:variant>
        <vt:i4>0</vt:i4>
      </vt:variant>
      <vt:variant>
        <vt:i4>5</vt:i4>
      </vt:variant>
      <vt:variant>
        <vt:lpwstr>https://files.ontario.ca/moecc_46_giaso_aoda_en_0.pdf</vt:lpwstr>
      </vt:variant>
      <vt:variant>
        <vt:lpwstr/>
      </vt:variant>
      <vt:variant>
        <vt:i4>80</vt:i4>
      </vt:variant>
      <vt:variant>
        <vt:i4>9</vt:i4>
      </vt:variant>
      <vt:variant>
        <vt:i4>0</vt:i4>
      </vt:variant>
      <vt:variant>
        <vt:i4>5</vt:i4>
      </vt:variant>
      <vt:variant>
        <vt:lpwstr>https://www.forms.ssb.gov.on.ca/mbs/ssb/forms/ssbforms.nsf/ODAGetFormDetail?openagent&amp;lang=E&amp;env=ODA&amp;NO=4872&amp;ref=~06s~E~1~012~~86~~~</vt:lpwstr>
      </vt:variant>
      <vt:variant>
        <vt:lpwstr/>
      </vt:variant>
      <vt:variant>
        <vt:i4>3670129</vt:i4>
      </vt:variant>
      <vt:variant>
        <vt:i4>6</vt:i4>
      </vt:variant>
      <vt:variant>
        <vt:i4>0</vt:i4>
      </vt:variant>
      <vt:variant>
        <vt:i4>5</vt:i4>
      </vt:variant>
      <vt:variant>
        <vt:lpwstr>https://www.ontario.ca/document/guideline-10-procedure-preparing-emission-summary-and-dispersion-modelling-esdm-report</vt:lpwstr>
      </vt:variant>
      <vt:variant>
        <vt:lpwstr/>
      </vt:variant>
      <vt:variant>
        <vt:i4>1376303</vt:i4>
      </vt:variant>
      <vt:variant>
        <vt:i4>3</vt:i4>
      </vt:variant>
      <vt:variant>
        <vt:i4>0</vt:i4>
      </vt:variant>
      <vt:variant>
        <vt:i4>5</vt:i4>
      </vt:variant>
      <vt:variant>
        <vt:lpwstr>https://galvanizeit.org/uploads/publications/Zinc_Coatings.pdf</vt:lpwstr>
      </vt:variant>
      <vt:variant>
        <vt:lpwstr/>
      </vt:variant>
      <vt:variant>
        <vt:i4>4194377</vt:i4>
      </vt:variant>
      <vt:variant>
        <vt:i4>0</vt:i4>
      </vt:variant>
      <vt:variant>
        <vt:i4>0</vt:i4>
      </vt:variant>
      <vt:variant>
        <vt:i4>5</vt:i4>
      </vt:variant>
      <vt:variant>
        <vt:lpwstr>https://www.corbecgalv.com/eg/news-durable-corbec.php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Duggal</dc:creator>
  <cp:keywords/>
  <dc:description/>
  <cp:lastModifiedBy>Chloe Duggal</cp:lastModifiedBy>
  <cp:revision>3</cp:revision>
  <dcterms:created xsi:type="dcterms:W3CDTF">2021-11-06T03:09:00Z</dcterms:created>
  <dcterms:modified xsi:type="dcterms:W3CDTF">2021-11-06T03:27:00Z</dcterms:modified>
</cp:coreProperties>
</file>