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C305" w14:textId="2EC9E58F" w:rsidR="00A0515F" w:rsidRDefault="00A619D3" w:rsidP="00A0515F">
      <w:pPr>
        <w:contextualSpacing/>
        <w:rPr>
          <w:rFonts w:asciiTheme="majorHAnsi" w:hAnsiTheme="majorHAnsi"/>
          <w:b/>
          <w:color w:val="6B7B83"/>
          <w:sz w:val="28"/>
          <w:szCs w:val="24"/>
        </w:rPr>
      </w:pPr>
      <w:r w:rsidRPr="00A619D3">
        <w:rPr>
          <w:rFonts w:asciiTheme="majorHAnsi" w:hAnsiTheme="majorHAnsi"/>
          <w:b/>
          <w:color w:val="6B7B83"/>
          <w:sz w:val="28"/>
          <w:szCs w:val="24"/>
        </w:rPr>
        <w:t>Development of a Clean Energy Credit Registry</w:t>
      </w:r>
      <w:r>
        <w:rPr>
          <w:rFonts w:asciiTheme="majorHAnsi" w:hAnsiTheme="majorHAnsi"/>
          <w:b/>
          <w:color w:val="6B7B83"/>
          <w:sz w:val="28"/>
          <w:szCs w:val="24"/>
        </w:rPr>
        <w:t xml:space="preserve"> (</w:t>
      </w:r>
      <w:r w:rsidRPr="00A619D3">
        <w:rPr>
          <w:rFonts w:asciiTheme="majorHAnsi" w:hAnsiTheme="majorHAnsi"/>
          <w:b/>
          <w:color w:val="6B7B83"/>
          <w:sz w:val="28"/>
          <w:szCs w:val="24"/>
        </w:rPr>
        <w:t>ERO number</w:t>
      </w:r>
      <w:r>
        <w:rPr>
          <w:rFonts w:asciiTheme="majorHAnsi" w:hAnsiTheme="majorHAnsi"/>
          <w:b/>
          <w:color w:val="6B7B83"/>
          <w:sz w:val="28"/>
          <w:szCs w:val="24"/>
        </w:rPr>
        <w:t xml:space="preserve"> </w:t>
      </w:r>
      <w:r w:rsidRPr="00A619D3">
        <w:rPr>
          <w:rFonts w:asciiTheme="majorHAnsi" w:hAnsiTheme="majorHAnsi"/>
          <w:b/>
          <w:color w:val="6B7B83"/>
          <w:sz w:val="28"/>
          <w:szCs w:val="24"/>
        </w:rPr>
        <w:t>019-5816</w:t>
      </w:r>
      <w:r>
        <w:rPr>
          <w:rFonts w:asciiTheme="majorHAnsi" w:hAnsiTheme="majorHAnsi"/>
          <w:b/>
          <w:color w:val="6B7B83"/>
          <w:sz w:val="28"/>
          <w:szCs w:val="24"/>
        </w:rPr>
        <w:t>)</w:t>
      </w:r>
    </w:p>
    <w:p w14:paraId="1278738C" w14:textId="7E1B7310" w:rsidR="00A619D3" w:rsidRPr="00A619D3" w:rsidRDefault="00A619D3" w:rsidP="00A0515F">
      <w:pPr>
        <w:contextualSpacing/>
        <w:rPr>
          <w:rFonts w:asciiTheme="majorHAnsi" w:hAnsiTheme="majorHAnsi"/>
          <w:bCs/>
          <w:color w:val="6B7B83"/>
          <w:sz w:val="28"/>
          <w:szCs w:val="24"/>
        </w:rPr>
      </w:pPr>
      <w:r w:rsidRPr="00A619D3">
        <w:rPr>
          <w:rFonts w:asciiTheme="majorHAnsi" w:hAnsiTheme="majorHAnsi"/>
          <w:bCs/>
          <w:color w:val="6B7B83"/>
          <w:sz w:val="28"/>
          <w:szCs w:val="24"/>
        </w:rPr>
        <w:t>Response of the Canadian Renewable Energy Association (CanREA)</w:t>
      </w:r>
    </w:p>
    <w:p w14:paraId="569288E9" w14:textId="743365B0" w:rsidR="00A619D3" w:rsidRDefault="00A619D3" w:rsidP="00A0515F">
      <w:pPr>
        <w:contextualSpacing/>
        <w:rPr>
          <w:rFonts w:asciiTheme="majorHAnsi" w:hAnsiTheme="majorHAnsi"/>
          <w:b/>
          <w:color w:val="6B7B83"/>
          <w:sz w:val="28"/>
          <w:szCs w:val="24"/>
        </w:rPr>
      </w:pPr>
    </w:p>
    <w:p w14:paraId="31C51EE8" w14:textId="6B54EBB7" w:rsidR="00A619D3" w:rsidRDefault="00A619D3" w:rsidP="00A619D3">
      <w:pPr>
        <w:pStyle w:val="BodyText"/>
      </w:pPr>
      <w:r>
        <w:t>September 15, 2022</w:t>
      </w:r>
    </w:p>
    <w:p w14:paraId="051F0017" w14:textId="77777777" w:rsidR="00A619D3" w:rsidRDefault="00A619D3" w:rsidP="00A0515F">
      <w:pPr>
        <w:contextualSpacing/>
        <w:rPr>
          <w:rFonts w:eastAsia="Times New Roman"/>
          <w:b/>
          <w:bCs/>
          <w:u w:val="single"/>
        </w:rPr>
      </w:pPr>
    </w:p>
    <w:p w14:paraId="36233740" w14:textId="77777777" w:rsidR="00A619D3" w:rsidRDefault="00A619D3" w:rsidP="00A619D3">
      <w:pPr>
        <w:spacing w:line="276" w:lineRule="auto"/>
        <w:rPr>
          <w:rFonts w:ascii="Arial" w:hAnsi="Arial" w:cs="Arial"/>
        </w:rPr>
      </w:pPr>
      <w:r w:rsidRPr="009F004E">
        <w:rPr>
          <w:rFonts w:ascii="Arial" w:hAnsi="Arial" w:cs="Arial"/>
        </w:rPr>
        <w:t>Thank you for the opportunity to provide comment on the proposal to introduce a clean energy credit (CEC) registry and associated processes to support the creation, recognition, tracking and retirement of voluntarily purchased CECs within the province.</w:t>
      </w:r>
      <w:r>
        <w:rPr>
          <w:rFonts w:ascii="Arial" w:hAnsi="Arial" w:cs="Arial"/>
        </w:rPr>
        <w:t xml:space="preserve"> The Canadian Renewable Energy Association (CanREA) strongly supports maximizing choice for Ontario consumers on electricity supply decisions that align with their personal values or corporate/institutional Environmental, Social and Governance objectives. The proposed CEC framework could be a positive step toward enabling greater consumer choice in this respect.</w:t>
      </w:r>
    </w:p>
    <w:p w14:paraId="000B62A7" w14:textId="16BFD17B" w:rsidR="00A619D3" w:rsidRDefault="00A619D3" w:rsidP="00A619D3">
      <w:pPr>
        <w:spacing w:line="276" w:lineRule="auto"/>
        <w:ind w:firstLine="720"/>
        <w:rPr>
          <w:rFonts w:ascii="Arial" w:hAnsi="Arial" w:cs="Arial"/>
        </w:rPr>
      </w:pPr>
      <w:r>
        <w:rPr>
          <w:rFonts w:ascii="Arial" w:hAnsi="Arial" w:cs="Arial"/>
        </w:rPr>
        <w:t xml:space="preserve">First and foremost, CanREA would note that Ontario has achieved great success in the decarbonization of its electricity grid over the last two decades.  In 2021, Ontario’s electricity supply was 90% non-emitting while continuing to supply customers with reliable service to grow our economy.   Looking forward, however, the IESO is projecting a five-fold increase in electricity sector emissions over the coming two decades under current policies, reaching 18.2 million tonnes of CO2-equivalent emissions by 2042 due to increased reliance on natural gas generation. This will undo all progress in electricity sector decarbonization achieved since 2010. In short, the province’s clean electricity advantage over our peer jurisdictions is at risk, and the loss of Ontario’s clean electricity advantage will adversely impact the province’s ability to compete for jobs and investment from a global business community with increasingly stringent Net Zero commitments. </w:t>
      </w:r>
    </w:p>
    <w:p w14:paraId="57D41F45" w14:textId="77777777" w:rsidR="00A619D3" w:rsidRDefault="00A619D3" w:rsidP="00A619D3">
      <w:pPr>
        <w:spacing w:line="276" w:lineRule="auto"/>
        <w:ind w:firstLine="720"/>
        <w:rPr>
          <w:rFonts w:ascii="Arial" w:hAnsi="Arial" w:cs="Arial"/>
        </w:rPr>
      </w:pPr>
    </w:p>
    <w:p w14:paraId="4FD45052" w14:textId="77777777" w:rsidR="00A619D3" w:rsidRDefault="00A619D3" w:rsidP="00A619D3">
      <w:pPr>
        <w:spacing w:line="360" w:lineRule="auto"/>
        <w:ind w:firstLine="720"/>
        <w:rPr>
          <w:rFonts w:ascii="Arial" w:hAnsi="Arial" w:cs="Arial"/>
        </w:rPr>
      </w:pPr>
      <w:r>
        <w:rPr>
          <w:rFonts w:ascii="Arial" w:hAnsi="Arial" w:cs="Arial"/>
          <w:noProof/>
        </w:rPr>
        <w:drawing>
          <wp:inline distT="0" distB="0" distL="0" distR="0" wp14:anchorId="35BC7870" wp14:editId="1A652626">
            <wp:extent cx="5939790" cy="3238500"/>
            <wp:effectExtent l="0" t="0" r="381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3238500"/>
                    </a:xfrm>
                    <a:prstGeom prst="rect">
                      <a:avLst/>
                    </a:prstGeom>
                    <a:noFill/>
                    <a:ln>
                      <a:noFill/>
                    </a:ln>
                  </pic:spPr>
                </pic:pic>
              </a:graphicData>
            </a:graphic>
          </wp:inline>
        </w:drawing>
      </w:r>
    </w:p>
    <w:p w14:paraId="1F1A47B6" w14:textId="77777777" w:rsidR="00A619D3" w:rsidRPr="00AF7ECF" w:rsidRDefault="00A619D3" w:rsidP="00A619D3">
      <w:pPr>
        <w:spacing w:line="360" w:lineRule="auto"/>
        <w:ind w:firstLine="720"/>
        <w:jc w:val="right"/>
        <w:rPr>
          <w:rFonts w:ascii="Arial" w:hAnsi="Arial" w:cs="Arial"/>
          <w:sz w:val="16"/>
          <w:szCs w:val="16"/>
        </w:rPr>
      </w:pPr>
      <w:r w:rsidRPr="00AF7ECF">
        <w:rPr>
          <w:rFonts w:ascii="Arial" w:hAnsi="Arial" w:cs="Arial"/>
          <w:sz w:val="16"/>
          <w:szCs w:val="16"/>
        </w:rPr>
        <w:t>Source: 2021 Annual Planning Outlook, IESO, page 74</w:t>
      </w:r>
    </w:p>
    <w:p w14:paraId="4E3DE423" w14:textId="77777777" w:rsidR="00A619D3" w:rsidRDefault="00A619D3" w:rsidP="00A619D3">
      <w:pPr>
        <w:spacing w:line="276" w:lineRule="auto"/>
        <w:rPr>
          <w:rFonts w:ascii="Arial" w:hAnsi="Arial" w:cs="Arial"/>
        </w:rPr>
      </w:pPr>
      <w:r>
        <w:rPr>
          <w:rFonts w:ascii="Arial" w:hAnsi="Arial" w:cs="Arial"/>
        </w:rPr>
        <w:lastRenderedPageBreak/>
        <w:tab/>
      </w:r>
      <w:r w:rsidRPr="000330AC">
        <w:rPr>
          <w:rFonts w:ascii="Arial" w:hAnsi="Arial" w:cs="Arial"/>
        </w:rPr>
        <w:t xml:space="preserve">In 2019, the RE100 global coalition of businesses committed to 100% renewable electricity reported that their more than 260 members collectively sourced over 120 </w:t>
      </w:r>
      <w:proofErr w:type="spellStart"/>
      <w:r w:rsidRPr="000330AC">
        <w:rPr>
          <w:rFonts w:ascii="Arial" w:hAnsi="Arial" w:cs="Arial"/>
        </w:rPr>
        <w:t>TWh</w:t>
      </w:r>
      <w:proofErr w:type="spellEnd"/>
      <w:r w:rsidRPr="000330AC">
        <w:rPr>
          <w:rFonts w:ascii="Arial" w:hAnsi="Arial" w:cs="Arial"/>
        </w:rPr>
        <w:t xml:space="preserve"> of renewable electricity either through unbundled purchases of environmental attributes (EAs) (42%), contracts with electricity suppliers (30%), bilateral Power Purchase Agreements (PPAs) (26%), or on-site generation (principally rooftop solar) (2.5%). </w:t>
      </w:r>
      <w:r>
        <w:rPr>
          <w:rFonts w:ascii="Arial" w:hAnsi="Arial" w:cs="Arial"/>
        </w:rPr>
        <w:t>The Ministry has already taken an important step forward in enabling on-site renewable energy sourcing through the recent amendments to the Net Metering Regulation (</w:t>
      </w:r>
      <w:proofErr w:type="spellStart"/>
      <w:proofErr w:type="gramStart"/>
      <w:r>
        <w:rPr>
          <w:rFonts w:ascii="Arial" w:hAnsi="Arial" w:cs="Arial"/>
        </w:rPr>
        <w:t>O.Reg</w:t>
      </w:r>
      <w:proofErr w:type="spellEnd"/>
      <w:proofErr w:type="gramEnd"/>
      <w:r>
        <w:rPr>
          <w:rFonts w:ascii="Arial" w:hAnsi="Arial" w:cs="Arial"/>
        </w:rPr>
        <w:t xml:space="preserve"> 541) to enable third-party ownership of net metered generation. </w:t>
      </w:r>
      <w:proofErr w:type="gramStart"/>
      <w:r w:rsidRPr="000330AC">
        <w:rPr>
          <w:rFonts w:ascii="Arial" w:hAnsi="Arial" w:cs="Arial"/>
        </w:rPr>
        <w:t>Going forward, there</w:t>
      </w:r>
      <w:proofErr w:type="gramEnd"/>
      <w:r w:rsidRPr="000330AC">
        <w:rPr>
          <w:rFonts w:ascii="Arial" w:hAnsi="Arial" w:cs="Arial"/>
        </w:rPr>
        <w:t xml:space="preserve"> could and should be a role for </w:t>
      </w:r>
      <w:r>
        <w:rPr>
          <w:rFonts w:ascii="Arial" w:hAnsi="Arial" w:cs="Arial"/>
        </w:rPr>
        <w:t>both renewable energy contracts with energy suppliers as well as bilateral PPAs in the</w:t>
      </w:r>
      <w:r w:rsidRPr="000330AC">
        <w:rPr>
          <w:rFonts w:ascii="Arial" w:hAnsi="Arial" w:cs="Arial"/>
        </w:rPr>
        <w:t xml:space="preserve"> Ontario context. </w:t>
      </w:r>
      <w:r>
        <w:rPr>
          <w:rFonts w:ascii="Arial" w:hAnsi="Arial" w:cs="Arial"/>
        </w:rPr>
        <w:t>Surging</w:t>
      </w:r>
      <w:r w:rsidRPr="000330AC">
        <w:rPr>
          <w:rFonts w:ascii="Arial" w:hAnsi="Arial" w:cs="Arial"/>
        </w:rPr>
        <w:t xml:space="preserve"> global demand for clean electricity represents a valuable opportunity to drive new private sector investment into the province’s generation capacity to help </w:t>
      </w:r>
      <w:r>
        <w:rPr>
          <w:rFonts w:ascii="Arial" w:hAnsi="Arial" w:cs="Arial"/>
        </w:rPr>
        <w:t xml:space="preserve">deliver the non-emitting generation capacity the province urgently needs. The Ministry </w:t>
      </w:r>
      <w:r w:rsidRPr="000330AC">
        <w:rPr>
          <w:rFonts w:ascii="Arial" w:hAnsi="Arial" w:cs="Arial"/>
        </w:rPr>
        <w:t>should seize this opportunity to</w:t>
      </w:r>
      <w:r>
        <w:rPr>
          <w:rFonts w:ascii="Arial" w:hAnsi="Arial" w:cs="Arial"/>
        </w:rPr>
        <w:t xml:space="preserve"> engage directly </w:t>
      </w:r>
      <w:r w:rsidRPr="000330AC">
        <w:rPr>
          <w:rFonts w:ascii="Arial" w:hAnsi="Arial" w:cs="Arial"/>
        </w:rPr>
        <w:t>with prospective buyers of renewable electricity to invest in Ontario’s clean technology economy at this pivotal moment for the province’s electricity system.</w:t>
      </w:r>
    </w:p>
    <w:p w14:paraId="3765F672" w14:textId="77777777" w:rsidR="00A619D3" w:rsidRDefault="00A619D3" w:rsidP="00A619D3">
      <w:pPr>
        <w:spacing w:line="276" w:lineRule="auto"/>
        <w:ind w:firstLine="720"/>
        <w:rPr>
          <w:rFonts w:ascii="Arial" w:hAnsi="Arial" w:cs="Arial"/>
        </w:rPr>
      </w:pPr>
      <w:r w:rsidRPr="000C218E">
        <w:rPr>
          <w:rFonts w:ascii="Arial" w:hAnsi="Arial" w:cs="Arial"/>
        </w:rPr>
        <w:t xml:space="preserve">In terms of best practice for clean energy sourcing for corporate buyers, </w:t>
      </w:r>
      <w:r>
        <w:rPr>
          <w:rFonts w:ascii="Arial" w:hAnsi="Arial" w:cs="Arial"/>
        </w:rPr>
        <w:t>RE100 reports that renewable energy PPAs are increasingly seen as the benchmark to meet for corporate renewable energy buyers seeking to maximize the impact of their investment, whereas unbundled EAs are declining in popularity.</w:t>
      </w:r>
      <w:r>
        <w:rPr>
          <w:rStyle w:val="FootnoteReference"/>
        </w:rPr>
        <w:footnoteReference w:id="1"/>
      </w:r>
      <w:r>
        <w:rPr>
          <w:rFonts w:ascii="Arial" w:hAnsi="Arial" w:cs="Arial"/>
        </w:rPr>
        <w:t xml:space="preserve"> </w:t>
      </w:r>
      <w:r w:rsidRPr="000C218E">
        <w:rPr>
          <w:rFonts w:ascii="Arial" w:hAnsi="Arial" w:cs="Arial"/>
        </w:rPr>
        <w:t xml:space="preserve">CanREA concurs with this view and would </w:t>
      </w:r>
      <w:r>
        <w:rPr>
          <w:rFonts w:ascii="Arial" w:hAnsi="Arial" w:cs="Arial"/>
        </w:rPr>
        <w:t>emphasize that while the establishment of a</w:t>
      </w:r>
      <w:r w:rsidRPr="000C218E">
        <w:rPr>
          <w:rFonts w:ascii="Arial" w:hAnsi="Arial" w:cs="Arial"/>
        </w:rPr>
        <w:t xml:space="preserve"> CEC</w:t>
      </w:r>
      <w:r>
        <w:rPr>
          <w:rFonts w:ascii="Arial" w:hAnsi="Arial" w:cs="Arial"/>
        </w:rPr>
        <w:t xml:space="preserve"> registry would be a positive step forward, there are many Ontario consumers for whom unbundled EAs are inadequate for meeting their clean electricity requirements, and for whom only bundled PPAs for both energy and environmental attributes would be the only acceptable option.</w:t>
      </w:r>
      <w:r w:rsidRPr="000C218E">
        <w:rPr>
          <w:rFonts w:ascii="Arial" w:hAnsi="Arial" w:cs="Arial"/>
        </w:rPr>
        <w:t xml:space="preserve"> </w:t>
      </w:r>
    </w:p>
    <w:p w14:paraId="5DAC442F" w14:textId="707BD201" w:rsidR="00A619D3" w:rsidRDefault="00A619D3" w:rsidP="00A619D3">
      <w:pPr>
        <w:spacing w:line="276" w:lineRule="auto"/>
        <w:rPr>
          <w:rFonts w:ascii="Arial" w:hAnsi="Arial" w:cs="Arial"/>
        </w:rPr>
      </w:pPr>
      <w:r>
        <w:rPr>
          <w:rFonts w:ascii="Arial" w:hAnsi="Arial" w:cs="Arial"/>
        </w:rPr>
        <w:tab/>
        <w:t xml:space="preserve">Regarding the </w:t>
      </w:r>
      <w:r w:rsidRPr="00AC2FD4">
        <w:rPr>
          <w:rFonts w:ascii="Arial" w:hAnsi="Arial" w:cs="Arial"/>
        </w:rPr>
        <w:t>changes to legislative and regulatory powers</w:t>
      </w:r>
      <w:r>
        <w:rPr>
          <w:rFonts w:ascii="Arial" w:hAnsi="Arial" w:cs="Arial"/>
        </w:rPr>
        <w:t xml:space="preserve"> t</w:t>
      </w:r>
      <w:r w:rsidRPr="00AC2FD4">
        <w:rPr>
          <w:rFonts w:ascii="Arial" w:hAnsi="Arial" w:cs="Arial"/>
        </w:rPr>
        <w:t>o support specific design elements, and overall administration of the registry</w:t>
      </w:r>
      <w:r>
        <w:rPr>
          <w:rFonts w:ascii="Arial" w:hAnsi="Arial" w:cs="Arial"/>
        </w:rPr>
        <w:t xml:space="preserve"> that the Ministry of Energy has proposed, CanREA offers the following recommendations:</w:t>
      </w:r>
    </w:p>
    <w:p w14:paraId="593470DD" w14:textId="77777777" w:rsidR="00A619D3" w:rsidRDefault="00A619D3" w:rsidP="00A619D3">
      <w:pPr>
        <w:spacing w:line="276" w:lineRule="auto"/>
        <w:rPr>
          <w:rFonts w:ascii="Arial" w:hAnsi="Arial" w:cs="Arial"/>
          <w:b/>
          <w:bCs/>
          <w:u w:val="single"/>
        </w:rPr>
      </w:pPr>
    </w:p>
    <w:p w14:paraId="34C0B7EF" w14:textId="77777777" w:rsidR="00A619D3" w:rsidRPr="0038237A" w:rsidRDefault="00A619D3" w:rsidP="00A619D3">
      <w:pPr>
        <w:spacing w:line="360" w:lineRule="auto"/>
        <w:rPr>
          <w:rFonts w:ascii="Arial" w:hAnsi="Arial" w:cs="Arial"/>
          <w:b/>
          <w:bCs/>
          <w:u w:val="single"/>
        </w:rPr>
      </w:pPr>
      <w:r>
        <w:rPr>
          <w:rFonts w:ascii="Arial" w:hAnsi="Arial" w:cs="Arial"/>
          <w:b/>
          <w:bCs/>
          <w:u w:val="single"/>
        </w:rPr>
        <w:t>Role of the IESO</w:t>
      </w:r>
    </w:p>
    <w:p w14:paraId="605D2523" w14:textId="77777777" w:rsidR="00A619D3" w:rsidRDefault="00A619D3" w:rsidP="00A619D3">
      <w:pPr>
        <w:spacing w:line="276" w:lineRule="auto"/>
        <w:rPr>
          <w:rFonts w:ascii="Arial" w:hAnsi="Arial" w:cs="Arial"/>
        </w:rPr>
      </w:pPr>
      <w:r w:rsidRPr="0038237A">
        <w:rPr>
          <w:rFonts w:ascii="Arial" w:hAnsi="Arial" w:cs="Arial"/>
        </w:rPr>
        <w:t>If the IESO is provided with the authority to establish or designate a CEC registry for Ontario, it would be highly inappropriate for the IESO to also act as a market participant, and to make available the CECs it holds</w:t>
      </w:r>
      <w:r>
        <w:rPr>
          <w:rFonts w:ascii="Arial" w:hAnsi="Arial" w:cs="Arial"/>
        </w:rPr>
        <w:t xml:space="preserve">. </w:t>
      </w:r>
      <w:r w:rsidRPr="00227525">
        <w:rPr>
          <w:rFonts w:ascii="Arial" w:hAnsi="Arial" w:cs="Arial"/>
        </w:rPr>
        <w:t>Independence and transparency of the tracking systems is essential for the integrity of the attribute</w:t>
      </w:r>
      <w:r>
        <w:rPr>
          <w:rFonts w:ascii="Arial" w:hAnsi="Arial" w:cs="Arial"/>
        </w:rPr>
        <w:t xml:space="preserve"> market. CanREA recommends that the Ministry designate a third party to manage the CEC registry. </w:t>
      </w:r>
    </w:p>
    <w:p w14:paraId="70669D55" w14:textId="41EC1608" w:rsidR="00A619D3" w:rsidRDefault="00A619D3" w:rsidP="00A619D3">
      <w:pPr>
        <w:spacing w:line="276" w:lineRule="auto"/>
        <w:ind w:firstLine="720"/>
        <w:rPr>
          <w:rFonts w:ascii="Arial" w:hAnsi="Arial" w:cs="Arial"/>
        </w:rPr>
      </w:pPr>
      <w:r>
        <w:rPr>
          <w:rFonts w:ascii="Arial" w:hAnsi="Arial" w:cs="Arial"/>
        </w:rPr>
        <w:t xml:space="preserve">EAs from assets currently under contract accrue to the IESO. CanREA would </w:t>
      </w:r>
      <w:r>
        <w:rPr>
          <w:rFonts w:ascii="Arial" w:hAnsi="Arial" w:cs="Arial"/>
        </w:rPr>
        <w:t>support exploring an arrangement whereby</w:t>
      </w:r>
      <w:r>
        <w:rPr>
          <w:rFonts w:ascii="Arial" w:hAnsi="Arial" w:cs="Arial"/>
        </w:rPr>
        <w:t xml:space="preserve"> the IESO </w:t>
      </w:r>
      <w:r>
        <w:rPr>
          <w:rFonts w:ascii="Arial" w:hAnsi="Arial" w:cs="Arial"/>
        </w:rPr>
        <w:t>would</w:t>
      </w:r>
      <w:r>
        <w:rPr>
          <w:rFonts w:ascii="Arial" w:hAnsi="Arial" w:cs="Arial"/>
        </w:rPr>
        <w:t xml:space="preserve"> offer asset owners the right of first refusal to purchase EAs from their own operating assets</w:t>
      </w:r>
      <w:r>
        <w:rPr>
          <w:rFonts w:ascii="Arial" w:hAnsi="Arial" w:cs="Arial"/>
        </w:rPr>
        <w:t>,</w:t>
      </w:r>
      <w:r>
        <w:rPr>
          <w:rFonts w:ascii="Arial" w:hAnsi="Arial" w:cs="Arial"/>
        </w:rPr>
        <w:t xml:space="preserve"> either to meet internal corporate compliance obligations, or to retail at their own discretion. Going forward, EAs from new assets including those sourced through the ongoing and future IESO RFP processes should remain the property of the individual asset owners. </w:t>
      </w:r>
    </w:p>
    <w:p w14:paraId="2BAEBC1E" w14:textId="77777777" w:rsidR="00A619D3" w:rsidRPr="00F15022" w:rsidRDefault="00A619D3" w:rsidP="00A619D3">
      <w:pPr>
        <w:spacing w:line="360" w:lineRule="auto"/>
        <w:rPr>
          <w:rFonts w:ascii="Arial" w:hAnsi="Arial" w:cs="Arial"/>
        </w:rPr>
      </w:pPr>
    </w:p>
    <w:p w14:paraId="697396A6" w14:textId="77777777" w:rsidR="00A619D3" w:rsidRPr="0038237A" w:rsidRDefault="00A619D3" w:rsidP="00A619D3">
      <w:pPr>
        <w:spacing w:line="360" w:lineRule="auto"/>
        <w:rPr>
          <w:rFonts w:ascii="Arial" w:hAnsi="Arial" w:cs="Arial"/>
          <w:b/>
          <w:bCs/>
          <w:u w:val="single"/>
        </w:rPr>
      </w:pPr>
      <w:r>
        <w:rPr>
          <w:rFonts w:ascii="Arial" w:hAnsi="Arial" w:cs="Arial"/>
          <w:b/>
          <w:bCs/>
          <w:u w:val="single"/>
        </w:rPr>
        <w:t>Monetization of Environmental Attributes from regulated assets and IESO procurement contracts</w:t>
      </w:r>
    </w:p>
    <w:p w14:paraId="126750A6" w14:textId="77777777" w:rsidR="00A619D3" w:rsidRDefault="00A619D3" w:rsidP="00A619D3">
      <w:pPr>
        <w:spacing w:line="276" w:lineRule="auto"/>
        <w:rPr>
          <w:rFonts w:ascii="Arial" w:hAnsi="Arial" w:cs="Arial"/>
        </w:rPr>
      </w:pPr>
      <w:r>
        <w:rPr>
          <w:rFonts w:ascii="Arial" w:hAnsi="Arial" w:cs="Arial"/>
        </w:rPr>
        <w:t xml:space="preserve">The sale of CECs from existing operating clean and renewable energy assets in Ontario to interested Ontario customers would enable those entities to verify their clean electricity consumption.  For some companies, this is an essential requirement for new investment decisions and is therefore one option for Ontario to remain competitive among its peers for those jobs and investment dollars. However, transferring CECs to specific buyers has important implications for remaining customers, in that the </w:t>
      </w:r>
      <w:r>
        <w:rPr>
          <w:rFonts w:ascii="Arial" w:hAnsi="Arial" w:cs="Arial"/>
        </w:rPr>
        <w:lastRenderedPageBreak/>
        <w:t>emissions profile of the grid for companies and households not purchasing CECs would rise even higher than the current forecast. This could potentially run counter to those customers’ preferences if they are committed to non-emitting resources or have Environmental, Social, and Governance (ESG) targets of their own.  For this reason, CanREA recommends that any CEC program be capped so as to maintain the broader Ontario market at 85% non-emitting. In the absence of new non-emitting generation, the proportion of non-emitting generation in Ontario’s supply mix forecasted to decline from approximately 90% to 74% over the coming two decades, EAs from non-emitting generation will become increasingly scarce over the coming years if the Ontario grid is to remain at an acceptable level of emissions intensity for ratepayers who do not opt to purchase CECs.</w:t>
      </w:r>
    </w:p>
    <w:p w14:paraId="208DAAD3" w14:textId="77777777" w:rsidR="00A619D3" w:rsidRDefault="00A619D3" w:rsidP="00A619D3">
      <w:pPr>
        <w:spacing w:line="360" w:lineRule="auto"/>
        <w:rPr>
          <w:rFonts w:ascii="Arial" w:hAnsi="Arial" w:cs="Arial"/>
        </w:rPr>
      </w:pPr>
    </w:p>
    <w:p w14:paraId="75DF352B" w14:textId="77777777" w:rsidR="00A619D3" w:rsidRDefault="00A619D3" w:rsidP="00A619D3">
      <w:pPr>
        <w:spacing w:line="360" w:lineRule="auto"/>
        <w:jc w:val="center"/>
        <w:rPr>
          <w:rFonts w:ascii="Arial" w:hAnsi="Arial" w:cs="Arial"/>
        </w:rPr>
      </w:pPr>
      <w:r>
        <w:rPr>
          <w:noProof/>
        </w:rPr>
        <w:drawing>
          <wp:inline distT="0" distB="0" distL="0" distR="0" wp14:anchorId="357541E4" wp14:editId="6E6DA99B">
            <wp:extent cx="4987925" cy="2946400"/>
            <wp:effectExtent l="0" t="0" r="3175" b="6350"/>
            <wp:docPr id="2" name="Chart 2">
              <a:extLst xmlns:a="http://schemas.openxmlformats.org/drawingml/2006/main">
                <a:ext uri="{FF2B5EF4-FFF2-40B4-BE49-F238E27FC236}">
                  <a16:creationId xmlns:a16="http://schemas.microsoft.com/office/drawing/2014/main" id="{99B6A5B1-084A-DF12-954E-ADD3C93D1E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155B79" w14:textId="77777777" w:rsidR="00A619D3" w:rsidRDefault="00A619D3" w:rsidP="00A619D3">
      <w:pPr>
        <w:spacing w:line="276" w:lineRule="auto"/>
        <w:rPr>
          <w:rFonts w:ascii="Arial" w:hAnsi="Arial" w:cs="Arial"/>
        </w:rPr>
      </w:pPr>
    </w:p>
    <w:p w14:paraId="0F07AEA1" w14:textId="627F7E18" w:rsidR="00A619D3" w:rsidRDefault="00A619D3" w:rsidP="00A619D3">
      <w:pPr>
        <w:spacing w:line="276" w:lineRule="auto"/>
        <w:rPr>
          <w:rFonts w:ascii="Arial" w:hAnsi="Arial" w:cs="Arial"/>
        </w:rPr>
      </w:pPr>
      <w:r>
        <w:rPr>
          <w:rFonts w:ascii="Arial" w:hAnsi="Arial" w:cs="Arial"/>
        </w:rPr>
        <w:t>Another important consideration in terms of scoping the size of the program is to ensure the proper balance of supply and demand: Restricting the volume of unbundled EAs made available for purchase would help to ensure a higher price per EA, while maintaining a low-emission-intensity grid for non-EA-purchasing Ontario consumers.</w:t>
      </w:r>
    </w:p>
    <w:p w14:paraId="34C321A4" w14:textId="77777777" w:rsidR="00A619D3" w:rsidRPr="007327E2" w:rsidRDefault="00A619D3" w:rsidP="00A619D3">
      <w:pPr>
        <w:spacing w:line="360" w:lineRule="auto"/>
        <w:rPr>
          <w:rFonts w:ascii="Arial" w:hAnsi="Arial" w:cs="Arial"/>
        </w:rPr>
      </w:pPr>
    </w:p>
    <w:p w14:paraId="3CEE7189" w14:textId="77777777" w:rsidR="00A619D3" w:rsidRPr="00FA42F7" w:rsidRDefault="00A619D3" w:rsidP="00A619D3">
      <w:pPr>
        <w:spacing w:line="360" w:lineRule="auto"/>
        <w:rPr>
          <w:rFonts w:ascii="Arial" w:hAnsi="Arial" w:cs="Arial"/>
          <w:b/>
          <w:bCs/>
          <w:u w:val="single"/>
        </w:rPr>
      </w:pPr>
      <w:r>
        <w:rPr>
          <w:rFonts w:ascii="Arial" w:hAnsi="Arial" w:cs="Arial"/>
          <w:b/>
          <w:bCs/>
          <w:u w:val="single"/>
        </w:rPr>
        <w:t>Tracking and classification of EAs</w:t>
      </w:r>
    </w:p>
    <w:p w14:paraId="22867042" w14:textId="77777777" w:rsidR="00A619D3" w:rsidRDefault="00A619D3" w:rsidP="00A619D3">
      <w:pPr>
        <w:spacing w:line="276" w:lineRule="auto"/>
        <w:rPr>
          <w:rFonts w:ascii="Arial" w:hAnsi="Arial" w:cs="Arial"/>
        </w:rPr>
      </w:pPr>
      <w:r>
        <w:rPr>
          <w:rFonts w:ascii="Arial" w:hAnsi="Arial" w:cs="Arial"/>
        </w:rPr>
        <w:t xml:space="preserve">The CEC registry system envisioned would enable </w:t>
      </w:r>
      <w:r w:rsidRPr="0038237A">
        <w:rPr>
          <w:rFonts w:ascii="Arial" w:hAnsi="Arial" w:cs="Arial"/>
        </w:rPr>
        <w:t>all Ontario-based non-</w:t>
      </w:r>
      <w:r>
        <w:rPr>
          <w:rFonts w:ascii="Arial" w:hAnsi="Arial" w:cs="Arial"/>
        </w:rPr>
        <w:t xml:space="preserve">emitting </w:t>
      </w:r>
      <w:r w:rsidRPr="0038237A">
        <w:rPr>
          <w:rFonts w:ascii="Arial" w:hAnsi="Arial" w:cs="Arial"/>
        </w:rPr>
        <w:t>generation facilities to enroll and certify their generation, track ownership of the credit, and retire the CEC so that it can not be claimed by any other party</w:t>
      </w:r>
      <w:r>
        <w:rPr>
          <w:rFonts w:ascii="Arial" w:hAnsi="Arial" w:cs="Arial"/>
        </w:rPr>
        <w:t>. While most prospective customers would prefer CECs from new-build wind and solar PV facilities rather than from existing renewables or other non-emitting generation, there may be companies that have no such requirements. To ensure fair valuation of different classifications of EAs in terms of different buyers’ specific requirements, CanREA recommends clear classification of EAs by:</w:t>
      </w:r>
    </w:p>
    <w:p w14:paraId="1A8D6580" w14:textId="77777777" w:rsidR="00A619D3" w:rsidRDefault="00A619D3" w:rsidP="00A619D3">
      <w:pPr>
        <w:pStyle w:val="ListParagraph"/>
        <w:numPr>
          <w:ilvl w:val="1"/>
          <w:numId w:val="21"/>
        </w:numPr>
        <w:spacing w:before="0" w:after="140" w:line="276" w:lineRule="auto"/>
        <w:contextualSpacing/>
        <w:rPr>
          <w:rFonts w:ascii="Arial" w:hAnsi="Arial" w:cs="Arial"/>
        </w:rPr>
      </w:pPr>
      <w:r w:rsidRPr="001868E1">
        <w:rPr>
          <w:rFonts w:ascii="Arial" w:hAnsi="Arial" w:cs="Arial"/>
        </w:rPr>
        <w:t>Resource/fuel Type (</w:t>
      </w:r>
      <w:proofErr w:type="gramStart"/>
      <w:r w:rsidRPr="001868E1">
        <w:rPr>
          <w:rFonts w:ascii="Arial" w:hAnsi="Arial" w:cs="Arial"/>
        </w:rPr>
        <w:t>e.g.</w:t>
      </w:r>
      <w:proofErr w:type="gramEnd"/>
      <w:r w:rsidRPr="001868E1">
        <w:rPr>
          <w:rFonts w:ascii="Arial" w:hAnsi="Arial" w:cs="Arial"/>
        </w:rPr>
        <w:t xml:space="preserve"> wind, solar, etc.) </w:t>
      </w:r>
    </w:p>
    <w:p w14:paraId="3D7BAAF4" w14:textId="77777777" w:rsidR="00A619D3" w:rsidRDefault="00A619D3" w:rsidP="00A619D3">
      <w:pPr>
        <w:pStyle w:val="ListParagraph"/>
        <w:numPr>
          <w:ilvl w:val="1"/>
          <w:numId w:val="21"/>
        </w:numPr>
        <w:spacing w:before="0" w:after="140" w:line="276" w:lineRule="auto"/>
        <w:contextualSpacing/>
        <w:rPr>
          <w:rFonts w:ascii="Arial" w:hAnsi="Arial" w:cs="Arial"/>
        </w:rPr>
      </w:pPr>
      <w:r w:rsidRPr="001868E1">
        <w:rPr>
          <w:rFonts w:ascii="Arial" w:hAnsi="Arial" w:cs="Arial"/>
        </w:rPr>
        <w:t xml:space="preserve">Serial ID o Generator ID o Generator Name </w:t>
      </w:r>
    </w:p>
    <w:p w14:paraId="4C5A291C" w14:textId="77777777" w:rsidR="00A619D3" w:rsidRDefault="00A619D3" w:rsidP="00A619D3">
      <w:pPr>
        <w:pStyle w:val="ListParagraph"/>
        <w:numPr>
          <w:ilvl w:val="1"/>
          <w:numId w:val="21"/>
        </w:numPr>
        <w:spacing w:before="0" w:after="140" w:line="276" w:lineRule="auto"/>
        <w:contextualSpacing/>
        <w:rPr>
          <w:rFonts w:ascii="Arial" w:hAnsi="Arial" w:cs="Arial"/>
        </w:rPr>
      </w:pPr>
      <w:r w:rsidRPr="001868E1">
        <w:rPr>
          <w:rFonts w:ascii="Arial" w:hAnsi="Arial" w:cs="Arial"/>
        </w:rPr>
        <w:t xml:space="preserve">Generator Location o Vintage (date of generation) </w:t>
      </w:r>
    </w:p>
    <w:p w14:paraId="39E7E22D" w14:textId="77777777" w:rsidR="00A619D3" w:rsidRDefault="00A619D3" w:rsidP="00A619D3">
      <w:pPr>
        <w:pStyle w:val="ListParagraph"/>
        <w:numPr>
          <w:ilvl w:val="1"/>
          <w:numId w:val="21"/>
        </w:numPr>
        <w:spacing w:before="0" w:after="140" w:line="276" w:lineRule="auto"/>
        <w:contextualSpacing/>
        <w:rPr>
          <w:rFonts w:ascii="Arial" w:hAnsi="Arial" w:cs="Arial"/>
        </w:rPr>
      </w:pPr>
      <w:r w:rsidRPr="001868E1">
        <w:rPr>
          <w:rFonts w:ascii="Arial" w:hAnsi="Arial" w:cs="Arial"/>
        </w:rPr>
        <w:t xml:space="preserve">Issuance Date </w:t>
      </w:r>
    </w:p>
    <w:p w14:paraId="0FDCAB5F" w14:textId="77777777" w:rsidR="00A619D3" w:rsidRPr="00282B27" w:rsidRDefault="00A619D3" w:rsidP="00A619D3">
      <w:pPr>
        <w:pStyle w:val="ListParagraph"/>
        <w:spacing w:line="276" w:lineRule="auto"/>
        <w:ind w:left="1440"/>
        <w:rPr>
          <w:rFonts w:ascii="Arial" w:hAnsi="Arial" w:cs="Arial"/>
        </w:rPr>
      </w:pPr>
    </w:p>
    <w:p w14:paraId="1FA718E1" w14:textId="57FAC1A9" w:rsidR="00A619D3" w:rsidRDefault="00A619D3" w:rsidP="00A619D3">
      <w:pPr>
        <w:spacing w:line="276" w:lineRule="auto"/>
        <w:rPr>
          <w:rFonts w:ascii="Arial" w:hAnsi="Arial" w:cs="Arial"/>
          <w:b/>
          <w:bCs/>
          <w:u w:val="single"/>
        </w:rPr>
      </w:pPr>
      <w:r>
        <w:rPr>
          <w:rFonts w:ascii="Arial" w:hAnsi="Arial" w:cs="Arial"/>
          <w:b/>
          <w:bCs/>
          <w:u w:val="single"/>
        </w:rPr>
        <w:lastRenderedPageBreak/>
        <w:t>Management of revenues</w:t>
      </w:r>
    </w:p>
    <w:p w14:paraId="49E4582C" w14:textId="77777777" w:rsidR="00A619D3" w:rsidRPr="00DD08D8" w:rsidRDefault="00A619D3" w:rsidP="00A619D3">
      <w:pPr>
        <w:spacing w:line="276" w:lineRule="auto"/>
        <w:rPr>
          <w:rFonts w:ascii="Arial" w:hAnsi="Arial" w:cs="Arial"/>
          <w:b/>
          <w:bCs/>
          <w:u w:val="single"/>
        </w:rPr>
      </w:pPr>
    </w:p>
    <w:p w14:paraId="68724082" w14:textId="77777777" w:rsidR="00A619D3" w:rsidRDefault="00A619D3" w:rsidP="00A619D3">
      <w:pPr>
        <w:spacing w:line="276" w:lineRule="auto"/>
        <w:rPr>
          <w:rFonts w:ascii="Arial" w:hAnsi="Arial" w:cs="Arial"/>
        </w:rPr>
      </w:pPr>
      <w:r>
        <w:rPr>
          <w:rFonts w:ascii="Arial" w:hAnsi="Arial" w:cs="Arial"/>
        </w:rPr>
        <w:t>Noting that since</w:t>
      </w:r>
      <w:r w:rsidRPr="00F10C5A">
        <w:t xml:space="preserve"> </w:t>
      </w:r>
      <w:r w:rsidRPr="00F10C5A">
        <w:rPr>
          <w:rFonts w:ascii="Arial" w:hAnsi="Arial" w:cs="Arial"/>
        </w:rPr>
        <w:t xml:space="preserve">January 1, 2021, the Comprehensive Electricity Plan </w:t>
      </w:r>
      <w:r>
        <w:rPr>
          <w:rFonts w:ascii="Arial" w:hAnsi="Arial" w:cs="Arial"/>
        </w:rPr>
        <w:t>has shifted</w:t>
      </w:r>
      <w:r w:rsidRPr="00F10C5A">
        <w:rPr>
          <w:rFonts w:ascii="Arial" w:hAnsi="Arial" w:cs="Arial"/>
        </w:rPr>
        <w:t xml:space="preserve"> Global Adjustment (GA) costs for wind, solar and bioenergy</w:t>
      </w:r>
      <w:r>
        <w:rPr>
          <w:rFonts w:ascii="Arial" w:hAnsi="Arial" w:cs="Arial"/>
        </w:rPr>
        <w:t xml:space="preserve"> under IESO contract</w:t>
      </w:r>
      <w:r w:rsidRPr="00F10C5A">
        <w:rPr>
          <w:rFonts w:ascii="Arial" w:hAnsi="Arial" w:cs="Arial"/>
        </w:rPr>
        <w:t xml:space="preserve"> from the rate base to the</w:t>
      </w:r>
      <w:r>
        <w:rPr>
          <w:rFonts w:ascii="Arial" w:hAnsi="Arial" w:cs="Arial"/>
        </w:rPr>
        <w:t xml:space="preserve"> provincial tax base, CanREA would recommend that, in the interests of simplicity, the</w:t>
      </w:r>
      <w:r w:rsidRPr="00DD08D8">
        <w:rPr>
          <w:rFonts w:ascii="Arial" w:hAnsi="Arial" w:cs="Arial"/>
        </w:rPr>
        <w:t xml:space="preserve"> </w:t>
      </w:r>
      <w:r>
        <w:rPr>
          <w:rFonts w:ascii="Arial" w:hAnsi="Arial" w:cs="Arial"/>
        </w:rPr>
        <w:t>M</w:t>
      </w:r>
      <w:r w:rsidRPr="00DD08D8">
        <w:rPr>
          <w:rFonts w:ascii="Arial" w:hAnsi="Arial" w:cs="Arial"/>
        </w:rPr>
        <w:t xml:space="preserve">inister direct </w:t>
      </w:r>
      <w:r>
        <w:rPr>
          <w:rFonts w:ascii="Arial" w:hAnsi="Arial" w:cs="Arial"/>
        </w:rPr>
        <w:t>any</w:t>
      </w:r>
      <w:r w:rsidRPr="00DD08D8">
        <w:rPr>
          <w:rFonts w:ascii="Arial" w:hAnsi="Arial" w:cs="Arial"/>
        </w:rPr>
        <w:t xml:space="preserve"> revenues from CECs created by regulated assets owned by Ontario Power Generation Inc</w:t>
      </w:r>
      <w:r>
        <w:rPr>
          <w:rFonts w:ascii="Arial" w:hAnsi="Arial" w:cs="Arial"/>
        </w:rPr>
        <w:t xml:space="preserve">. or assets currently under contract to the IESO to be returned directly to Ontario ratepayers. Going forward, the Ministry should affirm that CECs should remain with the owner of any new generation assets commissioned in Ontario to be used at their discretion, as an incentive to draw investment in </w:t>
      </w:r>
      <w:proofErr w:type="gramStart"/>
      <w:r>
        <w:rPr>
          <w:rFonts w:ascii="Arial" w:hAnsi="Arial" w:cs="Arial"/>
        </w:rPr>
        <w:t>urgently-needed</w:t>
      </w:r>
      <w:proofErr w:type="gramEnd"/>
      <w:r>
        <w:rPr>
          <w:rFonts w:ascii="Arial" w:hAnsi="Arial" w:cs="Arial"/>
        </w:rPr>
        <w:t xml:space="preserve"> new non-emitting generation resources in the province.  </w:t>
      </w:r>
    </w:p>
    <w:p w14:paraId="0221B417" w14:textId="77777777" w:rsidR="00A619D3" w:rsidRDefault="00A619D3" w:rsidP="00A619D3">
      <w:pPr>
        <w:spacing w:line="360" w:lineRule="auto"/>
        <w:rPr>
          <w:rFonts w:ascii="Arial" w:hAnsi="Arial" w:cs="Arial"/>
        </w:rPr>
      </w:pPr>
    </w:p>
    <w:p w14:paraId="2FCE62F6" w14:textId="12CE11A6" w:rsidR="00A619D3" w:rsidRPr="00B1193A" w:rsidRDefault="00A619D3" w:rsidP="00A619D3">
      <w:pPr>
        <w:spacing w:after="160" w:line="276" w:lineRule="auto"/>
        <w:rPr>
          <w:rFonts w:ascii="Arial" w:hAnsi="Arial" w:cs="Arial"/>
          <w:b/>
          <w:bCs/>
          <w:u w:val="single"/>
        </w:rPr>
      </w:pPr>
      <w:r w:rsidRPr="00B1193A">
        <w:rPr>
          <w:rFonts w:ascii="Arial" w:hAnsi="Arial" w:cs="Arial"/>
          <w:b/>
          <w:bCs/>
          <w:u w:val="single"/>
        </w:rPr>
        <w:t>Summary of Recommendations</w:t>
      </w:r>
    </w:p>
    <w:p w14:paraId="1BB737E2" w14:textId="11F60FDC" w:rsidR="00A619D3" w:rsidRDefault="00A619D3" w:rsidP="00A619D3">
      <w:pPr>
        <w:spacing w:line="276" w:lineRule="auto"/>
        <w:rPr>
          <w:rFonts w:ascii="Arial" w:hAnsi="Arial" w:cs="Arial"/>
        </w:rPr>
      </w:pPr>
      <w:r>
        <w:rPr>
          <w:rFonts w:ascii="Arial" w:hAnsi="Arial" w:cs="Arial"/>
        </w:rPr>
        <w:t>In summary, CanREA respectfully submits the following recommendations to the government in consideration of the creation of a CEC program:</w:t>
      </w:r>
      <w:r>
        <w:rPr>
          <w:rFonts w:ascii="Arial" w:hAnsi="Arial" w:cs="Arial"/>
        </w:rPr>
        <w:br/>
      </w:r>
    </w:p>
    <w:p w14:paraId="399E7B18" w14:textId="389437CA" w:rsidR="00A619D3" w:rsidRPr="00A619D3" w:rsidRDefault="00A619D3" w:rsidP="00A619D3">
      <w:pPr>
        <w:pStyle w:val="ListParagraph"/>
        <w:numPr>
          <w:ilvl w:val="0"/>
          <w:numId w:val="20"/>
        </w:numPr>
        <w:spacing w:before="0" w:after="140" w:line="276" w:lineRule="auto"/>
        <w:contextualSpacing/>
        <w:rPr>
          <w:rFonts w:ascii="Arial" w:hAnsi="Arial" w:cs="Arial"/>
        </w:rPr>
      </w:pPr>
      <w:r>
        <w:rPr>
          <w:rFonts w:ascii="Arial" w:hAnsi="Arial" w:cs="Arial"/>
        </w:rPr>
        <w:t>The registry be managed by an independent third party rather than by the IESO.</w:t>
      </w:r>
    </w:p>
    <w:p w14:paraId="764AA171" w14:textId="77777777" w:rsidR="00A619D3" w:rsidRPr="007C6994" w:rsidRDefault="00A619D3" w:rsidP="00A619D3">
      <w:pPr>
        <w:pStyle w:val="ListParagraph"/>
        <w:numPr>
          <w:ilvl w:val="0"/>
          <w:numId w:val="20"/>
        </w:numPr>
        <w:spacing w:before="0" w:after="140" w:line="276" w:lineRule="auto"/>
        <w:contextualSpacing/>
        <w:rPr>
          <w:rFonts w:ascii="Arial" w:hAnsi="Arial" w:cs="Arial"/>
        </w:rPr>
      </w:pPr>
      <w:r>
        <w:rPr>
          <w:rFonts w:ascii="Arial" w:hAnsi="Arial" w:cs="Arial"/>
        </w:rPr>
        <w:t xml:space="preserve">Any CEC program should maintain a minimum threshold on remaining emissions </w:t>
      </w:r>
      <w:r w:rsidRPr="00BA65C3">
        <w:rPr>
          <w:rFonts w:ascii="Arial" w:hAnsi="Arial" w:cs="Arial"/>
        </w:rPr>
        <w:t>of 85%</w:t>
      </w:r>
      <w:r>
        <w:rPr>
          <w:rFonts w:ascii="Arial" w:hAnsi="Arial" w:cs="Arial"/>
        </w:rPr>
        <w:t xml:space="preserve"> total generation outside the CEC program.</w:t>
      </w:r>
    </w:p>
    <w:p w14:paraId="2820551A" w14:textId="77777777" w:rsidR="00A619D3" w:rsidRDefault="00A619D3" w:rsidP="00A619D3">
      <w:pPr>
        <w:pStyle w:val="ListParagraph"/>
        <w:numPr>
          <w:ilvl w:val="0"/>
          <w:numId w:val="20"/>
        </w:numPr>
        <w:spacing w:before="0" w:after="140" w:line="276" w:lineRule="auto"/>
        <w:contextualSpacing/>
        <w:rPr>
          <w:rFonts w:ascii="Arial" w:hAnsi="Arial" w:cs="Arial"/>
        </w:rPr>
      </w:pPr>
      <w:r>
        <w:rPr>
          <w:rFonts w:ascii="Arial" w:hAnsi="Arial" w:cs="Arial"/>
        </w:rPr>
        <w:t>The program should be classified into CEC categories based on the fuel type and/or vintage to allow greater customer choice and set appropriate price signals.</w:t>
      </w:r>
    </w:p>
    <w:p w14:paraId="7B6D9365" w14:textId="77777777" w:rsidR="00A619D3" w:rsidRPr="00B1193A" w:rsidRDefault="00A619D3" w:rsidP="00A619D3">
      <w:pPr>
        <w:pStyle w:val="ListParagraph"/>
        <w:numPr>
          <w:ilvl w:val="0"/>
          <w:numId w:val="20"/>
        </w:numPr>
        <w:spacing w:before="0" w:after="140" w:line="276" w:lineRule="auto"/>
        <w:contextualSpacing/>
        <w:rPr>
          <w:rFonts w:ascii="Arial" w:hAnsi="Arial" w:cs="Arial"/>
        </w:rPr>
      </w:pPr>
      <w:r>
        <w:rPr>
          <w:rFonts w:ascii="Arial" w:hAnsi="Arial" w:cs="Arial"/>
        </w:rPr>
        <w:t xml:space="preserve"> The CEC program should be complementary to other customer options to achieve ESG goals, including corporate PPAs </w:t>
      </w:r>
    </w:p>
    <w:p w14:paraId="4CAEE6A7" w14:textId="6CD378B2" w:rsidR="00A0515F" w:rsidRPr="00A0515F" w:rsidRDefault="00A0515F" w:rsidP="00A0515F">
      <w:pPr>
        <w:pStyle w:val="ListParagraph"/>
        <w:spacing w:before="0" w:after="0" w:line="240" w:lineRule="auto"/>
        <w:ind w:left="720"/>
        <w:rPr>
          <w:rFonts w:eastAsia="Times New Roman"/>
        </w:rPr>
      </w:pPr>
      <w:r>
        <w:rPr>
          <w:rFonts w:eastAsia="Times New Roman"/>
        </w:rPr>
        <w:br/>
      </w:r>
    </w:p>
    <w:p w14:paraId="592C390E" w14:textId="60D666DD" w:rsidR="00F710D2" w:rsidRDefault="00F710D2" w:rsidP="00F710D2">
      <w:pPr>
        <w:ind w:left="50"/>
      </w:pPr>
    </w:p>
    <w:p w14:paraId="1E1A2C84" w14:textId="15923AE5" w:rsidR="00F710D2" w:rsidRPr="00A0515F" w:rsidRDefault="00A0515F" w:rsidP="00F710D2">
      <w:pPr>
        <w:rPr>
          <w:b/>
          <w:bCs/>
        </w:rPr>
      </w:pPr>
      <w:r w:rsidRPr="00A0515F">
        <w:rPr>
          <w:b/>
          <w:bCs/>
        </w:rPr>
        <w:t>Contact:</w:t>
      </w:r>
    </w:p>
    <w:p w14:paraId="2B0254C8" w14:textId="175583A0" w:rsidR="00F710D2" w:rsidRDefault="00F710D2" w:rsidP="00F710D2"/>
    <w:p w14:paraId="46A752B0" w14:textId="26DCC9CB" w:rsidR="00F710D2" w:rsidRPr="00F710D2" w:rsidRDefault="00F710D2" w:rsidP="00F710D2">
      <w:r>
        <w:t>Nicholas Gall</w:t>
      </w:r>
      <w:r>
        <w:br/>
        <w:t xml:space="preserve">Ontario Director, </w:t>
      </w:r>
      <w:r>
        <w:br/>
        <w:t>Canadian Renewable Energy Association (CanREA)</w:t>
      </w:r>
      <w:r>
        <w:br/>
      </w:r>
      <w:hyperlink r:id="rId13" w:history="1">
        <w:r w:rsidRPr="00C870A4">
          <w:rPr>
            <w:rStyle w:val="Hyperlink"/>
          </w:rPr>
          <w:t>ngall@renewablesassociation.ca</w:t>
        </w:r>
      </w:hyperlink>
      <w:r>
        <w:t xml:space="preserve"> </w:t>
      </w:r>
    </w:p>
    <w:sectPr w:rsidR="00F710D2" w:rsidRPr="00F710D2" w:rsidSect="009D2C48">
      <w:footerReference w:type="even" r:id="rId14"/>
      <w:footerReference w:type="default" r:id="rId15"/>
      <w:headerReference w:type="first" r:id="rId16"/>
      <w:footerReference w:type="first" r:id="rId17"/>
      <w:pgSz w:w="12240" w:h="15840" w:code="1"/>
      <w:pgMar w:top="1080" w:right="1080" w:bottom="1080" w:left="108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8BBE" w14:textId="77777777" w:rsidR="00171F94" w:rsidRDefault="00171F94" w:rsidP="002E7E43">
      <w:r>
        <w:separator/>
      </w:r>
    </w:p>
  </w:endnote>
  <w:endnote w:type="continuationSeparator" w:id="0">
    <w:p w14:paraId="340A4CDD" w14:textId="77777777" w:rsidR="00171F94" w:rsidRDefault="00171F94" w:rsidP="002E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55FF" w14:textId="5406415F" w:rsidR="009D2C48" w:rsidRPr="00832F5F" w:rsidRDefault="000C19B5" w:rsidP="000C19B5">
    <w:pPr>
      <w:pStyle w:val="Footer"/>
    </w:pPr>
    <w:r w:rsidRPr="00832F5F">
      <w:rPr>
        <w:rStyle w:val="PageNumber"/>
      </w:rPr>
      <w:fldChar w:fldCharType="begin"/>
    </w:r>
    <w:r w:rsidRPr="00832F5F">
      <w:rPr>
        <w:rStyle w:val="PageNumber"/>
      </w:rPr>
      <w:instrText xml:space="preserve"> PAGE   \* MERGEFORMAT </w:instrText>
    </w:r>
    <w:r w:rsidRPr="00832F5F">
      <w:rPr>
        <w:rStyle w:val="PageNumber"/>
      </w:rPr>
      <w:fldChar w:fldCharType="separate"/>
    </w:r>
    <w:r w:rsidRPr="00832F5F">
      <w:rPr>
        <w:rStyle w:val="PageNumber"/>
      </w:rPr>
      <w:t>1</w:t>
    </w:r>
    <w:r w:rsidRPr="00832F5F">
      <w:rPr>
        <w:rStyle w:val="PageNumber"/>
      </w:rPr>
      <w:fldChar w:fldCharType="end"/>
    </w:r>
    <w:r w:rsidR="001374CD" w:rsidRPr="00832F5F">
      <w:t xml:space="preserve">   </w:t>
    </w:r>
    <w:r w:rsidR="001374CD" w:rsidRPr="00832F5F">
      <w:rPr>
        <w:b/>
        <w:bCs/>
        <w:color w:val="00A9AC"/>
      </w:rPr>
      <w:t>Canadian Renewable Energy Association</w:t>
    </w:r>
    <w:r w:rsidR="001374CD" w:rsidRPr="00832F5F">
      <w:tab/>
    </w:r>
    <w:r w:rsidR="001374CD" w:rsidRPr="00832F5F">
      <w:rPr>
        <w:rStyle w:val="Hyperlink"/>
        <w:u w:val="none"/>
      </w:rPr>
      <w:t>www.renewablesassociation.ca</w:t>
    </w:r>
    <w:r w:rsidR="001374CD" w:rsidRPr="00832F5F">
      <w:t xml:space="preserve"> | </w:t>
    </w:r>
    <w:r w:rsidR="001374CD" w:rsidRPr="00832F5F">
      <w:rPr>
        <w:rStyle w:val="Hyperlink"/>
        <w:u w:val="none"/>
      </w:rPr>
      <w:t>www.associationrenouvelable.ca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414C" w14:textId="6396C50D" w:rsidR="002D4489" w:rsidRPr="00832F5F" w:rsidRDefault="00EF6131" w:rsidP="00EF6131">
    <w:pPr>
      <w:pStyle w:val="Footer"/>
    </w:pPr>
    <w:r w:rsidRPr="00832F5F">
      <w:rPr>
        <w:rStyle w:val="Hyperlink"/>
        <w:u w:val="none"/>
      </w:rPr>
      <w:t>www.renewablesassociation.ca</w:t>
    </w:r>
    <w:r w:rsidRPr="00832F5F">
      <w:t xml:space="preserve"> | </w:t>
    </w:r>
    <w:r w:rsidRPr="00832F5F">
      <w:rPr>
        <w:rStyle w:val="Hyperlink"/>
        <w:u w:val="none"/>
      </w:rPr>
      <w:t>www.associationrenouvelable.ca</w:t>
    </w:r>
    <w:r w:rsidRPr="00832F5F">
      <w:tab/>
    </w:r>
    <w:r w:rsidRPr="00832F5F">
      <w:rPr>
        <w:b/>
        <w:bCs/>
        <w:color w:val="00A9AC"/>
      </w:rPr>
      <w:t>Canadian Renewable Energy Association</w:t>
    </w:r>
    <w:r w:rsidRPr="00832F5F">
      <w:t xml:space="preserve">   </w:t>
    </w:r>
    <w:r w:rsidRPr="00832F5F">
      <w:rPr>
        <w:rStyle w:val="PageNumber"/>
      </w:rPr>
      <w:fldChar w:fldCharType="begin"/>
    </w:r>
    <w:r w:rsidRPr="00832F5F">
      <w:rPr>
        <w:rStyle w:val="PageNumber"/>
      </w:rPr>
      <w:instrText xml:space="preserve"> PAGE   \* MERGEFORMAT </w:instrText>
    </w:r>
    <w:r w:rsidRPr="00832F5F">
      <w:rPr>
        <w:rStyle w:val="PageNumber"/>
      </w:rPr>
      <w:fldChar w:fldCharType="separate"/>
    </w:r>
    <w:r w:rsidRPr="00832F5F">
      <w:rPr>
        <w:rStyle w:val="PageNumber"/>
      </w:rPr>
      <w:t>3</w:t>
    </w:r>
    <w:r w:rsidRPr="00832F5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FBC" w14:textId="77777777" w:rsidR="009D2C48" w:rsidRPr="009533E0" w:rsidRDefault="009D2C48" w:rsidP="001374CD">
    <w:pPr>
      <w:pStyle w:val="Footer"/>
      <w:tabs>
        <w:tab w:val="left" w:pos="7020"/>
      </w:tabs>
    </w:pPr>
    <w:r w:rsidRPr="009533E0">
      <w:t xml:space="preserve">WIND. SOLAR. STORAGE.  </w:t>
    </w:r>
    <w:proofErr w:type="gramStart"/>
    <w:r w:rsidRPr="00A42689">
      <w:rPr>
        <w:color w:val="00A9AC"/>
      </w:rPr>
      <w:t>|</w:t>
    </w:r>
    <w:r w:rsidRPr="009533E0">
      <w:t xml:space="preserve">  ÉOLIEN</w:t>
    </w:r>
    <w:proofErr w:type="gramEnd"/>
    <w:r w:rsidRPr="009533E0">
      <w:t xml:space="preserve">. SOLAIRE. </w:t>
    </w:r>
    <w:r w:rsidRPr="00FC5ECD">
      <w:t>STOCKAGE</w:t>
    </w:r>
    <w:r w:rsidRPr="009533E0">
      <w:t>.</w:t>
    </w:r>
    <w:r>
      <w:tab/>
    </w:r>
    <w:r w:rsidRPr="00547AE5">
      <w:t xml:space="preserve">400-240 </w:t>
    </w:r>
    <w:r w:rsidRPr="001374CD">
      <w:t>rue Bank Street</w:t>
    </w:r>
    <w:r>
      <w:tab/>
    </w:r>
    <w:r w:rsidRPr="00547AE5">
      <w:t>613</w:t>
    </w:r>
    <w:r>
      <w:t>.</w:t>
    </w:r>
    <w:r w:rsidRPr="00547AE5">
      <w:t>234</w:t>
    </w:r>
    <w:r>
      <w:t>.</w:t>
    </w:r>
    <w:r w:rsidRPr="00547AE5">
      <w:t>8716</w:t>
    </w:r>
  </w:p>
  <w:p w14:paraId="2FFC755A" w14:textId="77777777" w:rsidR="009D2C48" w:rsidRDefault="009D2C48" w:rsidP="001374CD">
    <w:pPr>
      <w:pStyle w:val="Footer"/>
      <w:tabs>
        <w:tab w:val="left" w:pos="7020"/>
      </w:tabs>
    </w:pPr>
    <w:r w:rsidRPr="00A42689">
      <w:rPr>
        <w:color w:val="00A9AC"/>
      </w:rPr>
      <w:t xml:space="preserve">www.renewablesassociation.ca </w:t>
    </w:r>
    <w:r w:rsidRPr="00A42689">
      <w:t>|</w:t>
    </w:r>
    <w:r w:rsidRPr="00A42689">
      <w:rPr>
        <w:color w:val="00A9AC"/>
      </w:rPr>
      <w:t xml:space="preserve"> </w:t>
    </w:r>
    <w:hyperlink r:id="rId1" w:history="1">
      <w:r w:rsidRPr="00A42689">
        <w:rPr>
          <w:color w:val="00A9AC"/>
        </w:rPr>
        <w:t>www.associationrenouvelable.ca</w:t>
      </w:r>
    </w:hyperlink>
    <w:r w:rsidRPr="00A42689">
      <w:tab/>
      <w:t>Ottawa, ON K2P 1X4 Canada</w:t>
    </w:r>
    <w:r w:rsidRPr="00A42689">
      <w:tab/>
      <w:t>1.800.922.6932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90F0" w14:textId="77777777" w:rsidR="00171F94" w:rsidRDefault="00171F94" w:rsidP="002E7E43">
      <w:r>
        <w:separator/>
      </w:r>
    </w:p>
  </w:footnote>
  <w:footnote w:type="continuationSeparator" w:id="0">
    <w:p w14:paraId="1050CDB6" w14:textId="77777777" w:rsidR="00171F94" w:rsidRDefault="00171F94" w:rsidP="002E7E43">
      <w:r>
        <w:continuationSeparator/>
      </w:r>
    </w:p>
  </w:footnote>
  <w:footnote w:id="1">
    <w:p w14:paraId="0010A117" w14:textId="77777777" w:rsidR="00A619D3" w:rsidRPr="00432C49" w:rsidRDefault="00A619D3" w:rsidP="00A619D3">
      <w:pPr>
        <w:pStyle w:val="FootnoteText"/>
        <w:rPr>
          <w:lang w:val="en-US"/>
        </w:rPr>
      </w:pPr>
      <w:r>
        <w:rPr>
          <w:rStyle w:val="FootnoteReference"/>
        </w:rPr>
        <w:footnoteRef/>
      </w:r>
      <w:r>
        <w:t xml:space="preserve"> </w:t>
      </w:r>
      <w:r>
        <w:rPr>
          <w:lang w:val="en-US"/>
        </w:rPr>
        <w:t xml:space="preserve">RE100 2021 Impact Report, Available from: </w:t>
      </w:r>
      <w:hyperlink r:id="rId1" w:history="1">
        <w:r w:rsidRPr="00B765FF">
          <w:rPr>
            <w:rStyle w:val="Hyperlink"/>
            <w:sz w:val="16"/>
            <w:lang w:val="en-US"/>
          </w:rPr>
          <w:t>https://www.there100.org/sites/re100/files/2022-01/RE100%202021%20Annual%20Disclosure%20Report.pdf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1C4F" w14:textId="77777777" w:rsidR="009D2C48" w:rsidRPr="000009A4" w:rsidRDefault="009D2C48" w:rsidP="009D2C48">
    <w:pPr>
      <w:pStyle w:val="Header"/>
    </w:pPr>
    <w:r w:rsidRPr="000009A4">
      <w:rPr>
        <w:noProof/>
      </w:rPr>
      <w:drawing>
        <wp:inline distT="0" distB="0" distL="0" distR="0" wp14:anchorId="2D49AFA8" wp14:editId="7EE49944">
          <wp:extent cx="3028252" cy="440473"/>
          <wp:effectExtent l="0" t="0" r="0" b="444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logo.jpg"/>
                  <pic:cNvPicPr/>
                </pic:nvPicPr>
                <pic:blipFill>
                  <a:blip r:embed="rId1">
                    <a:extLst>
                      <a:ext uri="{28A0092B-C50C-407E-A947-70E740481C1C}">
                        <a14:useLocalDpi xmlns:a14="http://schemas.microsoft.com/office/drawing/2010/main" val="0"/>
                      </a:ext>
                    </a:extLst>
                  </a:blip>
                  <a:stretch>
                    <a:fillRect/>
                  </a:stretch>
                </pic:blipFill>
                <pic:spPr>
                  <a:xfrm>
                    <a:off x="0" y="0"/>
                    <a:ext cx="3116439" cy="453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91A853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3E27E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2E534D"/>
    <w:multiLevelType w:val="hybridMultilevel"/>
    <w:tmpl w:val="16A2C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32195"/>
    <w:multiLevelType w:val="hybridMultilevel"/>
    <w:tmpl w:val="13843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748ED"/>
    <w:multiLevelType w:val="hybridMultilevel"/>
    <w:tmpl w:val="029C544E"/>
    <w:lvl w:ilvl="0" w:tplc="E738D57A">
      <w:start w:val="1"/>
      <w:numFmt w:val="bullet"/>
      <w:lvlText w:val=""/>
      <w:lvlJc w:val="left"/>
      <w:pPr>
        <w:ind w:left="587" w:hanging="360"/>
      </w:pPr>
      <w:rPr>
        <w:rFonts w:ascii="Symbol" w:hAnsi="Symbol" w:hint="default"/>
        <w:color w:val="00A9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46B09"/>
    <w:multiLevelType w:val="multilevel"/>
    <w:tmpl w:val="CE726A46"/>
    <w:lvl w:ilvl="0">
      <w:start w:val="1"/>
      <w:numFmt w:val="decimal"/>
      <w:pStyle w:val="ListNumber"/>
      <w:lvlText w:val="%1."/>
      <w:lvlJc w:val="left"/>
      <w:pPr>
        <w:tabs>
          <w:tab w:val="num" w:pos="360"/>
        </w:tabs>
        <w:ind w:left="360" w:hanging="360"/>
      </w:pPr>
      <w:rPr>
        <w:rFonts w:hint="default"/>
        <w:color w:val="00A9AC"/>
      </w:rPr>
    </w:lvl>
    <w:lvl w:ilvl="1">
      <w:start w:val="1"/>
      <w:numFmt w:val="lowerLetter"/>
      <w:lvlText w:val="%2."/>
      <w:lvlJc w:val="left"/>
      <w:pPr>
        <w:tabs>
          <w:tab w:val="num" w:pos="720"/>
        </w:tabs>
        <w:ind w:left="720" w:hanging="360"/>
      </w:pPr>
      <w:rPr>
        <w:rFonts w:hint="default"/>
        <w:color w:val="6B7B83" w:themeColor="accent3"/>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6" w15:restartNumberingAfterBreak="0">
    <w:nsid w:val="232D301E"/>
    <w:multiLevelType w:val="hybridMultilevel"/>
    <w:tmpl w:val="49687392"/>
    <w:lvl w:ilvl="0" w:tplc="E738D57A">
      <w:start w:val="1"/>
      <w:numFmt w:val="bullet"/>
      <w:lvlText w:val=""/>
      <w:lvlJc w:val="left"/>
      <w:pPr>
        <w:ind w:left="454" w:hanging="227"/>
      </w:pPr>
      <w:rPr>
        <w:rFonts w:ascii="Symbol" w:hAnsi="Symbol" w:hint="default"/>
        <w:color w:val="00A9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04186"/>
    <w:multiLevelType w:val="hybridMultilevel"/>
    <w:tmpl w:val="0344B5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9A1101A"/>
    <w:multiLevelType w:val="hybridMultilevel"/>
    <w:tmpl w:val="ABE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2743B"/>
    <w:multiLevelType w:val="hybridMultilevel"/>
    <w:tmpl w:val="AB5EC06A"/>
    <w:lvl w:ilvl="0" w:tplc="E738D57A">
      <w:start w:val="1"/>
      <w:numFmt w:val="bullet"/>
      <w:lvlText w:val=""/>
      <w:lvlJc w:val="left"/>
      <w:pPr>
        <w:ind w:left="454" w:hanging="227"/>
      </w:pPr>
      <w:rPr>
        <w:rFonts w:ascii="Symbol" w:hAnsi="Symbol" w:hint="default"/>
        <w:color w:val="00A9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949EF"/>
    <w:multiLevelType w:val="hybridMultilevel"/>
    <w:tmpl w:val="2C9CD846"/>
    <w:lvl w:ilvl="0" w:tplc="D994996C">
      <w:start w:val="1"/>
      <w:numFmt w:val="decimal"/>
      <w:lvlText w:val="%1."/>
      <w:lvlJc w:val="left"/>
      <w:pPr>
        <w:ind w:left="0" w:firstLine="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56E94"/>
    <w:multiLevelType w:val="hybridMultilevel"/>
    <w:tmpl w:val="C95C5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D727D7"/>
    <w:multiLevelType w:val="hybridMultilevel"/>
    <w:tmpl w:val="5D863B9E"/>
    <w:lvl w:ilvl="0" w:tplc="434AD672">
      <w:start w:val="1"/>
      <w:numFmt w:val="decimal"/>
      <w:lvlText w:val="%1."/>
      <w:lvlJc w:val="left"/>
      <w:pPr>
        <w:ind w:left="0" w:firstLine="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9441B"/>
    <w:multiLevelType w:val="multilevel"/>
    <w:tmpl w:val="DE82BF54"/>
    <w:lvl w:ilvl="0">
      <w:start w:val="1"/>
      <w:numFmt w:val="bullet"/>
      <w:lvlText w:val=""/>
      <w:lvlJc w:val="left"/>
      <w:pPr>
        <w:ind w:left="360" w:firstLine="0"/>
      </w:pPr>
      <w:rPr>
        <w:rFonts w:ascii="Symbol" w:hAnsi="Symbol" w:hint="default"/>
        <w:color w:val="00A9AC"/>
      </w:rPr>
    </w:lvl>
    <w:lvl w:ilvl="1">
      <w:start w:val="1"/>
      <w:numFmt w:val="bullet"/>
      <w:lvlText w:val=""/>
      <w:lvlJc w:val="left"/>
      <w:pPr>
        <w:ind w:left="1080" w:firstLine="0"/>
      </w:pPr>
      <w:rPr>
        <w:rFonts w:ascii="Symbol" w:hAnsi="Symbol" w:hint="default"/>
      </w:rPr>
    </w:lvl>
    <w:lvl w:ilvl="2">
      <w:start w:val="1"/>
      <w:numFmt w:val="bullet"/>
      <w:lvlText w:val=""/>
      <w:lvlJc w:val="left"/>
      <w:pPr>
        <w:ind w:left="1800" w:firstLine="0"/>
      </w:pPr>
      <w:rPr>
        <w:rFonts w:ascii="Wingdings" w:hAnsi="Wingdings" w:hint="default"/>
      </w:rPr>
    </w:lvl>
    <w:lvl w:ilvl="3">
      <w:start w:val="1"/>
      <w:numFmt w:val="bullet"/>
      <w:lvlText w:val=""/>
      <w:lvlJc w:val="left"/>
      <w:pPr>
        <w:ind w:left="2520" w:firstLine="0"/>
      </w:pPr>
      <w:rPr>
        <w:rFonts w:ascii="Symbol" w:hAnsi="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hint="default"/>
      </w:rPr>
    </w:lvl>
    <w:lvl w:ilvl="6">
      <w:start w:val="1"/>
      <w:numFmt w:val="bullet"/>
      <w:lvlText w:val=""/>
      <w:lvlJc w:val="left"/>
      <w:pPr>
        <w:ind w:left="4680" w:firstLine="0"/>
      </w:pPr>
      <w:rPr>
        <w:rFonts w:ascii="Symbol" w:hAnsi="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hint="default"/>
      </w:rPr>
    </w:lvl>
  </w:abstractNum>
  <w:abstractNum w:abstractNumId="14" w15:restartNumberingAfterBreak="0">
    <w:nsid w:val="55456DE3"/>
    <w:multiLevelType w:val="hybridMultilevel"/>
    <w:tmpl w:val="7228E9A4"/>
    <w:lvl w:ilvl="0" w:tplc="BAEA567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5" w15:restartNumberingAfterBreak="0">
    <w:nsid w:val="563565C2"/>
    <w:multiLevelType w:val="hybridMultilevel"/>
    <w:tmpl w:val="6F80E36A"/>
    <w:lvl w:ilvl="0" w:tplc="26BA0782">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5477A5"/>
    <w:multiLevelType w:val="hybridMultilevel"/>
    <w:tmpl w:val="697C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74DEE"/>
    <w:multiLevelType w:val="hybridMultilevel"/>
    <w:tmpl w:val="E4AAFAE8"/>
    <w:lvl w:ilvl="0" w:tplc="CD667D64">
      <w:start w:val="1"/>
      <w:numFmt w:val="bullet"/>
      <w:lvlText w:val=""/>
      <w:lvlJc w:val="left"/>
      <w:pPr>
        <w:ind w:left="567" w:hanging="397"/>
      </w:pPr>
      <w:rPr>
        <w:rFonts w:ascii="Symbol" w:hAnsi="Symbol" w:hint="default"/>
        <w:color w:val="00A9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00B21"/>
    <w:multiLevelType w:val="multilevel"/>
    <w:tmpl w:val="F16A000A"/>
    <w:lvl w:ilvl="0">
      <w:start w:val="1"/>
      <w:numFmt w:val="bullet"/>
      <w:pStyle w:val="ListBullet"/>
      <w:lvlText w:val=""/>
      <w:lvlJc w:val="left"/>
      <w:pPr>
        <w:tabs>
          <w:tab w:val="num" w:pos="360"/>
        </w:tabs>
        <w:ind w:left="360" w:hanging="360"/>
      </w:pPr>
      <w:rPr>
        <w:rFonts w:ascii="Symbol" w:hAnsi="Symbol" w:hint="default"/>
        <w:color w:val="00A9AC"/>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19" w15:restartNumberingAfterBreak="0">
    <w:nsid w:val="7E4903E8"/>
    <w:multiLevelType w:val="hybridMultilevel"/>
    <w:tmpl w:val="FEBE7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7179266">
    <w:abstractNumId w:val="8"/>
  </w:num>
  <w:num w:numId="2" w16cid:durableId="303462877">
    <w:abstractNumId w:val="6"/>
  </w:num>
  <w:num w:numId="3" w16cid:durableId="1004236956">
    <w:abstractNumId w:val="9"/>
  </w:num>
  <w:num w:numId="4" w16cid:durableId="1348099174">
    <w:abstractNumId w:val="4"/>
  </w:num>
  <w:num w:numId="5" w16cid:durableId="1168520722">
    <w:abstractNumId w:val="17"/>
  </w:num>
  <w:num w:numId="6" w16cid:durableId="2084523676">
    <w:abstractNumId w:val="18"/>
  </w:num>
  <w:num w:numId="7" w16cid:durableId="255947843">
    <w:abstractNumId w:val="5"/>
  </w:num>
  <w:num w:numId="8" w16cid:durableId="2143377035">
    <w:abstractNumId w:val="12"/>
  </w:num>
  <w:num w:numId="9" w16cid:durableId="258410068">
    <w:abstractNumId w:val="10"/>
  </w:num>
  <w:num w:numId="10" w16cid:durableId="811409772">
    <w:abstractNumId w:val="1"/>
  </w:num>
  <w:num w:numId="11" w16cid:durableId="532040088">
    <w:abstractNumId w:val="0"/>
  </w:num>
  <w:num w:numId="12" w16cid:durableId="904143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267909">
    <w:abstractNumId w:val="13"/>
  </w:num>
  <w:num w:numId="14" w16cid:durableId="78841698">
    <w:abstractNumId w:val="14"/>
  </w:num>
  <w:num w:numId="15" w16cid:durableId="542376344">
    <w:abstractNumId w:val="16"/>
  </w:num>
  <w:num w:numId="16" w16cid:durableId="1373652492">
    <w:abstractNumId w:val="19"/>
  </w:num>
  <w:num w:numId="17" w16cid:durableId="1957133727">
    <w:abstractNumId w:val="15"/>
  </w:num>
  <w:num w:numId="18" w16cid:durableId="1762145158">
    <w:abstractNumId w:val="7"/>
  </w:num>
  <w:num w:numId="19" w16cid:durableId="563177283">
    <w:abstractNumId w:val="11"/>
  </w:num>
  <w:num w:numId="20" w16cid:durableId="278611986">
    <w:abstractNumId w:val="2"/>
  </w:num>
  <w:num w:numId="21" w16cid:durableId="236941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32"/>
    <w:rsid w:val="000009A4"/>
    <w:rsid w:val="000038EE"/>
    <w:rsid w:val="00013913"/>
    <w:rsid w:val="00023832"/>
    <w:rsid w:val="000249F9"/>
    <w:rsid w:val="00047224"/>
    <w:rsid w:val="000507B3"/>
    <w:rsid w:val="00072D7C"/>
    <w:rsid w:val="00073E3D"/>
    <w:rsid w:val="00075CB6"/>
    <w:rsid w:val="000B1028"/>
    <w:rsid w:val="000C0EF6"/>
    <w:rsid w:val="000C19B5"/>
    <w:rsid w:val="000C78E7"/>
    <w:rsid w:val="000F695E"/>
    <w:rsid w:val="00114AA7"/>
    <w:rsid w:val="001374CD"/>
    <w:rsid w:val="00143FBC"/>
    <w:rsid w:val="00152E6F"/>
    <w:rsid w:val="00167AB0"/>
    <w:rsid w:val="00171F94"/>
    <w:rsid w:val="001B3C5B"/>
    <w:rsid w:val="001D2CC0"/>
    <w:rsid w:val="001E6BE5"/>
    <w:rsid w:val="001E72DC"/>
    <w:rsid w:val="002315A5"/>
    <w:rsid w:val="00243FA7"/>
    <w:rsid w:val="00250C70"/>
    <w:rsid w:val="002562C6"/>
    <w:rsid w:val="00260B69"/>
    <w:rsid w:val="00266495"/>
    <w:rsid w:val="00282088"/>
    <w:rsid w:val="00283C2F"/>
    <w:rsid w:val="002971CD"/>
    <w:rsid w:val="002A579E"/>
    <w:rsid w:val="002B329A"/>
    <w:rsid w:val="002D4489"/>
    <w:rsid w:val="002E7E43"/>
    <w:rsid w:val="0030373A"/>
    <w:rsid w:val="003113FB"/>
    <w:rsid w:val="00340E1A"/>
    <w:rsid w:val="003521D0"/>
    <w:rsid w:val="00354782"/>
    <w:rsid w:val="00383174"/>
    <w:rsid w:val="0039036D"/>
    <w:rsid w:val="003A0388"/>
    <w:rsid w:val="003B1142"/>
    <w:rsid w:val="003C386C"/>
    <w:rsid w:val="003C3FE8"/>
    <w:rsid w:val="003E5CEE"/>
    <w:rsid w:val="003F7490"/>
    <w:rsid w:val="0042557C"/>
    <w:rsid w:val="00437963"/>
    <w:rsid w:val="00457C74"/>
    <w:rsid w:val="0048788C"/>
    <w:rsid w:val="00490907"/>
    <w:rsid w:val="004C2047"/>
    <w:rsid w:val="004C7744"/>
    <w:rsid w:val="004D59D8"/>
    <w:rsid w:val="004D774E"/>
    <w:rsid w:val="004E29D1"/>
    <w:rsid w:val="004F2B96"/>
    <w:rsid w:val="00500BB2"/>
    <w:rsid w:val="00500FB9"/>
    <w:rsid w:val="00524D63"/>
    <w:rsid w:val="005417C1"/>
    <w:rsid w:val="00547AE5"/>
    <w:rsid w:val="00551758"/>
    <w:rsid w:val="00560B97"/>
    <w:rsid w:val="005709D6"/>
    <w:rsid w:val="00575138"/>
    <w:rsid w:val="005810A9"/>
    <w:rsid w:val="0058396B"/>
    <w:rsid w:val="00591A10"/>
    <w:rsid w:val="005956E2"/>
    <w:rsid w:val="005C39F4"/>
    <w:rsid w:val="005E0405"/>
    <w:rsid w:val="005E0DA1"/>
    <w:rsid w:val="005F5FFE"/>
    <w:rsid w:val="005F7664"/>
    <w:rsid w:val="006031C6"/>
    <w:rsid w:val="00610266"/>
    <w:rsid w:val="006205D3"/>
    <w:rsid w:val="0064304B"/>
    <w:rsid w:val="00644B3B"/>
    <w:rsid w:val="00671A37"/>
    <w:rsid w:val="006B58A1"/>
    <w:rsid w:val="006B68F8"/>
    <w:rsid w:val="006F6289"/>
    <w:rsid w:val="00723C23"/>
    <w:rsid w:val="00737CD6"/>
    <w:rsid w:val="007621C3"/>
    <w:rsid w:val="0076244A"/>
    <w:rsid w:val="00767212"/>
    <w:rsid w:val="007911B1"/>
    <w:rsid w:val="007B3A92"/>
    <w:rsid w:val="007B668C"/>
    <w:rsid w:val="007D2593"/>
    <w:rsid w:val="007F033B"/>
    <w:rsid w:val="00806DCE"/>
    <w:rsid w:val="00807DE3"/>
    <w:rsid w:val="00811086"/>
    <w:rsid w:val="008155F2"/>
    <w:rsid w:val="00815D68"/>
    <w:rsid w:val="008161D2"/>
    <w:rsid w:val="00826245"/>
    <w:rsid w:val="0083036B"/>
    <w:rsid w:val="00832F5F"/>
    <w:rsid w:val="00836E92"/>
    <w:rsid w:val="008513EB"/>
    <w:rsid w:val="008814CE"/>
    <w:rsid w:val="008A46CF"/>
    <w:rsid w:val="008D33F3"/>
    <w:rsid w:val="008F0828"/>
    <w:rsid w:val="008F4098"/>
    <w:rsid w:val="00903636"/>
    <w:rsid w:val="009055AB"/>
    <w:rsid w:val="00924C1E"/>
    <w:rsid w:val="0093242F"/>
    <w:rsid w:val="00950BAD"/>
    <w:rsid w:val="009533E0"/>
    <w:rsid w:val="00953A2B"/>
    <w:rsid w:val="009563A8"/>
    <w:rsid w:val="009623F3"/>
    <w:rsid w:val="00972AC4"/>
    <w:rsid w:val="00982A04"/>
    <w:rsid w:val="009852A0"/>
    <w:rsid w:val="009A3E4D"/>
    <w:rsid w:val="009D031D"/>
    <w:rsid w:val="009D2C48"/>
    <w:rsid w:val="009D6BB2"/>
    <w:rsid w:val="009E481A"/>
    <w:rsid w:val="009F0874"/>
    <w:rsid w:val="009F30AA"/>
    <w:rsid w:val="009F404F"/>
    <w:rsid w:val="00A027D0"/>
    <w:rsid w:val="00A0515F"/>
    <w:rsid w:val="00A13212"/>
    <w:rsid w:val="00A261E6"/>
    <w:rsid w:val="00A262BC"/>
    <w:rsid w:val="00A269D0"/>
    <w:rsid w:val="00A337A9"/>
    <w:rsid w:val="00A41174"/>
    <w:rsid w:val="00A530BD"/>
    <w:rsid w:val="00A53751"/>
    <w:rsid w:val="00A619D3"/>
    <w:rsid w:val="00A83E15"/>
    <w:rsid w:val="00A85E28"/>
    <w:rsid w:val="00A907CB"/>
    <w:rsid w:val="00AA432D"/>
    <w:rsid w:val="00AE7803"/>
    <w:rsid w:val="00AF3CC0"/>
    <w:rsid w:val="00AF581B"/>
    <w:rsid w:val="00B03903"/>
    <w:rsid w:val="00B107A0"/>
    <w:rsid w:val="00B24432"/>
    <w:rsid w:val="00B33B88"/>
    <w:rsid w:val="00B43DDB"/>
    <w:rsid w:val="00B52B54"/>
    <w:rsid w:val="00B87D89"/>
    <w:rsid w:val="00BA21C7"/>
    <w:rsid w:val="00BB027E"/>
    <w:rsid w:val="00BB1825"/>
    <w:rsid w:val="00BB5652"/>
    <w:rsid w:val="00BE16A2"/>
    <w:rsid w:val="00BF56E8"/>
    <w:rsid w:val="00C04590"/>
    <w:rsid w:val="00C17469"/>
    <w:rsid w:val="00C2026A"/>
    <w:rsid w:val="00C264B5"/>
    <w:rsid w:val="00C27359"/>
    <w:rsid w:val="00C46CF4"/>
    <w:rsid w:val="00C50A42"/>
    <w:rsid w:val="00C6199B"/>
    <w:rsid w:val="00C90945"/>
    <w:rsid w:val="00C9209C"/>
    <w:rsid w:val="00CB14CE"/>
    <w:rsid w:val="00CB74AA"/>
    <w:rsid w:val="00CC5169"/>
    <w:rsid w:val="00CC60E0"/>
    <w:rsid w:val="00CD3A1A"/>
    <w:rsid w:val="00CD780E"/>
    <w:rsid w:val="00CE629E"/>
    <w:rsid w:val="00D03268"/>
    <w:rsid w:val="00D22875"/>
    <w:rsid w:val="00D242F4"/>
    <w:rsid w:val="00D516B1"/>
    <w:rsid w:val="00DA422E"/>
    <w:rsid w:val="00E02AC5"/>
    <w:rsid w:val="00E10D84"/>
    <w:rsid w:val="00E130F9"/>
    <w:rsid w:val="00E1696A"/>
    <w:rsid w:val="00E33FFB"/>
    <w:rsid w:val="00E41BE5"/>
    <w:rsid w:val="00E42D50"/>
    <w:rsid w:val="00E516D3"/>
    <w:rsid w:val="00E67007"/>
    <w:rsid w:val="00E92A8D"/>
    <w:rsid w:val="00EA09B3"/>
    <w:rsid w:val="00EA4807"/>
    <w:rsid w:val="00EC0482"/>
    <w:rsid w:val="00ED3955"/>
    <w:rsid w:val="00EE1F1C"/>
    <w:rsid w:val="00EF2B7B"/>
    <w:rsid w:val="00EF6131"/>
    <w:rsid w:val="00F12D5F"/>
    <w:rsid w:val="00F26BC9"/>
    <w:rsid w:val="00F36038"/>
    <w:rsid w:val="00F4087C"/>
    <w:rsid w:val="00F42926"/>
    <w:rsid w:val="00F44197"/>
    <w:rsid w:val="00F620B6"/>
    <w:rsid w:val="00F65D3F"/>
    <w:rsid w:val="00F710D2"/>
    <w:rsid w:val="00F763D8"/>
    <w:rsid w:val="00F77843"/>
    <w:rsid w:val="00F82375"/>
    <w:rsid w:val="00F83DE5"/>
    <w:rsid w:val="00F9207A"/>
    <w:rsid w:val="00FC5E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4E63F"/>
  <w15:chartTrackingRefBased/>
  <w15:docId w15:val="{8C160054-AD67-954A-BE27-F5088B7A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11B1"/>
  </w:style>
  <w:style w:type="paragraph" w:styleId="Heading1">
    <w:name w:val="heading 1"/>
    <w:basedOn w:val="Normal"/>
    <w:next w:val="BodyText"/>
    <w:link w:val="Heading1Char"/>
    <w:uiPriority w:val="9"/>
    <w:qFormat/>
    <w:rsid w:val="007911B1"/>
    <w:pPr>
      <w:keepNext/>
      <w:spacing w:before="240" w:after="240"/>
      <w:contextualSpacing/>
      <w:outlineLvl w:val="0"/>
    </w:pPr>
    <w:rPr>
      <w:rFonts w:asciiTheme="majorHAnsi" w:hAnsiTheme="majorHAnsi"/>
      <w:b/>
      <w:color w:val="00A9AC"/>
      <w:sz w:val="32"/>
    </w:rPr>
  </w:style>
  <w:style w:type="paragraph" w:styleId="Heading2">
    <w:name w:val="heading 2"/>
    <w:basedOn w:val="Normal"/>
    <w:next w:val="BodyText"/>
    <w:link w:val="Heading2Char"/>
    <w:uiPriority w:val="9"/>
    <w:unhideWhenUsed/>
    <w:qFormat/>
    <w:rsid w:val="007911B1"/>
    <w:pPr>
      <w:keepNext/>
      <w:spacing w:before="240" w:after="120"/>
      <w:contextualSpacing/>
      <w:outlineLvl w:val="1"/>
    </w:pPr>
    <w:rPr>
      <w:rFonts w:asciiTheme="majorHAnsi" w:hAnsiTheme="majorHAnsi"/>
      <w:b/>
      <w:color w:val="00A9AC"/>
      <w:sz w:val="24"/>
    </w:rPr>
  </w:style>
  <w:style w:type="paragraph" w:styleId="Heading3">
    <w:name w:val="heading 3"/>
    <w:basedOn w:val="Normal"/>
    <w:next w:val="Normal"/>
    <w:link w:val="Heading3Char"/>
    <w:uiPriority w:val="9"/>
    <w:qFormat/>
    <w:rsid w:val="008F4098"/>
    <w:pPr>
      <w:keepNext/>
      <w:keepLines/>
      <w:spacing w:before="120" w:after="12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131"/>
    <w:pPr>
      <w:tabs>
        <w:tab w:val="right" w:pos="10080"/>
      </w:tabs>
      <w:spacing w:after="240"/>
      <w:contextualSpacing/>
    </w:pPr>
    <w:rPr>
      <w:color w:val="6B7B83"/>
      <w:sz w:val="14"/>
      <w:szCs w:val="14"/>
    </w:rPr>
  </w:style>
  <w:style w:type="character" w:customStyle="1" w:styleId="HeaderChar">
    <w:name w:val="Header Char"/>
    <w:basedOn w:val="DefaultParagraphFont"/>
    <w:link w:val="Header"/>
    <w:uiPriority w:val="99"/>
    <w:rsid w:val="00EF6131"/>
    <w:rPr>
      <w:rFonts w:ascii="Arial" w:hAnsi="Arial"/>
      <w:color w:val="6B7B83"/>
      <w:sz w:val="14"/>
      <w:szCs w:val="14"/>
    </w:rPr>
  </w:style>
  <w:style w:type="paragraph" w:styleId="Footer">
    <w:name w:val="footer"/>
    <w:basedOn w:val="Normal"/>
    <w:link w:val="FooterChar"/>
    <w:uiPriority w:val="99"/>
    <w:unhideWhenUsed/>
    <w:rsid w:val="00EF6131"/>
    <w:pPr>
      <w:pBdr>
        <w:top w:val="single" w:sz="4" w:space="6" w:color="00A9AC"/>
      </w:pBdr>
      <w:tabs>
        <w:tab w:val="right" w:pos="10080"/>
      </w:tabs>
      <w:spacing w:before="120"/>
      <w:contextualSpacing/>
    </w:pPr>
    <w:rPr>
      <w:color w:val="6B7B83"/>
      <w:sz w:val="14"/>
    </w:rPr>
  </w:style>
  <w:style w:type="character" w:customStyle="1" w:styleId="FooterChar">
    <w:name w:val="Footer Char"/>
    <w:basedOn w:val="DefaultParagraphFont"/>
    <w:link w:val="Footer"/>
    <w:uiPriority w:val="99"/>
    <w:rsid w:val="00EF6131"/>
    <w:rPr>
      <w:rFonts w:ascii="Arial" w:hAnsi="Arial"/>
      <w:color w:val="6B7B83"/>
      <w:sz w:val="14"/>
    </w:rPr>
  </w:style>
  <w:style w:type="table" w:styleId="TableGrid">
    <w:name w:val="Table Grid"/>
    <w:basedOn w:val="TableNormal"/>
    <w:uiPriority w:val="39"/>
    <w:rsid w:val="00024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basedOn w:val="Normal"/>
    <w:semiHidden/>
    <w:rsid w:val="00950BAD"/>
    <w:pPr>
      <w:ind w:right="-279"/>
    </w:pPr>
  </w:style>
  <w:style w:type="paragraph" w:customStyle="1" w:styleId="BasicParagraph">
    <w:name w:val="[Basic Paragraph]"/>
    <w:basedOn w:val="NoParagraphStyle"/>
    <w:uiPriority w:val="99"/>
    <w:semiHidden/>
    <w:rsid w:val="000249F9"/>
  </w:style>
  <w:style w:type="character" w:styleId="Emphasis">
    <w:name w:val="Emphasis"/>
    <w:uiPriority w:val="20"/>
    <w:qFormat/>
    <w:rsid w:val="00E516D3"/>
    <w:rPr>
      <w:i/>
    </w:rPr>
  </w:style>
  <w:style w:type="paragraph" w:styleId="ListBullet">
    <w:name w:val="List Bullet"/>
    <w:basedOn w:val="Normal"/>
    <w:uiPriority w:val="99"/>
    <w:rsid w:val="003521D0"/>
    <w:pPr>
      <w:numPr>
        <w:numId w:val="6"/>
      </w:numPr>
      <w:tabs>
        <w:tab w:val="left" w:pos="360"/>
      </w:tabs>
      <w:spacing w:before="120" w:after="120" w:line="264" w:lineRule="auto"/>
      <w:contextualSpacing/>
    </w:pPr>
  </w:style>
  <w:style w:type="paragraph" w:customStyle="1" w:styleId="Heading2Grey">
    <w:name w:val="Heading 2 (Grey)"/>
    <w:basedOn w:val="Heading2"/>
    <w:next w:val="BodyText"/>
    <w:uiPriority w:val="9"/>
    <w:qFormat/>
    <w:rsid w:val="00F9207A"/>
    <w:rPr>
      <w:color w:val="6B7B83"/>
    </w:rPr>
  </w:style>
  <w:style w:type="paragraph" w:styleId="ListNumber">
    <w:name w:val="List Number"/>
    <w:basedOn w:val="Normal"/>
    <w:uiPriority w:val="99"/>
    <w:rsid w:val="003521D0"/>
    <w:pPr>
      <w:numPr>
        <w:numId w:val="7"/>
      </w:numPr>
      <w:spacing w:before="120" w:after="120" w:line="264" w:lineRule="auto"/>
      <w:contextualSpacing/>
    </w:pPr>
  </w:style>
  <w:style w:type="paragraph" w:customStyle="1" w:styleId="BodyItalic">
    <w:name w:val="Body Italic"/>
    <w:basedOn w:val="BodyText"/>
    <w:uiPriority w:val="19"/>
    <w:qFormat/>
    <w:rsid w:val="00073E3D"/>
    <w:rPr>
      <w:i/>
      <w:color w:val="6B7B83"/>
    </w:rPr>
  </w:style>
  <w:style w:type="character" w:styleId="Hyperlink">
    <w:name w:val="Hyperlink"/>
    <w:uiPriority w:val="99"/>
    <w:unhideWhenUsed/>
    <w:qFormat/>
    <w:rsid w:val="000C19B5"/>
    <w:rPr>
      <w:color w:val="00A9AC"/>
      <w:u w:val="single"/>
    </w:rPr>
  </w:style>
  <w:style w:type="character" w:styleId="UnresolvedMention">
    <w:name w:val="Unresolved Mention"/>
    <w:basedOn w:val="DefaultParagraphFont"/>
    <w:uiPriority w:val="99"/>
    <w:semiHidden/>
    <w:unhideWhenUsed/>
    <w:rsid w:val="005F7664"/>
    <w:rPr>
      <w:color w:val="605E5C"/>
      <w:shd w:val="clear" w:color="auto" w:fill="E1DFDD"/>
    </w:rPr>
  </w:style>
  <w:style w:type="character" w:styleId="FollowedHyperlink">
    <w:name w:val="FollowedHyperlink"/>
    <w:basedOn w:val="DefaultParagraphFont"/>
    <w:uiPriority w:val="99"/>
    <w:semiHidden/>
    <w:unhideWhenUsed/>
    <w:rsid w:val="001E72DC"/>
    <w:rPr>
      <w:color w:val="005456" w:themeColor="followedHyperlink"/>
      <w:u w:val="single"/>
    </w:rPr>
  </w:style>
  <w:style w:type="paragraph" w:styleId="ListParagraph">
    <w:name w:val="List Paragraph"/>
    <w:basedOn w:val="Normal"/>
    <w:uiPriority w:val="34"/>
    <w:qFormat/>
    <w:rsid w:val="003521D0"/>
    <w:pPr>
      <w:spacing w:before="120" w:after="240" w:line="264" w:lineRule="auto"/>
      <w:ind w:left="360"/>
    </w:pPr>
  </w:style>
  <w:style w:type="paragraph" w:styleId="BlockText">
    <w:name w:val="Block Text"/>
    <w:basedOn w:val="Normal"/>
    <w:uiPriority w:val="99"/>
    <w:semiHidden/>
    <w:unhideWhenUsed/>
    <w:rsid w:val="00E516D3"/>
    <w:pPr>
      <w:pBdr>
        <w:top w:val="single" w:sz="2" w:space="10" w:color="00A9AC" w:themeColor="accent1"/>
        <w:left w:val="single" w:sz="2" w:space="10" w:color="00A9AC" w:themeColor="accent1"/>
        <w:bottom w:val="single" w:sz="2" w:space="10" w:color="00A9AC" w:themeColor="accent1"/>
        <w:right w:val="single" w:sz="2" w:space="10" w:color="00A9AC" w:themeColor="accent1"/>
      </w:pBdr>
      <w:ind w:left="1152" w:right="1152"/>
    </w:pPr>
    <w:rPr>
      <w:rFonts w:eastAsiaTheme="minorEastAsia"/>
      <w:i/>
      <w:iCs/>
      <w:color w:val="00A9AC" w:themeColor="accent1"/>
    </w:rPr>
  </w:style>
  <w:style w:type="paragraph" w:styleId="BalloonText">
    <w:name w:val="Balloon Text"/>
    <w:basedOn w:val="Normal"/>
    <w:link w:val="BalloonTextChar"/>
    <w:uiPriority w:val="99"/>
    <w:semiHidden/>
    <w:unhideWhenUsed/>
    <w:rsid w:val="00F7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843"/>
    <w:rPr>
      <w:rFonts w:ascii="Segoe UI" w:hAnsi="Segoe UI" w:cs="Segoe UI"/>
      <w:sz w:val="18"/>
      <w:szCs w:val="18"/>
    </w:rPr>
  </w:style>
  <w:style w:type="character" w:styleId="CommentReference">
    <w:name w:val="annotation reference"/>
    <w:basedOn w:val="DefaultParagraphFont"/>
    <w:uiPriority w:val="99"/>
    <w:semiHidden/>
    <w:unhideWhenUsed/>
    <w:rsid w:val="00C04590"/>
    <w:rPr>
      <w:sz w:val="16"/>
      <w:szCs w:val="16"/>
    </w:rPr>
  </w:style>
  <w:style w:type="paragraph" w:styleId="CommentText">
    <w:name w:val="annotation text"/>
    <w:basedOn w:val="Normal"/>
    <w:link w:val="CommentTextChar"/>
    <w:uiPriority w:val="99"/>
    <w:semiHidden/>
    <w:unhideWhenUsed/>
    <w:rsid w:val="00C04590"/>
    <w:rPr>
      <w:sz w:val="20"/>
      <w:szCs w:val="20"/>
    </w:rPr>
  </w:style>
  <w:style w:type="character" w:customStyle="1" w:styleId="CommentTextChar">
    <w:name w:val="Comment Text Char"/>
    <w:basedOn w:val="DefaultParagraphFont"/>
    <w:link w:val="CommentText"/>
    <w:uiPriority w:val="99"/>
    <w:semiHidden/>
    <w:rsid w:val="00C04590"/>
    <w:rPr>
      <w:sz w:val="20"/>
      <w:szCs w:val="20"/>
    </w:rPr>
  </w:style>
  <w:style w:type="paragraph" w:styleId="CommentSubject">
    <w:name w:val="annotation subject"/>
    <w:basedOn w:val="CommentText"/>
    <w:next w:val="CommentText"/>
    <w:link w:val="CommentSubjectChar"/>
    <w:uiPriority w:val="99"/>
    <w:semiHidden/>
    <w:unhideWhenUsed/>
    <w:rsid w:val="00C04590"/>
    <w:rPr>
      <w:b/>
      <w:bCs/>
    </w:rPr>
  </w:style>
  <w:style w:type="character" w:customStyle="1" w:styleId="CommentSubjectChar">
    <w:name w:val="Comment Subject Char"/>
    <w:basedOn w:val="CommentTextChar"/>
    <w:link w:val="CommentSubject"/>
    <w:uiPriority w:val="99"/>
    <w:semiHidden/>
    <w:rsid w:val="00C04590"/>
    <w:rPr>
      <w:b/>
      <w:bCs/>
      <w:sz w:val="20"/>
      <w:szCs w:val="20"/>
    </w:rPr>
  </w:style>
  <w:style w:type="paragraph" w:styleId="Revision">
    <w:name w:val="Revision"/>
    <w:hidden/>
    <w:uiPriority w:val="99"/>
    <w:semiHidden/>
    <w:rsid w:val="00F12D5F"/>
  </w:style>
  <w:style w:type="paragraph" w:styleId="NoSpacing">
    <w:name w:val="No Spacing"/>
    <w:basedOn w:val="BodyText"/>
    <w:uiPriority w:val="1"/>
    <w:qFormat/>
    <w:rsid w:val="00E516D3"/>
    <w:pPr>
      <w:spacing w:before="0" w:after="0"/>
    </w:pPr>
  </w:style>
  <w:style w:type="character" w:styleId="IntenseEmphasis">
    <w:name w:val="Intense Emphasis"/>
    <w:basedOn w:val="DefaultParagraphFont"/>
    <w:uiPriority w:val="21"/>
    <w:semiHidden/>
    <w:qFormat/>
    <w:rsid w:val="00B03903"/>
    <w:rPr>
      <w:i/>
      <w:iCs/>
      <w:color w:val="00A9AC" w:themeColor="accent1"/>
    </w:rPr>
  </w:style>
  <w:style w:type="character" w:customStyle="1" w:styleId="Heading3Char">
    <w:name w:val="Heading 3 Char"/>
    <w:basedOn w:val="DefaultParagraphFont"/>
    <w:link w:val="Heading3"/>
    <w:uiPriority w:val="9"/>
    <w:rsid w:val="00F42926"/>
    <w:rPr>
      <w:rFonts w:asciiTheme="majorHAnsi" w:eastAsiaTheme="majorEastAsia" w:hAnsiTheme="majorHAnsi" w:cstheme="majorBidi"/>
      <w:b/>
      <w:color w:val="000000" w:themeColor="text1"/>
    </w:rPr>
  </w:style>
  <w:style w:type="character" w:styleId="Strong">
    <w:name w:val="Strong"/>
    <w:uiPriority w:val="22"/>
    <w:qFormat/>
    <w:rsid w:val="009F0874"/>
    <w:rPr>
      <w:b/>
      <w:bCs/>
    </w:rPr>
  </w:style>
  <w:style w:type="character" w:customStyle="1" w:styleId="Heading1Char">
    <w:name w:val="Heading 1 Char"/>
    <w:basedOn w:val="DefaultParagraphFont"/>
    <w:link w:val="Heading1"/>
    <w:uiPriority w:val="9"/>
    <w:rsid w:val="007911B1"/>
    <w:rPr>
      <w:rFonts w:asciiTheme="majorHAnsi" w:hAnsiTheme="majorHAnsi"/>
      <w:b/>
      <w:color w:val="00A9AC"/>
      <w:sz w:val="32"/>
    </w:rPr>
  </w:style>
  <w:style w:type="character" w:customStyle="1" w:styleId="Heading2Char">
    <w:name w:val="Heading 2 Char"/>
    <w:basedOn w:val="DefaultParagraphFont"/>
    <w:link w:val="Heading2"/>
    <w:uiPriority w:val="9"/>
    <w:rsid w:val="007911B1"/>
    <w:rPr>
      <w:rFonts w:asciiTheme="majorHAnsi" w:hAnsiTheme="majorHAnsi"/>
      <w:b/>
      <w:color w:val="00A9AC"/>
      <w:sz w:val="24"/>
    </w:rPr>
  </w:style>
  <w:style w:type="paragraph" w:styleId="BodyText">
    <w:name w:val="Body Text"/>
    <w:basedOn w:val="Normal"/>
    <w:link w:val="BodyTextChar"/>
    <w:qFormat/>
    <w:rsid w:val="00524D63"/>
    <w:pPr>
      <w:spacing w:before="120" w:after="240"/>
    </w:pPr>
  </w:style>
  <w:style w:type="character" w:customStyle="1" w:styleId="BodyTextChar">
    <w:name w:val="Body Text Char"/>
    <w:basedOn w:val="DefaultParagraphFont"/>
    <w:link w:val="BodyText"/>
    <w:rsid w:val="00575138"/>
  </w:style>
  <w:style w:type="paragraph" w:styleId="FootnoteText">
    <w:name w:val="footnote text"/>
    <w:basedOn w:val="Normal"/>
    <w:link w:val="FootnoteTextChar"/>
    <w:uiPriority w:val="99"/>
    <w:qFormat/>
    <w:rsid w:val="004C7744"/>
    <w:rPr>
      <w:sz w:val="18"/>
      <w:szCs w:val="20"/>
    </w:rPr>
  </w:style>
  <w:style w:type="character" w:customStyle="1" w:styleId="FootnoteTextChar">
    <w:name w:val="Footnote Text Char"/>
    <w:basedOn w:val="DefaultParagraphFont"/>
    <w:link w:val="FootnoteText"/>
    <w:uiPriority w:val="99"/>
    <w:rsid w:val="004C7744"/>
    <w:rPr>
      <w:rFonts w:ascii="Arial" w:hAnsi="Arial"/>
      <w:sz w:val="18"/>
      <w:szCs w:val="20"/>
    </w:rPr>
  </w:style>
  <w:style w:type="character" w:styleId="FootnoteReference">
    <w:name w:val="footnote reference"/>
    <w:basedOn w:val="DefaultParagraphFont"/>
    <w:uiPriority w:val="99"/>
    <w:semiHidden/>
    <w:unhideWhenUsed/>
    <w:rsid w:val="005E0405"/>
    <w:rPr>
      <w:vertAlign w:val="superscript"/>
    </w:rPr>
  </w:style>
  <w:style w:type="paragraph" w:customStyle="1" w:styleId="TableTitle">
    <w:name w:val="Table Title"/>
    <w:basedOn w:val="BodyText"/>
    <w:uiPriority w:val="39"/>
    <w:rsid w:val="003C3FE8"/>
    <w:pPr>
      <w:spacing w:before="60" w:after="60"/>
      <w:jc w:val="center"/>
    </w:pPr>
    <w:rPr>
      <w:rFonts w:cstheme="minorHAnsi"/>
      <w:b/>
      <w:bCs/>
      <w:sz w:val="20"/>
      <w:szCs w:val="20"/>
    </w:rPr>
  </w:style>
  <w:style w:type="paragraph" w:customStyle="1" w:styleId="TableBody">
    <w:name w:val="Table Body"/>
    <w:basedOn w:val="BodyText"/>
    <w:uiPriority w:val="39"/>
    <w:rsid w:val="003C3FE8"/>
    <w:pPr>
      <w:spacing w:before="60" w:after="60"/>
      <w:jc w:val="center"/>
    </w:pPr>
    <w:rPr>
      <w:rFonts w:cstheme="minorHAnsi"/>
      <w:sz w:val="20"/>
      <w:szCs w:val="20"/>
    </w:rPr>
  </w:style>
  <w:style w:type="table" w:customStyle="1" w:styleId="CanREATable1">
    <w:name w:val="CanREA Table 1"/>
    <w:basedOn w:val="TableNormal"/>
    <w:uiPriority w:val="99"/>
    <w:rsid w:val="00AF581B"/>
    <w:pPr>
      <w:jc w:val="center"/>
    </w:pPr>
    <w:rPr>
      <w:sz w:val="20"/>
    </w:rPr>
    <w:tblPr>
      <w:tblStyleRowBandSize w:val="1"/>
      <w:tblStyleColBandSize w:val="1"/>
      <w:tblBorders>
        <w:top w:val="single" w:sz="4" w:space="0" w:color="00A9AC" w:themeColor="accent1"/>
        <w:bottom w:val="single" w:sz="4" w:space="0" w:color="00A9AC" w:themeColor="accent1"/>
        <w:insideH w:val="single" w:sz="4" w:space="0" w:color="00A9AC" w:themeColor="accent1"/>
      </w:tblBorders>
    </w:tblPr>
    <w:tcPr>
      <w:shd w:val="clear" w:color="auto" w:fill="auto"/>
      <w:vAlign w:val="center"/>
    </w:tcPr>
    <w:tblStylePr w:type="firstRow">
      <w:tblPr/>
      <w:tcPr>
        <w:shd w:val="clear" w:color="auto" w:fill="B2E5E6"/>
      </w:tcPr>
    </w:tblStylePr>
    <w:tblStylePr w:type="lastRow">
      <w:tblPr/>
      <w:tcPr>
        <w:shd w:val="clear" w:color="auto" w:fill="B2E5E6"/>
      </w:tcPr>
    </w:tblStylePr>
    <w:tblStylePr w:type="firstCol">
      <w:tblPr/>
      <w:tcPr>
        <w:tcBorders>
          <w:right w:val="single" w:sz="4" w:space="0" w:color="00A9AC" w:themeColor="accent1"/>
        </w:tcBorders>
        <w:shd w:val="clear" w:color="auto" w:fill="B2E5E6"/>
      </w:tcPr>
    </w:tblStylePr>
    <w:tblStylePr w:type="lastCol">
      <w:tblPr/>
      <w:tcPr>
        <w:tcBorders>
          <w:left w:val="single" w:sz="4" w:space="0" w:color="00A9AC" w:themeColor="accent1"/>
        </w:tcBorders>
        <w:shd w:val="clear" w:color="auto" w:fill="B2E5E6"/>
      </w:tcPr>
    </w:tblStylePr>
    <w:tblStylePr w:type="band1Vert">
      <w:tblPr/>
      <w:tcPr>
        <w:shd w:val="clear" w:color="auto" w:fill="F2FBFB"/>
      </w:tcPr>
    </w:tblStylePr>
    <w:tblStylePr w:type="band1Horz">
      <w:tblPr/>
      <w:tcPr>
        <w:shd w:val="clear" w:color="auto" w:fill="F2FBFB"/>
      </w:tcPr>
    </w:tblStylePr>
  </w:style>
  <w:style w:type="table" w:customStyle="1" w:styleId="CanREATable2">
    <w:name w:val="CanREA Table 2"/>
    <w:basedOn w:val="TableNormal"/>
    <w:uiPriority w:val="99"/>
    <w:rsid w:val="00C9209C"/>
    <w:pPr>
      <w:jc w:val="center"/>
    </w:pPr>
    <w:rPr>
      <w:sz w:val="20"/>
    </w:rPr>
    <w:tblPr>
      <w:tblStyleRowBandSize w:val="1"/>
      <w:tblStyleColBandSize w:val="1"/>
      <w:tblBorders>
        <w:top w:val="single" w:sz="4" w:space="0" w:color="6B7B83" w:themeColor="accent3"/>
        <w:bottom w:val="single" w:sz="4" w:space="0" w:color="6B7B83" w:themeColor="accent3"/>
        <w:insideH w:val="single" w:sz="4" w:space="0" w:color="6B7B83" w:themeColor="accent3"/>
      </w:tblBorders>
    </w:tblPr>
    <w:tcPr>
      <w:vAlign w:val="center"/>
    </w:tcPr>
    <w:tblStylePr w:type="firstRow">
      <w:tblPr/>
      <w:tcPr>
        <w:shd w:val="clear" w:color="auto" w:fill="D2D7DA"/>
      </w:tcPr>
    </w:tblStylePr>
    <w:tblStylePr w:type="lastRow">
      <w:tblPr/>
      <w:tcPr>
        <w:shd w:val="clear" w:color="auto" w:fill="D2D7DA"/>
      </w:tcPr>
    </w:tblStylePr>
    <w:tblStylePr w:type="firstCol">
      <w:tblPr/>
      <w:tcPr>
        <w:tcBorders>
          <w:right w:val="single" w:sz="4" w:space="0" w:color="6B7B83" w:themeColor="accent3"/>
        </w:tcBorders>
        <w:shd w:val="clear" w:color="auto" w:fill="D2D7DA"/>
      </w:tcPr>
    </w:tblStylePr>
    <w:tblStylePr w:type="lastCol">
      <w:tblPr/>
      <w:tcPr>
        <w:tcBorders>
          <w:left w:val="single" w:sz="4" w:space="0" w:color="6B7B83" w:themeColor="accent3"/>
        </w:tcBorders>
        <w:shd w:val="clear" w:color="auto" w:fill="D2D7DA"/>
      </w:tcPr>
    </w:tblStylePr>
    <w:tblStylePr w:type="band1Vert">
      <w:tblPr/>
      <w:tcPr>
        <w:shd w:val="clear" w:color="auto" w:fill="F7F8F9"/>
      </w:tcPr>
    </w:tblStylePr>
    <w:tblStylePr w:type="band1Horz">
      <w:tblPr/>
      <w:tcPr>
        <w:shd w:val="clear" w:color="auto" w:fill="F7F8F9"/>
      </w:tcPr>
    </w:tblStylePr>
  </w:style>
  <w:style w:type="character" w:customStyle="1" w:styleId="CanREABlue">
    <w:name w:val="CanREA Blue"/>
    <w:uiPriority w:val="24"/>
    <w:rsid w:val="000C0EF6"/>
    <w:rPr>
      <w:color w:val="00A9AC" w:themeColor="accent1"/>
    </w:rPr>
  </w:style>
  <w:style w:type="character" w:customStyle="1" w:styleId="CanREAGreen">
    <w:name w:val="CanREA Green"/>
    <w:uiPriority w:val="24"/>
    <w:rsid w:val="000C0EF6"/>
    <w:rPr>
      <w:color w:val="A5CD39" w:themeColor="accent2"/>
    </w:rPr>
  </w:style>
  <w:style w:type="character" w:customStyle="1" w:styleId="CanREAGrey">
    <w:name w:val="CanREA Grey"/>
    <w:uiPriority w:val="24"/>
    <w:rsid w:val="000C0EF6"/>
    <w:rPr>
      <w:color w:val="6B7B83" w:themeColor="accent3"/>
    </w:rPr>
  </w:style>
  <w:style w:type="character" w:styleId="PageNumber">
    <w:name w:val="page number"/>
    <w:uiPriority w:val="99"/>
    <w:rsid w:val="007911B1"/>
    <w:rPr>
      <w:b/>
      <w:bCs/>
      <w:color w:val="6B7B83" w:themeColor="accent3"/>
    </w:rPr>
  </w:style>
  <w:style w:type="paragraph" w:styleId="Title">
    <w:name w:val="Title"/>
    <w:basedOn w:val="Heading1"/>
    <w:next w:val="Normal"/>
    <w:link w:val="TitleChar"/>
    <w:uiPriority w:val="10"/>
    <w:rsid w:val="007911B1"/>
    <w:rPr>
      <w:rFonts w:eastAsiaTheme="majorEastAsia" w:cstheme="majorBidi"/>
      <w:color w:val="00A9AC" w:themeColor="accent1"/>
      <w:szCs w:val="56"/>
    </w:rPr>
  </w:style>
  <w:style w:type="character" w:customStyle="1" w:styleId="TitleChar">
    <w:name w:val="Title Char"/>
    <w:basedOn w:val="DefaultParagraphFont"/>
    <w:link w:val="Title"/>
    <w:uiPriority w:val="10"/>
    <w:rsid w:val="007911B1"/>
    <w:rPr>
      <w:rFonts w:asciiTheme="majorHAnsi" w:eastAsiaTheme="majorEastAsia" w:hAnsiTheme="majorHAnsi" w:cstheme="majorBidi"/>
      <w:b/>
      <w:color w:val="00A9AC" w:themeColor="accent1"/>
      <w:sz w:val="32"/>
      <w:szCs w:val="56"/>
    </w:rPr>
  </w:style>
  <w:style w:type="paragraph" w:styleId="TOCHeading">
    <w:name w:val="TOC Heading"/>
    <w:basedOn w:val="Heading1"/>
    <w:next w:val="BodyText"/>
    <w:uiPriority w:val="39"/>
    <w:unhideWhenUsed/>
    <w:qFormat/>
    <w:rsid w:val="00AF3CC0"/>
    <w:pPr>
      <w:keepLines/>
      <w:spacing w:after="120"/>
      <w:contextualSpacing w:val="0"/>
      <w:outlineLvl w:val="9"/>
    </w:pPr>
    <w:rPr>
      <w:rFonts w:eastAsiaTheme="majorEastAsia" w:cstheme="majorBidi"/>
      <w:b w:val="0"/>
      <w:color w:val="00A9AC" w:themeColor="accent1"/>
      <w:szCs w:val="32"/>
      <w:lang w:val="en-US"/>
    </w:rPr>
  </w:style>
  <w:style w:type="paragraph" w:styleId="TOC1">
    <w:name w:val="toc 1"/>
    <w:basedOn w:val="BodyText"/>
    <w:next w:val="BodyText"/>
    <w:autoRedefine/>
    <w:uiPriority w:val="39"/>
    <w:unhideWhenUsed/>
    <w:rsid w:val="00AF3CC0"/>
    <w:pPr>
      <w:spacing w:before="0" w:after="100"/>
    </w:pPr>
    <w:rPr>
      <w:b/>
    </w:rPr>
  </w:style>
  <w:style w:type="paragraph" w:styleId="TOC2">
    <w:name w:val="toc 2"/>
    <w:basedOn w:val="BodyText"/>
    <w:next w:val="BodyText"/>
    <w:autoRedefine/>
    <w:uiPriority w:val="39"/>
    <w:unhideWhenUsed/>
    <w:rsid w:val="00AF3CC0"/>
    <w:pPr>
      <w:spacing w:before="0" w:after="100"/>
      <w:ind w:left="216"/>
      <w:contextualSpacing/>
    </w:pPr>
  </w:style>
  <w:style w:type="paragraph" w:styleId="TOC3">
    <w:name w:val="toc 3"/>
    <w:basedOn w:val="BodyText"/>
    <w:next w:val="BodyText"/>
    <w:autoRedefine/>
    <w:uiPriority w:val="39"/>
    <w:unhideWhenUsed/>
    <w:rsid w:val="00AF3CC0"/>
    <w:pPr>
      <w:spacing w:before="0" w:after="100"/>
      <w:ind w:left="432"/>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57073">
      <w:bodyDiv w:val="1"/>
      <w:marLeft w:val="0"/>
      <w:marRight w:val="0"/>
      <w:marTop w:val="0"/>
      <w:marBottom w:val="0"/>
      <w:divBdr>
        <w:top w:val="none" w:sz="0" w:space="0" w:color="auto"/>
        <w:left w:val="none" w:sz="0" w:space="0" w:color="auto"/>
        <w:bottom w:val="none" w:sz="0" w:space="0" w:color="auto"/>
        <w:right w:val="none" w:sz="0" w:space="0" w:color="auto"/>
      </w:divBdr>
    </w:div>
    <w:div w:id="335694244">
      <w:bodyDiv w:val="1"/>
      <w:marLeft w:val="0"/>
      <w:marRight w:val="0"/>
      <w:marTop w:val="0"/>
      <w:marBottom w:val="0"/>
      <w:divBdr>
        <w:top w:val="none" w:sz="0" w:space="0" w:color="auto"/>
        <w:left w:val="none" w:sz="0" w:space="0" w:color="auto"/>
        <w:bottom w:val="none" w:sz="0" w:space="0" w:color="auto"/>
        <w:right w:val="none" w:sz="0" w:space="0" w:color="auto"/>
      </w:divBdr>
    </w:div>
    <w:div w:id="349188823">
      <w:bodyDiv w:val="1"/>
      <w:marLeft w:val="0"/>
      <w:marRight w:val="0"/>
      <w:marTop w:val="0"/>
      <w:marBottom w:val="0"/>
      <w:divBdr>
        <w:top w:val="none" w:sz="0" w:space="0" w:color="auto"/>
        <w:left w:val="none" w:sz="0" w:space="0" w:color="auto"/>
        <w:bottom w:val="none" w:sz="0" w:space="0" w:color="auto"/>
        <w:right w:val="none" w:sz="0" w:space="0" w:color="auto"/>
      </w:divBdr>
    </w:div>
    <w:div w:id="402456860">
      <w:bodyDiv w:val="1"/>
      <w:marLeft w:val="0"/>
      <w:marRight w:val="0"/>
      <w:marTop w:val="0"/>
      <w:marBottom w:val="0"/>
      <w:divBdr>
        <w:top w:val="none" w:sz="0" w:space="0" w:color="auto"/>
        <w:left w:val="none" w:sz="0" w:space="0" w:color="auto"/>
        <w:bottom w:val="none" w:sz="0" w:space="0" w:color="auto"/>
        <w:right w:val="none" w:sz="0" w:space="0" w:color="auto"/>
      </w:divBdr>
    </w:div>
    <w:div w:id="509876186">
      <w:bodyDiv w:val="1"/>
      <w:marLeft w:val="0"/>
      <w:marRight w:val="0"/>
      <w:marTop w:val="0"/>
      <w:marBottom w:val="0"/>
      <w:divBdr>
        <w:top w:val="none" w:sz="0" w:space="0" w:color="auto"/>
        <w:left w:val="none" w:sz="0" w:space="0" w:color="auto"/>
        <w:bottom w:val="none" w:sz="0" w:space="0" w:color="auto"/>
        <w:right w:val="none" w:sz="0" w:space="0" w:color="auto"/>
      </w:divBdr>
    </w:div>
    <w:div w:id="775096341">
      <w:bodyDiv w:val="1"/>
      <w:marLeft w:val="0"/>
      <w:marRight w:val="0"/>
      <w:marTop w:val="0"/>
      <w:marBottom w:val="0"/>
      <w:divBdr>
        <w:top w:val="none" w:sz="0" w:space="0" w:color="auto"/>
        <w:left w:val="none" w:sz="0" w:space="0" w:color="auto"/>
        <w:bottom w:val="none" w:sz="0" w:space="0" w:color="auto"/>
        <w:right w:val="none" w:sz="0" w:space="0" w:color="auto"/>
      </w:divBdr>
    </w:div>
    <w:div w:id="970331665">
      <w:bodyDiv w:val="1"/>
      <w:marLeft w:val="0"/>
      <w:marRight w:val="0"/>
      <w:marTop w:val="0"/>
      <w:marBottom w:val="0"/>
      <w:divBdr>
        <w:top w:val="none" w:sz="0" w:space="0" w:color="auto"/>
        <w:left w:val="none" w:sz="0" w:space="0" w:color="auto"/>
        <w:bottom w:val="none" w:sz="0" w:space="0" w:color="auto"/>
        <w:right w:val="none" w:sz="0" w:space="0" w:color="auto"/>
      </w:divBdr>
    </w:div>
    <w:div w:id="1358383944">
      <w:bodyDiv w:val="1"/>
      <w:marLeft w:val="0"/>
      <w:marRight w:val="0"/>
      <w:marTop w:val="0"/>
      <w:marBottom w:val="0"/>
      <w:divBdr>
        <w:top w:val="none" w:sz="0" w:space="0" w:color="auto"/>
        <w:left w:val="none" w:sz="0" w:space="0" w:color="auto"/>
        <w:bottom w:val="none" w:sz="0" w:space="0" w:color="auto"/>
        <w:right w:val="none" w:sz="0" w:space="0" w:color="auto"/>
      </w:divBdr>
    </w:div>
    <w:div w:id="19183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gall@renewablesassociatio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associationrenouvelable.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re100.org/sites/re100/files/2022-01/RE100%202021%20Annual%20Disclosure%20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t>IESO 2021 Annual Plannign Outlook: </a:t>
            </a:r>
            <a:br>
              <a:rPr lang="en-US" sz="1100" b="1"/>
            </a:br>
            <a:r>
              <a:rPr lang="en-US" sz="1100" b="1"/>
              <a:t>Ontario electricity supply forecast</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percentStacked"/>
        <c:varyColors val="0"/>
        <c:ser>
          <c:idx val="1"/>
          <c:order val="0"/>
          <c:tx>
            <c:strRef>
              <c:f>Sheet1!$A$8</c:f>
              <c:strCache>
                <c:ptCount val="1"/>
                <c:pt idx="0">
                  <c:v>Natural Gas</c:v>
                </c:pt>
              </c:strCache>
            </c:strRef>
          </c:tx>
          <c:spPr>
            <a:solidFill>
              <a:schemeClr val="accent2"/>
            </a:solidFill>
            <a:ln>
              <a:noFill/>
            </a:ln>
            <a:effectLst/>
          </c:spPr>
          <c:invertIfNegative val="0"/>
          <c:cat>
            <c:numRef>
              <c:f>Sheet1!$B$6:$U$6</c:f>
              <c:numCache>
                <c:formatCode>General</c:formatCode>
                <c:ptCount val="2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numCache>
            </c:numRef>
          </c:cat>
          <c:val>
            <c:numRef>
              <c:f>Sheet1!$B$8:$U$8</c:f>
              <c:numCache>
                <c:formatCode>0%</c:formatCode>
                <c:ptCount val="20"/>
                <c:pt idx="0">
                  <c:v>0.1242320819112628</c:v>
                </c:pt>
                <c:pt idx="1">
                  <c:v>0.10866666666666669</c:v>
                </c:pt>
                <c:pt idx="2">
                  <c:v>0.13777191825972313</c:v>
                </c:pt>
                <c:pt idx="3">
                  <c:v>0.20157068062827224</c:v>
                </c:pt>
                <c:pt idx="4">
                  <c:v>0.18786313750806974</c:v>
                </c:pt>
                <c:pt idx="5">
                  <c:v>0.18789808917197454</c:v>
                </c:pt>
                <c:pt idx="6">
                  <c:v>0.19024088943792464</c:v>
                </c:pt>
                <c:pt idx="7">
                  <c:v>0.20390720390720393</c:v>
                </c:pt>
                <c:pt idx="8">
                  <c:v>0.20956995760145369</c:v>
                </c:pt>
                <c:pt idx="9">
                  <c:v>0.19170673076923075</c:v>
                </c:pt>
                <c:pt idx="10">
                  <c:v>0.19182948490230908</c:v>
                </c:pt>
                <c:pt idx="11">
                  <c:v>0.19158878504672897</c:v>
                </c:pt>
                <c:pt idx="12">
                  <c:v>0.19988577955454026</c:v>
                </c:pt>
                <c:pt idx="13">
                  <c:v>0.21516853932584268</c:v>
                </c:pt>
                <c:pt idx="14">
                  <c:v>0.21811154058531199</c:v>
                </c:pt>
                <c:pt idx="15">
                  <c:v>0.24386252045826518</c:v>
                </c:pt>
                <c:pt idx="16">
                  <c:v>0.24704618689581098</c:v>
                </c:pt>
                <c:pt idx="17">
                  <c:v>0.26352067868504769</c:v>
                </c:pt>
                <c:pt idx="18">
                  <c:v>0.26354166666666667</c:v>
                </c:pt>
                <c:pt idx="19">
                  <c:v>0.2594736842105263</c:v>
                </c:pt>
              </c:numCache>
            </c:numRef>
          </c:val>
          <c:extLst>
            <c:ext xmlns:c16="http://schemas.microsoft.com/office/drawing/2014/chart" uri="{C3380CC4-5D6E-409C-BE32-E72D297353CC}">
              <c16:uniqueId val="{00000000-4091-483A-BBB2-550189CB8BE0}"/>
            </c:ext>
          </c:extLst>
        </c:ser>
        <c:ser>
          <c:idx val="0"/>
          <c:order val="1"/>
          <c:tx>
            <c:strRef>
              <c:f>Sheet1!$A$7</c:f>
              <c:strCache>
                <c:ptCount val="1"/>
                <c:pt idx="0">
                  <c:v>Nuclear</c:v>
                </c:pt>
              </c:strCache>
            </c:strRef>
          </c:tx>
          <c:spPr>
            <a:solidFill>
              <a:schemeClr val="bg1">
                <a:lumMod val="65000"/>
              </a:schemeClr>
            </a:solidFill>
            <a:ln>
              <a:noFill/>
            </a:ln>
            <a:effectLst/>
          </c:spPr>
          <c:invertIfNegative val="0"/>
          <c:cat>
            <c:numRef>
              <c:f>Sheet1!$B$6:$U$6</c:f>
              <c:numCache>
                <c:formatCode>General</c:formatCode>
                <c:ptCount val="2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numCache>
            </c:numRef>
          </c:cat>
          <c:val>
            <c:numRef>
              <c:f>Sheet1!$B$7:$U$7</c:f>
              <c:numCache>
                <c:formatCode>0%</c:formatCode>
                <c:ptCount val="20"/>
                <c:pt idx="0">
                  <c:v>0.46757679180887374</c:v>
                </c:pt>
                <c:pt idx="1">
                  <c:v>0.49400000000000005</c:v>
                </c:pt>
                <c:pt idx="2">
                  <c:v>0.4627554383651945</c:v>
                </c:pt>
                <c:pt idx="3">
                  <c:v>0.3900523560209424</c:v>
                </c:pt>
                <c:pt idx="4">
                  <c:v>0.41123305358295675</c:v>
                </c:pt>
                <c:pt idx="5">
                  <c:v>0.4140127388535032</c:v>
                </c:pt>
                <c:pt idx="6">
                  <c:v>0.42433600988264358</c:v>
                </c:pt>
                <c:pt idx="7">
                  <c:v>0.41269841269841273</c:v>
                </c:pt>
                <c:pt idx="8">
                  <c:v>0.4100545124167172</c:v>
                </c:pt>
                <c:pt idx="9">
                  <c:v>0.4320913461538462</c:v>
                </c:pt>
                <c:pt idx="10">
                  <c:v>0.43990526939017172</c:v>
                </c:pt>
                <c:pt idx="11">
                  <c:v>0.4450934579439253</c:v>
                </c:pt>
                <c:pt idx="12">
                  <c:v>0.44431753283837805</c:v>
                </c:pt>
                <c:pt idx="13">
                  <c:v>0.43089887640449442</c:v>
                </c:pt>
                <c:pt idx="14">
                  <c:v>0.43511871893981224</c:v>
                </c:pt>
                <c:pt idx="15">
                  <c:v>0.41189307146753962</c:v>
                </c:pt>
                <c:pt idx="16">
                  <c:v>0.41407089151450055</c:v>
                </c:pt>
                <c:pt idx="17">
                  <c:v>0.40084835630964999</c:v>
                </c:pt>
                <c:pt idx="18">
                  <c:v>0.40729166666666666</c:v>
                </c:pt>
                <c:pt idx="19">
                  <c:v>0.40789473684210525</c:v>
                </c:pt>
              </c:numCache>
            </c:numRef>
          </c:val>
          <c:extLst>
            <c:ext xmlns:c16="http://schemas.microsoft.com/office/drawing/2014/chart" uri="{C3380CC4-5D6E-409C-BE32-E72D297353CC}">
              <c16:uniqueId val="{00000001-4091-483A-BBB2-550189CB8BE0}"/>
            </c:ext>
          </c:extLst>
        </c:ser>
        <c:ser>
          <c:idx val="2"/>
          <c:order val="2"/>
          <c:tx>
            <c:strRef>
              <c:f>Sheet1!$A$9</c:f>
              <c:strCache>
                <c:ptCount val="1"/>
                <c:pt idx="0">
                  <c:v>Hydroelectricity</c:v>
                </c:pt>
              </c:strCache>
            </c:strRef>
          </c:tx>
          <c:spPr>
            <a:solidFill>
              <a:srgbClr val="0070C0"/>
            </a:solidFill>
            <a:ln>
              <a:noFill/>
            </a:ln>
            <a:effectLst/>
          </c:spPr>
          <c:invertIfNegative val="0"/>
          <c:cat>
            <c:numRef>
              <c:f>Sheet1!$B$6:$U$6</c:f>
              <c:numCache>
                <c:formatCode>General</c:formatCode>
                <c:ptCount val="2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numCache>
            </c:numRef>
          </c:cat>
          <c:val>
            <c:numRef>
              <c:f>Sheet1!$B$9:$U$9</c:f>
              <c:numCache>
                <c:formatCode>0%</c:formatCode>
                <c:ptCount val="20"/>
                <c:pt idx="0">
                  <c:v>0.27440273037542662</c:v>
                </c:pt>
                <c:pt idx="1">
                  <c:v>0.26666666666666672</c:v>
                </c:pt>
                <c:pt idx="2">
                  <c:v>0.26895187870797627</c:v>
                </c:pt>
                <c:pt idx="3">
                  <c:v>0.27421465968586384</c:v>
                </c:pt>
                <c:pt idx="4">
                  <c:v>0.26920593931568754</c:v>
                </c:pt>
                <c:pt idx="5">
                  <c:v>0.26751592356687898</c:v>
                </c:pt>
                <c:pt idx="6">
                  <c:v>0.25880172946263125</c:v>
                </c:pt>
                <c:pt idx="7">
                  <c:v>0.25763125763125766</c:v>
                </c:pt>
                <c:pt idx="8">
                  <c:v>0.25560266505148399</c:v>
                </c:pt>
                <c:pt idx="9">
                  <c:v>0.25240384615384615</c:v>
                </c:pt>
                <c:pt idx="10">
                  <c:v>0.24629958555358206</c:v>
                </c:pt>
                <c:pt idx="11">
                  <c:v>0.2429906542056075</c:v>
                </c:pt>
                <c:pt idx="12">
                  <c:v>0.23872073101085092</c:v>
                </c:pt>
                <c:pt idx="13">
                  <c:v>0.23764044943820223</c:v>
                </c:pt>
                <c:pt idx="14">
                  <c:v>0.23302043070127004</c:v>
                </c:pt>
                <c:pt idx="15">
                  <c:v>0.23131478450627388</c:v>
                </c:pt>
                <c:pt idx="16">
                  <c:v>0.2277121374865736</c:v>
                </c:pt>
                <c:pt idx="17">
                  <c:v>0.2253446447507953</c:v>
                </c:pt>
                <c:pt idx="18">
                  <c:v>0.22135416666666666</c:v>
                </c:pt>
                <c:pt idx="19">
                  <c:v>0.22368421052631579</c:v>
                </c:pt>
              </c:numCache>
            </c:numRef>
          </c:val>
          <c:extLst>
            <c:ext xmlns:c16="http://schemas.microsoft.com/office/drawing/2014/chart" uri="{C3380CC4-5D6E-409C-BE32-E72D297353CC}">
              <c16:uniqueId val="{00000002-4091-483A-BBB2-550189CB8BE0}"/>
            </c:ext>
          </c:extLst>
        </c:ser>
        <c:ser>
          <c:idx val="3"/>
          <c:order val="3"/>
          <c:tx>
            <c:strRef>
              <c:f>Sheet1!$A$10</c:f>
              <c:strCache>
                <c:ptCount val="1"/>
                <c:pt idx="0">
                  <c:v>Non-Hydro Renewables</c:v>
                </c:pt>
              </c:strCache>
            </c:strRef>
          </c:tx>
          <c:spPr>
            <a:solidFill>
              <a:srgbClr val="00B050"/>
            </a:solidFill>
            <a:ln>
              <a:noFill/>
            </a:ln>
            <a:effectLst/>
          </c:spPr>
          <c:invertIfNegative val="0"/>
          <c:cat>
            <c:numRef>
              <c:f>Sheet1!$B$6:$U$6</c:f>
              <c:numCache>
                <c:formatCode>General</c:formatCode>
                <c:ptCount val="2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numCache>
            </c:numRef>
          </c:cat>
          <c:val>
            <c:numRef>
              <c:f>Sheet1!$B$10:$U$10</c:f>
              <c:numCache>
                <c:formatCode>0%</c:formatCode>
                <c:ptCount val="20"/>
                <c:pt idx="0">
                  <c:v>0.13378839590443686</c:v>
                </c:pt>
                <c:pt idx="1">
                  <c:v>0.13066666666666671</c:v>
                </c:pt>
                <c:pt idx="2">
                  <c:v>0.13052076466710613</c:v>
                </c:pt>
                <c:pt idx="3">
                  <c:v>0.13416230366492146</c:v>
                </c:pt>
                <c:pt idx="4">
                  <c:v>0.13169786959328597</c:v>
                </c:pt>
                <c:pt idx="5">
                  <c:v>0.13057324840764331</c:v>
                </c:pt>
                <c:pt idx="6">
                  <c:v>0.12662137121680048</c:v>
                </c:pt>
                <c:pt idx="7">
                  <c:v>0.12576312576312579</c:v>
                </c:pt>
                <c:pt idx="8">
                  <c:v>0.12477286493034526</c:v>
                </c:pt>
                <c:pt idx="9">
                  <c:v>0.12379807692307693</c:v>
                </c:pt>
                <c:pt idx="10">
                  <c:v>0.12196566015393727</c:v>
                </c:pt>
                <c:pt idx="11">
                  <c:v>0.12032710280373833</c:v>
                </c:pt>
                <c:pt idx="12">
                  <c:v>0.11707595659623073</c:v>
                </c:pt>
                <c:pt idx="13">
                  <c:v>0.11629213483146067</c:v>
                </c:pt>
                <c:pt idx="14">
                  <c:v>0.11374930977360576</c:v>
                </c:pt>
                <c:pt idx="15">
                  <c:v>0.11292962356792145</c:v>
                </c:pt>
                <c:pt idx="16">
                  <c:v>0.11117078410311493</c:v>
                </c:pt>
                <c:pt idx="17">
                  <c:v>0.11028632025450688</c:v>
                </c:pt>
                <c:pt idx="18">
                  <c:v>0.10781249999999999</c:v>
                </c:pt>
                <c:pt idx="19">
                  <c:v>0.10894736842105263</c:v>
                </c:pt>
              </c:numCache>
            </c:numRef>
          </c:val>
          <c:extLst>
            <c:ext xmlns:c16="http://schemas.microsoft.com/office/drawing/2014/chart" uri="{C3380CC4-5D6E-409C-BE32-E72D297353CC}">
              <c16:uniqueId val="{00000003-4091-483A-BBB2-550189CB8BE0}"/>
            </c:ext>
          </c:extLst>
        </c:ser>
        <c:dLbls>
          <c:showLegendKey val="0"/>
          <c:showVal val="0"/>
          <c:showCatName val="0"/>
          <c:showSerName val="0"/>
          <c:showPercent val="0"/>
          <c:showBubbleSize val="0"/>
        </c:dLbls>
        <c:gapWidth val="150"/>
        <c:overlap val="100"/>
        <c:axId val="1802540896"/>
        <c:axId val="1802537152"/>
      </c:barChart>
      <c:catAx>
        <c:axId val="180254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02537152"/>
        <c:crosses val="autoZero"/>
        <c:auto val="1"/>
        <c:lblAlgn val="ctr"/>
        <c:lblOffset val="100"/>
        <c:noMultiLvlLbl val="0"/>
      </c:catAx>
      <c:valAx>
        <c:axId val="1802537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0254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anREA">
      <a:dk1>
        <a:sysClr val="windowText" lastClr="000000"/>
      </a:dk1>
      <a:lt1>
        <a:sysClr val="window" lastClr="FFFFFF"/>
      </a:lt1>
      <a:dk2>
        <a:srgbClr val="005456"/>
      </a:dk2>
      <a:lt2>
        <a:srgbClr val="7FD4D5"/>
      </a:lt2>
      <a:accent1>
        <a:srgbClr val="00A9AC"/>
      </a:accent1>
      <a:accent2>
        <a:srgbClr val="A5CD39"/>
      </a:accent2>
      <a:accent3>
        <a:srgbClr val="6B7B83"/>
      </a:accent3>
      <a:accent4>
        <a:srgbClr val="66CBCD"/>
      </a:accent4>
      <a:accent5>
        <a:srgbClr val="B2E5E6"/>
      </a:accent5>
      <a:accent6>
        <a:srgbClr val="F2FBFB"/>
      </a:accent6>
      <a:hlink>
        <a:srgbClr val="00A9AC"/>
      </a:hlink>
      <a:folHlink>
        <a:srgbClr val="005456"/>
      </a:folHlink>
    </a:clrScheme>
    <a:fontScheme name="CanR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1AE55F7652F4897A25DD6BFC93695" ma:contentTypeVersion="13" ma:contentTypeDescription="Create a new document." ma:contentTypeScope="" ma:versionID="28dfe332af0d751052449746e982e3ff">
  <xsd:schema xmlns:xsd="http://www.w3.org/2001/XMLSchema" xmlns:xs="http://www.w3.org/2001/XMLSchema" xmlns:p="http://schemas.microsoft.com/office/2006/metadata/properties" xmlns:ns3="b99d8b8e-b868-4a0f-b786-1207d484424e" xmlns:ns4="2a49ba87-7eba-416c-985b-d1ed4f45e7bb" targetNamespace="http://schemas.microsoft.com/office/2006/metadata/properties" ma:root="true" ma:fieldsID="ce03f7ba0683337cba44e3c51c77fb63" ns3:_="" ns4:_="">
    <xsd:import namespace="b99d8b8e-b868-4a0f-b786-1207d484424e"/>
    <xsd:import namespace="2a49ba87-7eba-416c-985b-d1ed4f45e7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8b8e-b868-4a0f-b786-1207d4844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9ba87-7eba-416c-985b-d1ed4f45e7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EE32-213C-447F-9783-3E36E1791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4BE866-D9A9-4DD4-8D31-4175E68694E5}">
  <ds:schemaRefs>
    <ds:schemaRef ds:uri="http://schemas.microsoft.com/sharepoint/v3/contenttype/forms"/>
  </ds:schemaRefs>
</ds:datastoreItem>
</file>

<file path=customXml/itemProps3.xml><?xml version="1.0" encoding="utf-8"?>
<ds:datastoreItem xmlns:ds="http://schemas.openxmlformats.org/officeDocument/2006/customXml" ds:itemID="{D6CA7D85-67B1-479C-A647-F0027AB72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8b8e-b868-4a0f-b786-1207d484424e"/>
    <ds:schemaRef ds:uri="2a49ba87-7eba-416c-985b-d1ed4f45e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F1EBB-0A8F-4C17-89DF-4B4F731C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CanREA</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CanREA</dc:creator>
  <cp:keywords/>
  <dc:description/>
  <cp:lastModifiedBy>Nicholas Gall</cp:lastModifiedBy>
  <cp:revision>2</cp:revision>
  <dcterms:created xsi:type="dcterms:W3CDTF">2022-09-15T21:57:00Z</dcterms:created>
  <dcterms:modified xsi:type="dcterms:W3CDTF">2022-09-15T21:57:00Z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0x010100A131AE55F7652F4897A25DD6BFC93695</vt:lpwstr>
  </property>
</Properties>
</file>