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05DC" w14:textId="77777777" w:rsidR="00175FE0" w:rsidRDefault="00175FE0">
      <w:r w:rsidRPr="00175FE0">
        <w:rPr>
          <w:rFonts w:ascii="Times" w:eastAsia="MS Mincho" w:hAnsi="Times" w:cs="Times New Roman"/>
          <w:noProof/>
          <w:sz w:val="24"/>
          <w:szCs w:val="24"/>
          <w:lang w:val="en-US"/>
        </w:rPr>
        <w:drawing>
          <wp:inline distT="0" distB="0" distL="0" distR="0" wp14:anchorId="22F59959" wp14:editId="4308B416">
            <wp:extent cx="3110788" cy="7406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y_leaf_left_black 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0788" cy="740664"/>
                    </a:xfrm>
                    <a:prstGeom prst="rect">
                      <a:avLst/>
                    </a:prstGeom>
                  </pic:spPr>
                </pic:pic>
              </a:graphicData>
            </a:graphic>
          </wp:inline>
        </w:drawing>
      </w:r>
    </w:p>
    <w:p w14:paraId="5254BC29" w14:textId="77777777" w:rsidR="00175FE0" w:rsidRDefault="00175FE0"/>
    <w:p w14:paraId="4E687BA6" w14:textId="2CBFBA24" w:rsidR="00D760B7" w:rsidRDefault="00F94486">
      <w:r>
        <w:t>Proposed Planning Act and the City of Toronto Act Changes</w:t>
      </w:r>
    </w:p>
    <w:p w14:paraId="57E334A1" w14:textId="631FC0CC" w:rsidR="00F94486" w:rsidRDefault="00F94486">
      <w:r>
        <w:t>(Schedules 9 and 1 of Bill 23- the proposed More Homes Built Faster Act, 2022)</w:t>
      </w:r>
    </w:p>
    <w:p w14:paraId="543430F8" w14:textId="356210F4" w:rsidR="00F94486" w:rsidRDefault="00F94486">
      <w:r>
        <w:t>ERO number:  019-6163</w:t>
      </w:r>
    </w:p>
    <w:p w14:paraId="0E312714" w14:textId="0EB4DF65" w:rsidR="00F94486" w:rsidRDefault="00F94486"/>
    <w:p w14:paraId="4BEAD0DA" w14:textId="49179BBC" w:rsidR="00F94486" w:rsidRDefault="00C67B91">
      <w:r>
        <w:t xml:space="preserve">We wish to express our </w:t>
      </w:r>
      <w:r w:rsidR="009E7F88">
        <w:t>interest in</w:t>
      </w:r>
      <w:r>
        <w:t xml:space="preserve"> </w:t>
      </w:r>
      <w:r w:rsidR="00E26A11">
        <w:t>several provisions</w:t>
      </w:r>
      <w:r>
        <w:t xml:space="preserve"> under Schedule</w:t>
      </w:r>
      <w:r w:rsidR="00D95B09">
        <w:t>s</w:t>
      </w:r>
      <w:r>
        <w:t xml:space="preserve"> 9 and 1</w:t>
      </w:r>
      <w:r w:rsidR="00E26A11">
        <w:t xml:space="preserve"> under Bill 23</w:t>
      </w:r>
      <w:r w:rsidR="00FD523C">
        <w:t xml:space="preserve"> (</w:t>
      </w:r>
      <w:r>
        <w:t>More Homes Built Faster Act</w:t>
      </w:r>
      <w:r w:rsidR="00FD523C">
        <w:t>, 2022)</w:t>
      </w:r>
      <w:r>
        <w:t xml:space="preserve"> which we believe will have negative consequences and impacts to employment lands despite not being specifically addressed in the </w:t>
      </w:r>
      <w:r w:rsidR="00E26A11">
        <w:t>proposed changes.</w:t>
      </w:r>
      <w:r w:rsidR="00FD523C">
        <w:t xml:space="preserve"> First, the intent of the bill to address the housing shortages is laudable. We fear however, that the haste to do so has built in unintended consequences that go beyond the scope of the changes put forth.</w:t>
      </w:r>
    </w:p>
    <w:p w14:paraId="23B4B1AF" w14:textId="455A2AE3" w:rsidR="00AB3643" w:rsidRDefault="00AB3643" w:rsidP="00AB3643">
      <w:r>
        <w:t>Of most concern to us are the following proposed changes:</w:t>
      </w:r>
    </w:p>
    <w:p w14:paraId="2194F612" w14:textId="77BF7D62" w:rsidR="00AB3643" w:rsidRDefault="00AB3643" w:rsidP="00AB3643">
      <w:pPr>
        <w:pStyle w:val="ListParagraph"/>
        <w:numPr>
          <w:ilvl w:val="0"/>
          <w:numId w:val="4"/>
        </w:numPr>
      </w:pPr>
      <w:r>
        <w:t xml:space="preserve">The </w:t>
      </w:r>
      <w:r w:rsidR="00B71F1F">
        <w:t>p</w:t>
      </w:r>
      <w:r>
        <w:t>rohibition of third-party appeals of most planning and development approvals,</w:t>
      </w:r>
    </w:p>
    <w:p w14:paraId="7BB452AF" w14:textId="26672363" w:rsidR="00AB3643" w:rsidRDefault="00AB3643" w:rsidP="00AB3643">
      <w:pPr>
        <w:pStyle w:val="ListParagraph"/>
        <w:numPr>
          <w:ilvl w:val="0"/>
          <w:numId w:val="4"/>
        </w:numPr>
      </w:pPr>
      <w:r>
        <w:t>Allowing the province to override municipal official plans to allow higher-density housing in strategic areas, including Major Transit Station Areas (MTSAs) to achieve Provincial density/housing targets</w:t>
      </w:r>
    </w:p>
    <w:p w14:paraId="2845C919" w14:textId="38BD9857" w:rsidR="00C67B91" w:rsidRDefault="00C67B91">
      <w:r>
        <w:t>Emery Village BIA, which was formed in 2003, is Canada’s largest Business Improvement Area</w:t>
      </w:r>
      <w:r w:rsidR="00D003B4">
        <w:t>. Located in the north-west of the City of Toronto it</w:t>
      </w:r>
      <w:r w:rsidR="00E26A11">
        <w:t xml:space="preserve">s </w:t>
      </w:r>
      <w:r w:rsidR="00D003B4">
        <w:t>bo</w:t>
      </w:r>
      <w:r w:rsidR="00E26A11">
        <w:t>rders</w:t>
      </w:r>
      <w:r w:rsidR="00D003B4">
        <w:t xml:space="preserve"> includ</w:t>
      </w:r>
      <w:r w:rsidR="00E50986">
        <w:t>ing</w:t>
      </w:r>
      <w:r w:rsidR="00D003B4">
        <w:t xml:space="preserve"> Highway 400 to the east, Wilson Ave. to the south, Steeles Ave. to the north and the Humber River/Islington to the west.</w:t>
      </w:r>
    </w:p>
    <w:p w14:paraId="1D631F24" w14:textId="1AA8D617" w:rsidR="00FD523C" w:rsidRDefault="00D003B4">
      <w:r>
        <w:t xml:space="preserve"> Emery Village BIA is also one of the City of Toronto’s largest designated Employment Zones comprised of 3,200 commercial, industrial and retail establishments which employs approximately 28,000 people.</w:t>
      </w:r>
      <w:r w:rsidR="009E7F88">
        <w:t xml:space="preserve"> Under the Provincial Growth Plan the area is designated as a Provincial Significant Employment Zone</w:t>
      </w:r>
      <w:r w:rsidR="00E26A11">
        <w:t xml:space="preserve"> (PSEZ)</w:t>
      </w:r>
      <w:r w:rsidR="009E7F88">
        <w:t xml:space="preserve">. </w:t>
      </w:r>
      <w:r w:rsidR="00E50986">
        <w:t>Once the Finch-West LRT is completed, t</w:t>
      </w:r>
      <w:r w:rsidR="009E7F88">
        <w:t xml:space="preserve">he core of the BIA </w:t>
      </w:r>
      <w:r w:rsidR="00E50986">
        <w:t>will include</w:t>
      </w:r>
      <w:r w:rsidR="009E7F88">
        <w:t xml:space="preserve"> a Major Transit Station Area</w:t>
      </w:r>
      <w:r w:rsidR="006D4D00">
        <w:t xml:space="preserve"> (MTSA)</w:t>
      </w:r>
      <w:r w:rsidR="0076293F">
        <w:t>.  The latter designation will lead to higher density development in a radius area that will create sensitive use  adjacencies</w:t>
      </w:r>
      <w:r w:rsidR="001F51BE">
        <w:t>.</w:t>
      </w:r>
      <w:r w:rsidR="0076293F">
        <w:t xml:space="preserve"> </w:t>
      </w:r>
      <w:r w:rsidR="006D4D00">
        <w:t xml:space="preserve"> </w:t>
      </w:r>
      <w:r w:rsidR="0027037C">
        <w:t>With the reduction of the buffer areas</w:t>
      </w:r>
      <w:r w:rsidR="001F51BE">
        <w:t xml:space="preserve"> (from 800 metres to 500 metres)</w:t>
      </w:r>
      <w:r w:rsidR="0027037C">
        <w:t xml:space="preserve"> </w:t>
      </w:r>
      <w:r w:rsidR="00D92A78">
        <w:t>,</w:t>
      </w:r>
      <w:r w:rsidR="0027037C">
        <w:t xml:space="preserve"> along with the downstream pressures for faster approvals for residential development</w:t>
      </w:r>
      <w:r w:rsidR="00B71F1F">
        <w:t xml:space="preserve"> proposed under Bill 23</w:t>
      </w:r>
      <w:r w:rsidR="0027037C">
        <w:t>,</w:t>
      </w:r>
      <w:r w:rsidR="009D6F33">
        <w:t xml:space="preserve"> </w:t>
      </w:r>
      <w:r w:rsidR="0027037C">
        <w:t>the long</w:t>
      </w:r>
      <w:r w:rsidR="00AB191C">
        <w:t>-</w:t>
      </w:r>
      <w:r w:rsidR="0027037C">
        <w:t>term operations and economic viability for</w:t>
      </w:r>
      <w:r w:rsidR="00FD523C">
        <w:t xml:space="preserve"> adjacent </w:t>
      </w:r>
      <w:r w:rsidR="0027037C">
        <w:t xml:space="preserve"> industrial and manufacturing </w:t>
      </w:r>
      <w:r w:rsidR="00B71F1F">
        <w:t>land users</w:t>
      </w:r>
      <w:r w:rsidR="00FD523C">
        <w:t xml:space="preserve"> ( in the core employment area) </w:t>
      </w:r>
      <w:r w:rsidR="00486AC7">
        <w:t xml:space="preserve"> </w:t>
      </w:r>
      <w:r w:rsidR="00B71F1F">
        <w:t xml:space="preserve"> will face enormous pressure to give way to residential development. </w:t>
      </w:r>
    </w:p>
    <w:p w14:paraId="4818F57E" w14:textId="4CA6085D" w:rsidR="00D003B4" w:rsidRDefault="00B71F1F">
      <w:r>
        <w:t>Under the Growth Plan for Toronto, the goal</w:t>
      </w:r>
      <w:r w:rsidR="00175FE0">
        <w:t xml:space="preserve"> </w:t>
      </w:r>
      <w:r w:rsidR="00D92A78">
        <w:t>is</w:t>
      </w:r>
      <w:r w:rsidR="000B1DB6">
        <w:t xml:space="preserve"> </w:t>
      </w:r>
      <w:r>
        <w:t>for the city to achieve accommodation for an additional 700,000 residents</w:t>
      </w:r>
      <w:r w:rsidR="000B1DB6">
        <w:t xml:space="preserve"> by 2051, while accommodating over 450,000 more jobs. With most employment areas built out, roughly less than 19% of the land use is</w:t>
      </w:r>
      <w:r w:rsidR="00175FE0">
        <w:t xml:space="preserve"> designated</w:t>
      </w:r>
      <w:r w:rsidR="000B1DB6">
        <w:t xml:space="preserve"> for employment, including 5.2% in mixed use areas. Thus, the need to promote and enhance protection for employment areas</w:t>
      </w:r>
      <w:r w:rsidR="003D5AE8">
        <w:t xml:space="preserve"> is critical</w:t>
      </w:r>
      <w:r w:rsidR="000B1DB6">
        <w:t xml:space="preserve"> now and into the future.</w:t>
      </w:r>
    </w:p>
    <w:p w14:paraId="6D75D474" w14:textId="74B3E46E" w:rsidR="00486AC7" w:rsidRDefault="000B1DB6">
      <w:r>
        <w:lastRenderedPageBreak/>
        <w:t xml:space="preserve">Notwithstanding that </w:t>
      </w:r>
      <w:r w:rsidR="00486AC7">
        <w:t xml:space="preserve">employment zones are not specifically addressed in Bill 23, our concerns are </w:t>
      </w:r>
      <w:r>
        <w:t>that</w:t>
      </w:r>
      <w:r w:rsidR="00486AC7">
        <w:t xml:space="preserve"> the implementation of the proposed changes will have downstream impacts by way of</w:t>
      </w:r>
      <w:r w:rsidR="00AB3643">
        <w:t xml:space="preserve"> revised</w:t>
      </w:r>
      <w:r w:rsidR="00486AC7">
        <w:t xml:space="preserve"> planning priorities</w:t>
      </w:r>
      <w:r w:rsidR="00AB3643">
        <w:t xml:space="preserve"> and considerations.</w:t>
      </w:r>
      <w:r w:rsidR="008B4B44">
        <w:t xml:space="preserve"> MTSAs are but one example of that to happen.</w:t>
      </w:r>
    </w:p>
    <w:p w14:paraId="138125F0" w14:textId="77777777" w:rsidR="009D6F33" w:rsidRDefault="0076293F">
      <w:r>
        <w:t>The BILD Municipal Benchmarking Study</w:t>
      </w:r>
      <w:r w:rsidR="00913106">
        <w:t xml:space="preserve">, which is </w:t>
      </w:r>
      <w:r>
        <w:t>reference</w:t>
      </w:r>
      <w:r w:rsidR="00913106">
        <w:t xml:space="preserve">d in the overview to </w:t>
      </w:r>
      <w:r w:rsidR="00553C7F">
        <w:t>Bill 23,</w:t>
      </w:r>
      <w:r>
        <w:t xml:space="preserve"> municipal tools and processes</w:t>
      </w:r>
      <w:r w:rsidR="00553C7F">
        <w:t xml:space="preserve"> are listed </w:t>
      </w:r>
      <w:r>
        <w:t>that could be modified and scor</w:t>
      </w:r>
      <w:r w:rsidR="00913106">
        <w:t>ed for expediting applications for housing development</w:t>
      </w:r>
      <w:r w:rsidR="00553C7F">
        <w:t xml:space="preserve">.  However, the BILD Study’s </w:t>
      </w:r>
      <w:r w:rsidR="00913106">
        <w:t>demographic analysis fails to account for employment availability and land use and its relationship to the net migration trends, housing tenure and changes in household sizes.</w:t>
      </w:r>
    </w:p>
    <w:p w14:paraId="42CF8DD3" w14:textId="777BEAA5" w:rsidR="00AB3643" w:rsidRDefault="00553C7F">
      <w:r>
        <w:t xml:space="preserve"> While it is evident that Bill 23’s focus is to create the conditions and processes favourable for residential development, it overlooks </w:t>
      </w:r>
      <w:r w:rsidR="009D6F33">
        <w:t xml:space="preserve">the planning processes and tools (“guardrails”) </w:t>
      </w:r>
      <w:r>
        <w:t xml:space="preserve">essential for maintaining viable employment lands and </w:t>
      </w:r>
      <w:r w:rsidR="009D6F33">
        <w:t xml:space="preserve">to </w:t>
      </w:r>
      <w:r>
        <w:t xml:space="preserve">prevent the conversions that continues to put at risk, </w:t>
      </w:r>
      <w:r w:rsidR="006D4D00">
        <w:t>current and</w:t>
      </w:r>
      <w:r>
        <w:t xml:space="preserve"> future employment growth</w:t>
      </w:r>
      <w:r w:rsidR="006D4D00">
        <w:t>.</w:t>
      </w:r>
      <w:r w:rsidR="0027037C">
        <w:t xml:space="preserve"> Under OPA 231, the City of Toronto has undertaken broad consultations to develop</w:t>
      </w:r>
      <w:r w:rsidR="00B43F27">
        <w:t xml:space="preserve"> Employment Area Policies and zoning that bolster the protection of these lands. Our concerns echo those of other parties, that the pressures to build additional housing </w:t>
      </w:r>
      <w:r w:rsidR="00AB191C">
        <w:t>will</w:t>
      </w:r>
      <w:r w:rsidR="00B43F27">
        <w:t xml:space="preserve"> threaten not just employment land and business operations but </w:t>
      </w:r>
      <w:r w:rsidR="00AB191C">
        <w:t xml:space="preserve">also sound planning </w:t>
      </w:r>
      <w:r w:rsidR="00AB3643">
        <w:t xml:space="preserve">practises and </w:t>
      </w:r>
      <w:r w:rsidR="00AB191C">
        <w:t xml:space="preserve">processes that work to balance priorities </w:t>
      </w:r>
      <w:r w:rsidR="003D5AE8">
        <w:t>to</w:t>
      </w:r>
      <w:r w:rsidR="00AB191C">
        <w:t xml:space="preserve"> create </w:t>
      </w:r>
      <w:r w:rsidR="008B4B44">
        <w:t>healthy communities and</w:t>
      </w:r>
      <w:r w:rsidR="00AB191C">
        <w:t xml:space="preserve"> neighbourhoods </w:t>
      </w:r>
      <w:r w:rsidR="008B4B44">
        <w:t xml:space="preserve">with </w:t>
      </w:r>
      <w:r w:rsidR="003D5AE8">
        <w:t xml:space="preserve">facilities, </w:t>
      </w:r>
      <w:r w:rsidR="008B4B44">
        <w:t>amenities, resources and access to jobs</w:t>
      </w:r>
      <w:r w:rsidR="00D92A78">
        <w:t>.</w:t>
      </w:r>
    </w:p>
    <w:p w14:paraId="7D48623A" w14:textId="77777777" w:rsidR="00D92A78" w:rsidRPr="00D92A78" w:rsidRDefault="00D92A78" w:rsidP="00D92A78">
      <w:pPr>
        <w:shd w:val="clear" w:color="auto" w:fill="FFFFFF"/>
        <w:spacing w:after="0" w:line="240" w:lineRule="auto"/>
        <w:rPr>
          <w:rFonts w:ascii="Arial" w:eastAsia="Times New Roman" w:hAnsi="Arial" w:cs="Arial"/>
          <w:color w:val="222222"/>
          <w:sz w:val="24"/>
          <w:szCs w:val="24"/>
          <w:lang w:eastAsia="en-CA"/>
        </w:rPr>
      </w:pPr>
      <w:r w:rsidRPr="00D92A78">
        <w:rPr>
          <w:rFonts w:ascii="Franklin Gothic Medium" w:eastAsia="Times New Roman" w:hAnsi="Franklin Gothic Medium" w:cs="Arial"/>
          <w:color w:val="222222"/>
          <w:sz w:val="20"/>
          <w:szCs w:val="20"/>
          <w:lang w:eastAsia="en-CA"/>
        </w:rPr>
        <w:t>Al Ruggero</w:t>
      </w:r>
      <w:r w:rsidRPr="00D92A78">
        <w:rPr>
          <w:rFonts w:ascii="Franklin Gothic Medium" w:eastAsia="Times New Roman" w:hAnsi="Franklin Gothic Medium" w:cs="Arial"/>
          <w:color w:val="222222"/>
          <w:sz w:val="20"/>
          <w:szCs w:val="20"/>
          <w:lang w:eastAsia="en-CA"/>
        </w:rPr>
        <w:br/>
        <w:t>Project Manager</w:t>
      </w:r>
      <w:r w:rsidRPr="00D92A78">
        <w:rPr>
          <w:rFonts w:ascii="Franklin Gothic Medium" w:eastAsia="Times New Roman" w:hAnsi="Franklin Gothic Medium" w:cs="Arial"/>
          <w:color w:val="222222"/>
          <w:sz w:val="20"/>
          <w:szCs w:val="20"/>
          <w:lang w:eastAsia="en-CA"/>
        </w:rPr>
        <w:br/>
        <w:t>Emery Village Business Improvement Area</w:t>
      </w:r>
      <w:r w:rsidRPr="00D92A78">
        <w:rPr>
          <w:rFonts w:ascii="Franklin Gothic Medium" w:eastAsia="Times New Roman" w:hAnsi="Franklin Gothic Medium" w:cs="Arial"/>
          <w:color w:val="222222"/>
          <w:sz w:val="20"/>
          <w:szCs w:val="20"/>
          <w:lang w:eastAsia="en-CA"/>
        </w:rPr>
        <w:br/>
        <w:t>1885 Wilson Ave., Suite 209</w:t>
      </w:r>
      <w:r w:rsidRPr="00D92A78">
        <w:rPr>
          <w:rFonts w:ascii="Franklin Gothic Medium" w:eastAsia="Times New Roman" w:hAnsi="Franklin Gothic Medium" w:cs="Arial"/>
          <w:color w:val="222222"/>
          <w:sz w:val="20"/>
          <w:szCs w:val="20"/>
          <w:lang w:eastAsia="en-CA"/>
        </w:rPr>
        <w:br/>
        <w:t>Toronto, ON M9M 1A2</w:t>
      </w:r>
    </w:p>
    <w:p w14:paraId="5CED5131" w14:textId="77777777" w:rsidR="00D92A78" w:rsidRPr="00D92A78" w:rsidRDefault="00D92A78" w:rsidP="00D92A78">
      <w:pPr>
        <w:shd w:val="clear" w:color="auto" w:fill="FFFFFF"/>
        <w:spacing w:after="0" w:line="240" w:lineRule="auto"/>
        <w:rPr>
          <w:rFonts w:ascii="Arial" w:eastAsia="Times New Roman" w:hAnsi="Arial" w:cs="Arial"/>
          <w:color w:val="222222"/>
          <w:sz w:val="24"/>
          <w:szCs w:val="24"/>
          <w:lang w:eastAsia="en-CA"/>
        </w:rPr>
      </w:pPr>
    </w:p>
    <w:p w14:paraId="1750A40A" w14:textId="77777777" w:rsidR="00D92A78" w:rsidRPr="00D92A78" w:rsidRDefault="00D92A78" w:rsidP="00D92A78">
      <w:pPr>
        <w:shd w:val="clear" w:color="auto" w:fill="FFFFFF"/>
        <w:spacing w:after="0" w:line="240" w:lineRule="auto"/>
        <w:rPr>
          <w:rFonts w:ascii="Arial" w:eastAsia="Times New Roman" w:hAnsi="Arial" w:cs="Arial"/>
          <w:color w:val="222222"/>
          <w:sz w:val="24"/>
          <w:szCs w:val="24"/>
          <w:lang w:eastAsia="en-CA"/>
        </w:rPr>
      </w:pPr>
      <w:r w:rsidRPr="00D92A78">
        <w:rPr>
          <w:rFonts w:ascii="Franklin Gothic Medium" w:eastAsia="Times New Roman" w:hAnsi="Franklin Gothic Medium" w:cs="Arial"/>
          <w:color w:val="222222"/>
          <w:sz w:val="20"/>
          <w:szCs w:val="20"/>
          <w:lang w:eastAsia="en-CA"/>
        </w:rPr>
        <w:t>T: 416 744 7242</w:t>
      </w:r>
    </w:p>
    <w:p w14:paraId="0BB1C1F1" w14:textId="77777777" w:rsidR="00D92A78" w:rsidRPr="00D92A78" w:rsidRDefault="00D92A78" w:rsidP="00D92A78">
      <w:pPr>
        <w:shd w:val="clear" w:color="auto" w:fill="FFFFFF"/>
        <w:spacing w:after="0" w:line="240" w:lineRule="auto"/>
        <w:rPr>
          <w:rFonts w:ascii="Arial" w:eastAsia="Times New Roman" w:hAnsi="Arial" w:cs="Arial"/>
          <w:color w:val="222222"/>
          <w:sz w:val="24"/>
          <w:szCs w:val="24"/>
          <w:lang w:eastAsia="en-CA"/>
        </w:rPr>
      </w:pPr>
      <w:r w:rsidRPr="00D92A78">
        <w:rPr>
          <w:rFonts w:ascii="Franklin Gothic Medium" w:eastAsia="Times New Roman" w:hAnsi="Franklin Gothic Medium" w:cs="Arial"/>
          <w:color w:val="222222"/>
          <w:sz w:val="20"/>
          <w:szCs w:val="20"/>
          <w:lang w:eastAsia="en-CA"/>
        </w:rPr>
        <w:t>F: 416 744 7857</w:t>
      </w:r>
      <w:r w:rsidRPr="00D92A78">
        <w:rPr>
          <w:rFonts w:ascii="Franklin Gothic Medium" w:eastAsia="Times New Roman" w:hAnsi="Franklin Gothic Medium" w:cs="Arial"/>
          <w:color w:val="222222"/>
          <w:sz w:val="20"/>
          <w:szCs w:val="20"/>
          <w:lang w:eastAsia="en-CA"/>
        </w:rPr>
        <w:br/>
        <w:t>Email: </w:t>
      </w:r>
      <w:hyperlink r:id="rId6" w:tgtFrame="_blank" w:history="1">
        <w:r w:rsidRPr="00D92A78">
          <w:rPr>
            <w:rFonts w:ascii="Franklin Gothic Medium" w:eastAsia="Times New Roman" w:hAnsi="Franklin Gothic Medium" w:cs="Arial"/>
            <w:color w:val="1155CC"/>
            <w:sz w:val="20"/>
            <w:szCs w:val="20"/>
            <w:u w:val="single"/>
            <w:lang w:eastAsia="en-CA"/>
          </w:rPr>
          <w:t>al@emeryvillagebia.ca</w:t>
        </w:r>
      </w:hyperlink>
      <w:r w:rsidRPr="00D92A78">
        <w:rPr>
          <w:rFonts w:ascii="Franklin Gothic Medium" w:eastAsia="Times New Roman" w:hAnsi="Franklin Gothic Medium" w:cs="Arial"/>
          <w:color w:val="222222"/>
          <w:sz w:val="20"/>
          <w:szCs w:val="20"/>
          <w:lang w:eastAsia="en-CA"/>
        </w:rPr>
        <w:br/>
        <w:t>Website: </w:t>
      </w:r>
      <w:hyperlink r:id="rId7" w:tgtFrame="_blank" w:history="1">
        <w:r w:rsidRPr="00D92A78">
          <w:rPr>
            <w:rFonts w:ascii="Franklin Gothic Medium" w:eastAsia="Times New Roman" w:hAnsi="Franklin Gothic Medium" w:cs="Arial"/>
            <w:color w:val="1155CC"/>
            <w:sz w:val="20"/>
            <w:szCs w:val="20"/>
            <w:u w:val="single"/>
            <w:lang w:eastAsia="en-CA"/>
          </w:rPr>
          <w:t>www.emeryvillagebia.ca</w:t>
        </w:r>
      </w:hyperlink>
      <w:r w:rsidRPr="00D92A78">
        <w:rPr>
          <w:rFonts w:ascii="Arial" w:eastAsia="Times New Roman" w:hAnsi="Arial" w:cs="Arial"/>
          <w:color w:val="222222"/>
          <w:sz w:val="24"/>
          <w:szCs w:val="24"/>
          <w:lang w:eastAsia="en-CA"/>
        </w:rPr>
        <w:t> </w:t>
      </w:r>
    </w:p>
    <w:p w14:paraId="32EAAE5A" w14:textId="761D0088" w:rsidR="002F2A1B" w:rsidRDefault="002F2A1B"/>
    <w:p w14:paraId="1F084942" w14:textId="77777777" w:rsidR="00AB3643" w:rsidRDefault="00AB3643"/>
    <w:p w14:paraId="3A408AAD" w14:textId="77777777" w:rsidR="002E4B47" w:rsidRDefault="002E4B47"/>
    <w:p w14:paraId="5B5E0192" w14:textId="2808879E" w:rsidR="00D003B4" w:rsidRDefault="00D003B4"/>
    <w:sectPr w:rsidR="00D003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12550"/>
    <w:multiLevelType w:val="hybridMultilevel"/>
    <w:tmpl w:val="4A307C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81B6D8E"/>
    <w:multiLevelType w:val="hybridMultilevel"/>
    <w:tmpl w:val="7BE6B3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6F7057"/>
    <w:multiLevelType w:val="hybridMultilevel"/>
    <w:tmpl w:val="0552947C"/>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 w15:restartNumberingAfterBreak="0">
    <w:nsid w:val="49CD7800"/>
    <w:multiLevelType w:val="hybridMultilevel"/>
    <w:tmpl w:val="AECAF7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04400124">
    <w:abstractNumId w:val="2"/>
  </w:num>
  <w:num w:numId="2" w16cid:durableId="961813787">
    <w:abstractNumId w:val="1"/>
  </w:num>
  <w:num w:numId="3" w16cid:durableId="1037437576">
    <w:abstractNumId w:val="0"/>
  </w:num>
  <w:num w:numId="4" w16cid:durableId="1734769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86"/>
    <w:rsid w:val="000B1DB6"/>
    <w:rsid w:val="00175FE0"/>
    <w:rsid w:val="001F51BE"/>
    <w:rsid w:val="0027037C"/>
    <w:rsid w:val="002E4B47"/>
    <w:rsid w:val="002F2A1B"/>
    <w:rsid w:val="003D5AE8"/>
    <w:rsid w:val="004319DB"/>
    <w:rsid w:val="00451563"/>
    <w:rsid w:val="00486AC7"/>
    <w:rsid w:val="00553C7F"/>
    <w:rsid w:val="006D4D00"/>
    <w:rsid w:val="0076293F"/>
    <w:rsid w:val="00771822"/>
    <w:rsid w:val="008B4B44"/>
    <w:rsid w:val="00913106"/>
    <w:rsid w:val="009D1830"/>
    <w:rsid w:val="009D6F33"/>
    <w:rsid w:val="009E7F88"/>
    <w:rsid w:val="00AA45ED"/>
    <w:rsid w:val="00AB191C"/>
    <w:rsid w:val="00AB3643"/>
    <w:rsid w:val="00B43F27"/>
    <w:rsid w:val="00B71F1F"/>
    <w:rsid w:val="00BC0A0C"/>
    <w:rsid w:val="00C67B91"/>
    <w:rsid w:val="00D003B4"/>
    <w:rsid w:val="00D760B7"/>
    <w:rsid w:val="00D92A78"/>
    <w:rsid w:val="00D95B09"/>
    <w:rsid w:val="00E26A11"/>
    <w:rsid w:val="00E50986"/>
    <w:rsid w:val="00F94486"/>
    <w:rsid w:val="00FD52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821E"/>
  <w15:chartTrackingRefBased/>
  <w15:docId w15:val="{625F781C-A8E9-4743-B5D4-C70DB37F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830"/>
    <w:pPr>
      <w:ind w:left="720"/>
      <w:contextualSpacing/>
    </w:pPr>
  </w:style>
  <w:style w:type="character" w:styleId="Hyperlink">
    <w:name w:val="Hyperlink"/>
    <w:basedOn w:val="DefaultParagraphFont"/>
    <w:uiPriority w:val="99"/>
    <w:unhideWhenUsed/>
    <w:rsid w:val="002F2A1B"/>
    <w:rPr>
      <w:color w:val="0563C1" w:themeColor="hyperlink"/>
      <w:u w:val="single"/>
    </w:rPr>
  </w:style>
  <w:style w:type="character" w:styleId="UnresolvedMention">
    <w:name w:val="Unresolved Mention"/>
    <w:basedOn w:val="DefaultParagraphFont"/>
    <w:uiPriority w:val="99"/>
    <w:semiHidden/>
    <w:unhideWhenUsed/>
    <w:rsid w:val="002F2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37255">
      <w:bodyDiv w:val="1"/>
      <w:marLeft w:val="0"/>
      <w:marRight w:val="0"/>
      <w:marTop w:val="0"/>
      <w:marBottom w:val="0"/>
      <w:divBdr>
        <w:top w:val="none" w:sz="0" w:space="0" w:color="auto"/>
        <w:left w:val="none" w:sz="0" w:space="0" w:color="auto"/>
        <w:bottom w:val="none" w:sz="0" w:space="0" w:color="auto"/>
        <w:right w:val="none" w:sz="0" w:space="0" w:color="auto"/>
      </w:divBdr>
      <w:divsChild>
        <w:div w:id="1898734931">
          <w:marLeft w:val="0"/>
          <w:marRight w:val="0"/>
          <w:marTop w:val="0"/>
          <w:marBottom w:val="0"/>
          <w:divBdr>
            <w:top w:val="none" w:sz="0" w:space="0" w:color="auto"/>
            <w:left w:val="none" w:sz="0" w:space="0" w:color="auto"/>
            <w:bottom w:val="none" w:sz="0" w:space="0" w:color="auto"/>
            <w:right w:val="none" w:sz="0" w:space="0" w:color="auto"/>
          </w:divBdr>
        </w:div>
        <w:div w:id="981732879">
          <w:marLeft w:val="0"/>
          <w:marRight w:val="0"/>
          <w:marTop w:val="0"/>
          <w:marBottom w:val="0"/>
          <w:divBdr>
            <w:top w:val="none" w:sz="0" w:space="0" w:color="auto"/>
            <w:left w:val="none" w:sz="0" w:space="0" w:color="auto"/>
            <w:bottom w:val="none" w:sz="0" w:space="0" w:color="auto"/>
            <w:right w:val="none" w:sz="0" w:space="0" w:color="auto"/>
          </w:divBdr>
          <w:divsChild>
            <w:div w:id="1192113254">
              <w:marLeft w:val="0"/>
              <w:marRight w:val="0"/>
              <w:marTop w:val="0"/>
              <w:marBottom w:val="0"/>
              <w:divBdr>
                <w:top w:val="none" w:sz="0" w:space="0" w:color="auto"/>
                <w:left w:val="none" w:sz="0" w:space="0" w:color="auto"/>
                <w:bottom w:val="none" w:sz="0" w:space="0" w:color="auto"/>
                <w:right w:val="none" w:sz="0" w:space="0" w:color="auto"/>
              </w:divBdr>
              <w:divsChild>
                <w:div w:id="11770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eryvillagebi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emeryvillagebia.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Ruggero</dc:creator>
  <cp:keywords/>
  <dc:description/>
  <cp:lastModifiedBy>Alfonso Ruggero</cp:lastModifiedBy>
  <cp:revision>7</cp:revision>
  <cp:lastPrinted>2022-12-09T22:27:00Z</cp:lastPrinted>
  <dcterms:created xsi:type="dcterms:W3CDTF">2022-12-08T19:30:00Z</dcterms:created>
  <dcterms:modified xsi:type="dcterms:W3CDTF">2022-12-10T02:09:00Z</dcterms:modified>
</cp:coreProperties>
</file>