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334D3" w14:textId="3C17C68B" w:rsidR="009E3C59" w:rsidRPr="00CE3678" w:rsidRDefault="00C3004D" w:rsidP="009E3C59">
      <w:pPr>
        <w:autoSpaceDE w:val="0"/>
        <w:autoSpaceDN w:val="0"/>
        <w:adjustRightInd w:val="0"/>
        <w:contextualSpacing/>
        <w:jc w:val="both"/>
        <w:rPr>
          <w:color w:val="000000"/>
          <w:lang w:val="en-US"/>
        </w:rPr>
      </w:pPr>
      <w:r>
        <w:rPr>
          <w:color w:val="000000"/>
          <w:lang w:val="en-US"/>
        </w:rPr>
        <w:t xml:space="preserve">February 3, </w:t>
      </w:r>
      <w:proofErr w:type="gramStart"/>
      <w:r w:rsidR="00373DA8">
        <w:rPr>
          <w:color w:val="000000"/>
          <w:lang w:val="en-US"/>
        </w:rPr>
        <w:t>2023</w:t>
      </w:r>
      <w:proofErr w:type="gramEnd"/>
      <w:r w:rsidR="006E0AA9" w:rsidRPr="00CE3678">
        <w:rPr>
          <w:color w:val="000000"/>
          <w:lang w:val="en-US"/>
        </w:rPr>
        <w:tab/>
      </w:r>
      <w:r w:rsidR="006E0AA9" w:rsidRPr="00CE3678">
        <w:rPr>
          <w:color w:val="000000"/>
          <w:lang w:val="en-US"/>
        </w:rPr>
        <w:tab/>
      </w:r>
      <w:r w:rsidR="006E0AA9" w:rsidRPr="00CE3678">
        <w:rPr>
          <w:color w:val="000000"/>
          <w:lang w:val="en-US"/>
        </w:rPr>
        <w:tab/>
      </w:r>
      <w:r w:rsidR="009E3C59" w:rsidRPr="00CE3678">
        <w:rPr>
          <w:color w:val="000000"/>
          <w:lang w:val="en-US"/>
        </w:rPr>
        <w:tab/>
      </w:r>
      <w:r w:rsidR="009E3C59" w:rsidRPr="00CE3678">
        <w:rPr>
          <w:color w:val="000000"/>
          <w:lang w:val="en-US"/>
        </w:rPr>
        <w:tab/>
      </w:r>
      <w:r w:rsidR="009E3C59" w:rsidRPr="00CE3678">
        <w:rPr>
          <w:color w:val="000000"/>
          <w:lang w:val="en-US"/>
        </w:rPr>
        <w:tab/>
      </w:r>
      <w:r w:rsidR="009E3C59" w:rsidRPr="00CE3678">
        <w:rPr>
          <w:color w:val="000000"/>
          <w:lang w:val="en-US"/>
        </w:rPr>
        <w:tab/>
      </w:r>
      <w:r w:rsidR="009E3C59" w:rsidRPr="00CE3678">
        <w:rPr>
          <w:color w:val="000000"/>
          <w:lang w:val="en-US"/>
        </w:rPr>
        <w:tab/>
        <w:t xml:space="preserve">Project: </w:t>
      </w:r>
      <w:r>
        <w:rPr>
          <w:color w:val="000000"/>
          <w:lang w:val="en-US"/>
        </w:rPr>
        <w:t>PB.BW</w:t>
      </w:r>
    </w:p>
    <w:p w14:paraId="698E7D28" w14:textId="77777777" w:rsidR="009E3C59" w:rsidRPr="00CE3678" w:rsidRDefault="009E3C59" w:rsidP="009E3C59">
      <w:pPr>
        <w:autoSpaceDE w:val="0"/>
        <w:autoSpaceDN w:val="0"/>
        <w:adjustRightInd w:val="0"/>
        <w:contextualSpacing/>
        <w:jc w:val="both"/>
        <w:rPr>
          <w:color w:val="000000"/>
          <w:lang w:val="en-US"/>
        </w:rPr>
      </w:pPr>
    </w:p>
    <w:p w14:paraId="6B150893" w14:textId="77777777" w:rsidR="00BD745E" w:rsidRPr="00BD745E" w:rsidRDefault="00BD745E" w:rsidP="00BD745E">
      <w:pPr>
        <w:snapToGrid w:val="0"/>
        <w:spacing w:after="0"/>
      </w:pPr>
    </w:p>
    <w:p w14:paraId="566C3C05" w14:textId="6A251CB8" w:rsidR="00BD745E" w:rsidRDefault="00BD745E" w:rsidP="00BD745E">
      <w:pPr>
        <w:snapToGrid w:val="0"/>
        <w:spacing w:after="0"/>
        <w:rPr>
          <w:b/>
          <w:bCs/>
        </w:rPr>
      </w:pPr>
      <w:bookmarkStart w:id="0" w:name="_Hlk126289858"/>
      <w:r w:rsidRPr="00FA4423">
        <w:rPr>
          <w:b/>
          <w:bCs/>
        </w:rPr>
        <w:t>Re: ERO number 019-</w:t>
      </w:r>
      <w:r w:rsidR="007A0F8C">
        <w:rPr>
          <w:b/>
          <w:bCs/>
        </w:rPr>
        <w:t>6113</w:t>
      </w:r>
      <w:r w:rsidR="00ED22AF">
        <w:rPr>
          <w:b/>
          <w:bCs/>
        </w:rPr>
        <w:t xml:space="preserve"> </w:t>
      </w:r>
      <w:r w:rsidR="007A0F8C">
        <w:rPr>
          <w:b/>
          <w:bCs/>
        </w:rPr>
        <w:t>–</w:t>
      </w:r>
      <w:r w:rsidR="00ED22AF">
        <w:rPr>
          <w:b/>
          <w:bCs/>
        </w:rPr>
        <w:t xml:space="preserve"> </w:t>
      </w:r>
      <w:r w:rsidR="00DE3BD2">
        <w:rPr>
          <w:b/>
          <w:bCs/>
        </w:rPr>
        <w:t xml:space="preserve">3412 Line 8, Town of Bradford West Gwillimbury- </w:t>
      </w:r>
      <w:r w:rsidR="007A0F8C">
        <w:rPr>
          <w:b/>
          <w:bCs/>
        </w:rPr>
        <w:t>Request for</w:t>
      </w:r>
      <w:r w:rsidR="00DE3BD2">
        <w:rPr>
          <w:b/>
          <w:bCs/>
        </w:rPr>
        <w:t xml:space="preserve"> Policy Recognition and </w:t>
      </w:r>
      <w:r w:rsidR="007A0F8C">
        <w:rPr>
          <w:b/>
          <w:bCs/>
        </w:rPr>
        <w:t xml:space="preserve">Additional </w:t>
      </w:r>
      <w:r w:rsidR="00C3004D">
        <w:rPr>
          <w:b/>
          <w:bCs/>
        </w:rPr>
        <w:t xml:space="preserve">Employment Numbers to support </w:t>
      </w:r>
      <w:r w:rsidR="00DE3BD2">
        <w:rPr>
          <w:b/>
          <w:bCs/>
        </w:rPr>
        <w:t xml:space="preserve">inclusion of additional lands inside the </w:t>
      </w:r>
      <w:r w:rsidR="00C3004D">
        <w:rPr>
          <w:b/>
          <w:bCs/>
        </w:rPr>
        <w:t>Bradford West Gwillimbury Strategic Settlement Employment Area</w:t>
      </w:r>
    </w:p>
    <w:p w14:paraId="7F4AA00B" w14:textId="6CEAB6B0" w:rsidR="007A0F8C" w:rsidRDefault="007A0F8C" w:rsidP="00BD745E">
      <w:pPr>
        <w:snapToGrid w:val="0"/>
        <w:spacing w:after="0"/>
        <w:rPr>
          <w:b/>
          <w:bCs/>
        </w:rPr>
      </w:pPr>
    </w:p>
    <w:p w14:paraId="036F5EF9" w14:textId="1B51D887" w:rsidR="007A0F8C" w:rsidRDefault="007A0F8C" w:rsidP="00BD745E">
      <w:pPr>
        <w:snapToGrid w:val="0"/>
        <w:spacing w:after="0"/>
        <w:rPr>
          <w:b/>
          <w:bCs/>
        </w:rPr>
      </w:pPr>
      <w:r>
        <w:rPr>
          <w:b/>
          <w:bCs/>
        </w:rPr>
        <w:t>On behalf of</w:t>
      </w:r>
      <w:r w:rsidR="00DE3BD2">
        <w:rPr>
          <w:b/>
          <w:bCs/>
        </w:rPr>
        <w:t xml:space="preserve"> 3412 BRD REM Ltd.</w:t>
      </w:r>
    </w:p>
    <w:bookmarkEnd w:id="0"/>
    <w:p w14:paraId="2DC73382" w14:textId="4E0FC763" w:rsidR="007A0F8C" w:rsidRDefault="007A0F8C" w:rsidP="00BD745E">
      <w:pPr>
        <w:snapToGrid w:val="0"/>
        <w:spacing w:after="0"/>
        <w:rPr>
          <w:b/>
          <w:bCs/>
        </w:rPr>
      </w:pPr>
    </w:p>
    <w:p w14:paraId="4E60ED8A" w14:textId="284B5EE3" w:rsidR="007A0F8C" w:rsidRPr="00FA4423" w:rsidRDefault="007A0F8C" w:rsidP="00BD745E">
      <w:pPr>
        <w:snapToGrid w:val="0"/>
        <w:spacing w:after="0"/>
        <w:rPr>
          <w:b/>
          <w:bCs/>
        </w:rPr>
      </w:pPr>
      <w:r>
        <w:rPr>
          <w:b/>
          <w:bCs/>
        </w:rPr>
        <w:t>(</w:t>
      </w:r>
      <w:proofErr w:type="gramStart"/>
      <w:r>
        <w:rPr>
          <w:b/>
          <w:bCs/>
        </w:rPr>
        <w:t>content</w:t>
      </w:r>
      <w:proofErr w:type="gramEnd"/>
      <w:r>
        <w:rPr>
          <w:b/>
          <w:bCs/>
        </w:rPr>
        <w:t xml:space="preserve"> to be uploaded to EBR site)</w:t>
      </w:r>
    </w:p>
    <w:p w14:paraId="114778B1" w14:textId="2ECEDC07" w:rsidR="00BD745E" w:rsidRDefault="00BD745E" w:rsidP="00BD745E">
      <w:pPr>
        <w:snapToGrid w:val="0"/>
        <w:spacing w:after="0"/>
      </w:pPr>
    </w:p>
    <w:p w14:paraId="50DBB4B6" w14:textId="7FBCA444" w:rsidR="00A569C8" w:rsidRDefault="00A569C8" w:rsidP="00A569C8">
      <w:pPr>
        <w:snapToGrid w:val="0"/>
        <w:spacing w:after="0"/>
        <w:ind w:left="720" w:hanging="720"/>
      </w:pPr>
      <w:r>
        <w:t xml:space="preserve">RE:  </w:t>
      </w:r>
      <w:r>
        <w:tab/>
        <w:t>3412 Line 8, Bradford West Gwillimbury (Assessment Roll Nos. 4</w:t>
      </w:r>
      <w:r>
        <w:rPr>
          <w:sz w:val="23"/>
          <w:szCs w:val="23"/>
          <w:shd w:val="clear" w:color="auto" w:fill="FAF9F8"/>
        </w:rPr>
        <w:t>31202000522400</w:t>
      </w:r>
      <w:r>
        <w:rPr>
          <w:sz w:val="23"/>
          <w:szCs w:val="23"/>
          <w:shd w:val="clear" w:color="auto" w:fill="FAF9F8"/>
        </w:rPr>
        <w:t xml:space="preserve"> and </w:t>
      </w:r>
      <w:r>
        <w:t>4</w:t>
      </w:r>
      <w:r>
        <w:rPr>
          <w:sz w:val="23"/>
          <w:szCs w:val="23"/>
          <w:shd w:val="clear" w:color="auto" w:fill="FAF9F8"/>
        </w:rPr>
        <w:t>31202000522</w:t>
      </w:r>
      <w:r>
        <w:rPr>
          <w:sz w:val="23"/>
          <w:szCs w:val="23"/>
          <w:shd w:val="clear" w:color="auto" w:fill="FAF9F8"/>
        </w:rPr>
        <w:t>5</w:t>
      </w:r>
      <w:r>
        <w:rPr>
          <w:sz w:val="23"/>
          <w:szCs w:val="23"/>
          <w:shd w:val="clear" w:color="auto" w:fill="FAF9F8"/>
        </w:rPr>
        <w:t>00</w:t>
      </w:r>
      <w:r>
        <w:rPr>
          <w:sz w:val="23"/>
          <w:szCs w:val="23"/>
          <w:shd w:val="clear" w:color="auto" w:fill="FAF9F8"/>
        </w:rPr>
        <w:t>)</w:t>
      </w:r>
    </w:p>
    <w:p w14:paraId="1ADAD116" w14:textId="11B825DA" w:rsidR="007A0F8C" w:rsidRDefault="007A0F8C" w:rsidP="00BD745E">
      <w:pPr>
        <w:snapToGrid w:val="0"/>
        <w:spacing w:after="0"/>
      </w:pPr>
    </w:p>
    <w:p w14:paraId="3016F2C5" w14:textId="61686D86" w:rsidR="00951C89" w:rsidRPr="00951C89" w:rsidRDefault="00951C89" w:rsidP="007A0F8C">
      <w:pPr>
        <w:snapToGrid w:val="0"/>
        <w:spacing w:after="0"/>
        <w:rPr>
          <w:b/>
          <w:bCs/>
        </w:rPr>
      </w:pPr>
      <w:r w:rsidRPr="00951C89">
        <w:rPr>
          <w:b/>
          <w:bCs/>
        </w:rPr>
        <w:t>Introduction</w:t>
      </w:r>
    </w:p>
    <w:p w14:paraId="027D0126" w14:textId="77777777" w:rsidR="00951C89" w:rsidRDefault="00951C89" w:rsidP="007A0F8C">
      <w:pPr>
        <w:snapToGrid w:val="0"/>
        <w:spacing w:after="0"/>
      </w:pPr>
    </w:p>
    <w:p w14:paraId="56E85233" w14:textId="258B2F24" w:rsidR="004858E2" w:rsidRDefault="00347E06" w:rsidP="007A0F8C">
      <w:pPr>
        <w:snapToGrid w:val="0"/>
        <w:spacing w:after="0"/>
      </w:pPr>
      <w:r>
        <w:t xml:space="preserve">This submission </w:t>
      </w:r>
      <w:r w:rsidR="005C3BED">
        <w:t xml:space="preserve">provides </w:t>
      </w:r>
      <w:r>
        <w:t xml:space="preserve">comments regarding County of Simcoe Official Plan Amendment No. 7 (SCOPA7) </w:t>
      </w:r>
      <w:r w:rsidR="005C3BED">
        <w:t xml:space="preserve">with respect to adding lands to the </w:t>
      </w:r>
      <w:r w:rsidR="00C3004D">
        <w:t>Bradford West Gwillimbury Strategic Settlement Employment Area (BWGSSEA)</w:t>
      </w:r>
      <w:r w:rsidR="005C3BED">
        <w:t xml:space="preserve"> to reflect the accelerated timeline of the </w:t>
      </w:r>
      <w:r w:rsidR="002C21B2">
        <w:t>Bradford Bypass.</w:t>
      </w:r>
    </w:p>
    <w:p w14:paraId="0A5BA36F" w14:textId="77777777" w:rsidR="004858E2" w:rsidRDefault="004858E2" w:rsidP="007A0F8C">
      <w:pPr>
        <w:snapToGrid w:val="0"/>
        <w:spacing w:after="0"/>
      </w:pPr>
    </w:p>
    <w:p w14:paraId="6B0C1B27" w14:textId="7DD932CF" w:rsidR="002C21B2" w:rsidRDefault="002C21B2" w:rsidP="007A0F8C">
      <w:pPr>
        <w:snapToGrid w:val="0"/>
        <w:spacing w:after="0"/>
      </w:pPr>
      <w:r w:rsidRPr="00A569C8">
        <w:rPr>
          <w:b/>
          <w:bCs/>
        </w:rPr>
        <w:t>We respectfully request that the</w:t>
      </w:r>
      <w:r w:rsidR="00A569C8" w:rsidRPr="00A569C8">
        <w:rPr>
          <w:b/>
          <w:bCs/>
        </w:rPr>
        <w:t xml:space="preserve"> Minister c</w:t>
      </w:r>
      <w:r w:rsidRPr="00A569C8">
        <w:rPr>
          <w:b/>
          <w:bCs/>
        </w:rPr>
        <w:t xml:space="preserve">onsider amending </w:t>
      </w:r>
      <w:r w:rsidR="007428A5" w:rsidRPr="00A569C8">
        <w:rPr>
          <w:b/>
          <w:bCs/>
        </w:rPr>
        <w:t xml:space="preserve">SCOPA7 </w:t>
      </w:r>
      <w:r w:rsidR="009403D6" w:rsidRPr="00A569C8">
        <w:rPr>
          <w:b/>
          <w:bCs/>
        </w:rPr>
        <w:t xml:space="preserve">to </w:t>
      </w:r>
      <w:r w:rsidRPr="00A569C8">
        <w:rPr>
          <w:b/>
          <w:bCs/>
        </w:rPr>
        <w:t>facilitate the expansion of the BWGSSEA to include the subject lands as they directly abut the proposed Bradford Bypass alignment.</w:t>
      </w:r>
      <w:r>
        <w:t xml:space="preserve"> Recognition in SCOPA7 of an expansion will also support future Minister Directions issued under the Places to Grow Act</w:t>
      </w:r>
    </w:p>
    <w:p w14:paraId="5BF595F8" w14:textId="77777777" w:rsidR="002C21B2" w:rsidRDefault="002C21B2" w:rsidP="007A0F8C">
      <w:pPr>
        <w:snapToGrid w:val="0"/>
        <w:spacing w:after="0"/>
      </w:pPr>
    </w:p>
    <w:p w14:paraId="568969F5" w14:textId="7EB8E72E" w:rsidR="007428A5" w:rsidRPr="007428A5" w:rsidRDefault="007428A5" w:rsidP="007A0F8C">
      <w:pPr>
        <w:snapToGrid w:val="0"/>
        <w:spacing w:after="0"/>
        <w:rPr>
          <w:b/>
          <w:bCs/>
        </w:rPr>
      </w:pPr>
      <w:r w:rsidRPr="007428A5">
        <w:rPr>
          <w:b/>
          <w:bCs/>
        </w:rPr>
        <w:t>Background and Context:</w:t>
      </w:r>
    </w:p>
    <w:p w14:paraId="15F67A14" w14:textId="77777777" w:rsidR="007428A5" w:rsidRDefault="007428A5" w:rsidP="007A0F8C">
      <w:pPr>
        <w:snapToGrid w:val="0"/>
        <w:spacing w:after="0"/>
      </w:pPr>
    </w:p>
    <w:p w14:paraId="1FC3AC64" w14:textId="0928BF18" w:rsidR="002B6069" w:rsidRDefault="002C21B2" w:rsidP="007A0F8C">
      <w:pPr>
        <w:snapToGrid w:val="0"/>
        <w:spacing w:after="0"/>
      </w:pPr>
      <w:r>
        <w:t>3412 BRD REM Ltd., our client, o</w:t>
      </w:r>
      <w:r w:rsidR="00165A32">
        <w:t xml:space="preserve">wns </w:t>
      </w:r>
      <w:r>
        <w:t xml:space="preserve">approximately 62 Ha </w:t>
      </w:r>
      <w:r w:rsidR="00165A32">
        <w:t>land</w:t>
      </w:r>
      <w:r>
        <w:t>s</w:t>
      </w:r>
      <w:r w:rsidR="00165A32">
        <w:t xml:space="preserve"> </w:t>
      </w:r>
      <w:r>
        <w:t xml:space="preserve">just east of the proposed interchange at Highway 400 and </w:t>
      </w:r>
      <w:r w:rsidR="00D00995">
        <w:t xml:space="preserve">the </w:t>
      </w:r>
      <w:r>
        <w:t xml:space="preserve">Bradford Bypass, immediately south of the proposed alignment </w:t>
      </w:r>
      <w:r w:rsidR="00A569C8">
        <w:t>(Refer to submitted Context Map).</w:t>
      </w:r>
      <w:r w:rsidR="00373ABE">
        <w:t xml:space="preserve"> The subject lands </w:t>
      </w:r>
      <w:r w:rsidR="002B6069">
        <w:t>have significant development potential to accommodate large format employment uses</w:t>
      </w:r>
      <w:r w:rsidR="00634F2C">
        <w:t xml:space="preserve"> - </w:t>
      </w:r>
      <w:r w:rsidR="002B6069">
        <w:t xml:space="preserve">consistent with uses already permitted in the BWGSSEA that rely on goods movement along Highway 400 and eventually Highway 404.  </w:t>
      </w:r>
    </w:p>
    <w:p w14:paraId="4C99EB02" w14:textId="77777777" w:rsidR="002B6069" w:rsidRDefault="002B6069" w:rsidP="007A0F8C">
      <w:pPr>
        <w:snapToGrid w:val="0"/>
        <w:spacing w:after="0"/>
      </w:pPr>
    </w:p>
    <w:p w14:paraId="3A061A9D" w14:textId="04DD602A" w:rsidR="00E06452" w:rsidRDefault="002B6069" w:rsidP="007A0F8C">
      <w:pPr>
        <w:snapToGrid w:val="0"/>
        <w:spacing w:after="0"/>
      </w:pPr>
      <w:r>
        <w:t xml:space="preserve">Amending SCOPA7 to prepare the subject lands for inclusion in the BWGSSEA represents a logical progression of development along the Bradford Bypass.  The progression east </w:t>
      </w:r>
      <w:r w:rsidR="00E06452">
        <w:t>will also serve to better connect employment lands with the Bradford Primary Settlement Area (PSA) and its Major Transit Station Area.</w:t>
      </w:r>
    </w:p>
    <w:p w14:paraId="5148E813" w14:textId="77777777" w:rsidR="00E06452" w:rsidRDefault="00E06452" w:rsidP="007A0F8C">
      <w:pPr>
        <w:snapToGrid w:val="0"/>
        <w:spacing w:after="0"/>
      </w:pPr>
    </w:p>
    <w:p w14:paraId="32A4B737" w14:textId="1B991984" w:rsidR="00373ABE" w:rsidRDefault="00365ADB" w:rsidP="007A0F8C">
      <w:pPr>
        <w:snapToGrid w:val="0"/>
        <w:spacing w:after="0"/>
      </w:pPr>
      <w:r>
        <w:t xml:space="preserve">The site’s inclusion in the </w:t>
      </w:r>
      <w:r w:rsidR="00373ABE">
        <w:t>BWGSSEA</w:t>
      </w:r>
      <w:r>
        <w:t xml:space="preserve"> will support the significant investment of the Province into the Bradford Bypass.  A prominent site in proximity to a primary interchange will reinforce the importance of the east-west link and encourage further investment and growth in the area</w:t>
      </w:r>
      <w:r w:rsidR="000C273D">
        <w:t>.</w:t>
      </w:r>
    </w:p>
    <w:p w14:paraId="36478E29" w14:textId="72257BA1" w:rsidR="00373ABE" w:rsidRDefault="00373ABE" w:rsidP="007A0F8C">
      <w:pPr>
        <w:snapToGrid w:val="0"/>
        <w:spacing w:after="0"/>
      </w:pPr>
    </w:p>
    <w:p w14:paraId="73E8767C" w14:textId="42CA8A04" w:rsidR="009403D6" w:rsidRDefault="000C273D" w:rsidP="007A0F8C">
      <w:pPr>
        <w:snapToGrid w:val="0"/>
        <w:spacing w:after="0"/>
      </w:pPr>
      <w:r>
        <w:t xml:space="preserve">The inclusion of additional lands and greater certainty of future uses will </w:t>
      </w:r>
      <w:r w:rsidR="009403D6">
        <w:t xml:space="preserve">accelerate </w:t>
      </w:r>
      <w:r>
        <w:t xml:space="preserve">additional </w:t>
      </w:r>
      <w:r w:rsidR="009403D6">
        <w:t xml:space="preserve">public </w:t>
      </w:r>
      <w:r w:rsidR="0020498F">
        <w:t>and</w:t>
      </w:r>
      <w:r w:rsidR="009403D6">
        <w:t xml:space="preserve"> private </w:t>
      </w:r>
      <w:r w:rsidR="0020498F">
        <w:t>infrastructure</w:t>
      </w:r>
      <w:r w:rsidR="009403D6">
        <w:t xml:space="preserve"> investment</w:t>
      </w:r>
      <w:r>
        <w:t>.</w:t>
      </w:r>
      <w:r w:rsidR="0020498F">
        <w:t xml:space="preserve"> More jobs</w:t>
      </w:r>
      <w:r>
        <w:t xml:space="preserve">, supporting a complete community, </w:t>
      </w:r>
      <w:r w:rsidR="0020498F">
        <w:t xml:space="preserve">will </w:t>
      </w:r>
      <w:r>
        <w:t>create opportunities for responsible growth.</w:t>
      </w:r>
    </w:p>
    <w:p w14:paraId="700A7E62" w14:textId="78004304" w:rsidR="0020498F" w:rsidRDefault="0020498F" w:rsidP="007A0F8C">
      <w:pPr>
        <w:snapToGrid w:val="0"/>
        <w:spacing w:after="0"/>
      </w:pPr>
    </w:p>
    <w:p w14:paraId="6F78A9D8" w14:textId="5D0F95B9" w:rsidR="00104183" w:rsidRDefault="00104183" w:rsidP="007A0F8C">
      <w:pPr>
        <w:snapToGrid w:val="0"/>
        <w:spacing w:after="0"/>
        <w:rPr>
          <w:b/>
          <w:bCs/>
        </w:rPr>
      </w:pPr>
      <w:r>
        <w:rPr>
          <w:b/>
          <w:bCs/>
        </w:rPr>
        <w:t xml:space="preserve">SCOPA 7 </w:t>
      </w:r>
      <w:r w:rsidR="004634AA">
        <w:rPr>
          <w:b/>
          <w:bCs/>
        </w:rPr>
        <w:t>Request</w:t>
      </w:r>
      <w:r w:rsidR="00CB0970">
        <w:rPr>
          <w:b/>
          <w:bCs/>
        </w:rPr>
        <w:t>s</w:t>
      </w:r>
      <w:r w:rsidR="004634AA">
        <w:rPr>
          <w:b/>
          <w:bCs/>
        </w:rPr>
        <w:t>:</w:t>
      </w:r>
    </w:p>
    <w:p w14:paraId="2766A115" w14:textId="77777777" w:rsidR="004634AA" w:rsidRDefault="004634AA" w:rsidP="004634AA">
      <w:pPr>
        <w:snapToGrid w:val="0"/>
        <w:spacing w:after="0"/>
        <w:rPr>
          <w:b/>
          <w:bCs/>
        </w:rPr>
      </w:pPr>
    </w:p>
    <w:p w14:paraId="48796BF7" w14:textId="7A7F8341" w:rsidR="006C644C" w:rsidRDefault="000C273D" w:rsidP="00A01E61">
      <w:pPr>
        <w:pStyle w:val="ListParagraph"/>
        <w:numPr>
          <w:ilvl w:val="0"/>
          <w:numId w:val="10"/>
        </w:numPr>
        <w:snapToGrid w:val="0"/>
        <w:spacing w:after="0"/>
      </w:pPr>
      <w:r>
        <w:t>M</w:t>
      </w:r>
      <w:r w:rsidR="002E1D32" w:rsidRPr="00127F88">
        <w:t xml:space="preserve">TSAs are </w:t>
      </w:r>
      <w:r>
        <w:t xml:space="preserve">already </w:t>
      </w:r>
      <w:r w:rsidR="002E1D32" w:rsidRPr="00127F88">
        <w:t xml:space="preserve">recognized in Section 3.2.12 of SCOPA7, </w:t>
      </w:r>
      <w:r>
        <w:t xml:space="preserve">however, there are no </w:t>
      </w:r>
      <w:r w:rsidR="006C644C">
        <w:t xml:space="preserve">specific </w:t>
      </w:r>
      <w:r>
        <w:t xml:space="preserve">policies in SCOPA7 for SSEA’s.  The inclusion of proactive policies </w:t>
      </w:r>
      <w:r w:rsidR="006C644C">
        <w:t>reinforcing</w:t>
      </w:r>
      <w:r>
        <w:t xml:space="preserve"> employment lands along key </w:t>
      </w:r>
      <w:r w:rsidR="006C644C">
        <w:t xml:space="preserve">infrastructure is appropriate.  The importance of SSEAs is critical for complete communities and will help </w:t>
      </w:r>
      <w:r w:rsidR="003C6BEF">
        <w:t xml:space="preserve">ensure </w:t>
      </w:r>
      <w:r w:rsidR="006C644C">
        <w:t xml:space="preserve">more balanced employment and residential growth in the </w:t>
      </w:r>
      <w:r w:rsidR="003C6BEF">
        <w:t xml:space="preserve">south Simcoe </w:t>
      </w:r>
      <w:r w:rsidR="006C644C">
        <w:t>region</w:t>
      </w:r>
      <w:r w:rsidR="003C6BEF">
        <w:t xml:space="preserve"> that is expecting a large influx of housing</w:t>
      </w:r>
      <w:r w:rsidR="006C644C">
        <w:t>.</w:t>
      </w:r>
    </w:p>
    <w:p w14:paraId="43C2CF15" w14:textId="5D986B2B" w:rsidR="00127F88" w:rsidRDefault="00127F88" w:rsidP="00127F88">
      <w:pPr>
        <w:snapToGrid w:val="0"/>
        <w:spacing w:after="0"/>
      </w:pPr>
    </w:p>
    <w:p w14:paraId="22CCDB92" w14:textId="73B71326" w:rsidR="003C6BEF" w:rsidRDefault="003C6BEF" w:rsidP="00A01E61">
      <w:pPr>
        <w:snapToGrid w:val="0"/>
        <w:spacing w:after="0"/>
        <w:ind w:left="720"/>
      </w:pPr>
      <w:r>
        <w:t xml:space="preserve">Laying the groundwork now for more </w:t>
      </w:r>
      <w:r w:rsidR="00127F88">
        <w:t>specific policies</w:t>
      </w:r>
      <w:r>
        <w:t xml:space="preserve"> that protect and expand the BWGSSEA will guide future land use planning decisions</w:t>
      </w:r>
      <w:r w:rsidR="003E0123">
        <w:t>,</w:t>
      </w:r>
      <w:r>
        <w:t xml:space="preserve"> including Minister Directions issued under the Places to Grow Act.</w:t>
      </w:r>
    </w:p>
    <w:p w14:paraId="1FE2F5FA" w14:textId="61032A3F" w:rsidR="003C6BEF" w:rsidRDefault="003C6BEF" w:rsidP="00A01E61">
      <w:pPr>
        <w:snapToGrid w:val="0"/>
        <w:spacing w:after="0"/>
        <w:ind w:left="720"/>
      </w:pPr>
    </w:p>
    <w:p w14:paraId="51789617" w14:textId="7B37BCC1" w:rsidR="003C6BEF" w:rsidRDefault="003E0123" w:rsidP="00A01E61">
      <w:pPr>
        <w:snapToGrid w:val="0"/>
        <w:spacing w:after="0"/>
        <w:ind w:left="720"/>
      </w:pPr>
      <w:r>
        <w:t xml:space="preserve">New </w:t>
      </w:r>
      <w:r w:rsidR="003C6BEF">
        <w:t xml:space="preserve">SSEA policies </w:t>
      </w:r>
      <w:r>
        <w:t xml:space="preserve">in SCOPA7 </w:t>
      </w:r>
      <w:r w:rsidR="003C6BEF">
        <w:t>could mirror those already established in the existing BWGSSEA Minister Direction.  Facilitating land uses on the subject site, consistent with those already permitted nearby in “Area C</w:t>
      </w:r>
      <w:r w:rsidR="00634F2C">
        <w:t xml:space="preserve">”.  </w:t>
      </w:r>
      <w:r w:rsidR="003C6BEF">
        <w:t xml:space="preserve"> </w:t>
      </w:r>
      <w:r w:rsidR="00F7616B">
        <w:t>H</w:t>
      </w:r>
      <w:r w:rsidR="003C6BEF">
        <w:t xml:space="preserve">ighway and goods </w:t>
      </w:r>
      <w:r w:rsidR="00F7616B">
        <w:t>movement related</w:t>
      </w:r>
      <w:r w:rsidR="003C6BEF">
        <w:t xml:space="preserve"> uses </w:t>
      </w:r>
      <w:r>
        <w:t xml:space="preserve">will also leverage </w:t>
      </w:r>
      <w:r w:rsidR="00F7616B">
        <w:t>significant transportation infrastructure serving the south Simcoe region and wider GTA.</w:t>
      </w:r>
    </w:p>
    <w:p w14:paraId="24512B6E" w14:textId="58FBE36A" w:rsidR="00A569C8" w:rsidRDefault="00A569C8" w:rsidP="00A01E61">
      <w:pPr>
        <w:snapToGrid w:val="0"/>
        <w:spacing w:after="0"/>
        <w:ind w:left="720"/>
      </w:pPr>
    </w:p>
    <w:p w14:paraId="52504C26" w14:textId="233C6E11" w:rsidR="00A569C8" w:rsidRDefault="00A569C8" w:rsidP="00A01E61">
      <w:pPr>
        <w:snapToGrid w:val="0"/>
        <w:spacing w:after="0"/>
        <w:ind w:left="720"/>
      </w:pPr>
      <w:r>
        <w:t>To reiterate the permitted uses in Area C of the BWGSSEA, we consider the following uses appropriate for the subject lands:</w:t>
      </w:r>
    </w:p>
    <w:p w14:paraId="77FE2447" w14:textId="77777777" w:rsidR="00A569C8" w:rsidRPr="00A569C8" w:rsidRDefault="00A569C8" w:rsidP="00A569C8">
      <w:pPr>
        <w:numPr>
          <w:ilvl w:val="0"/>
          <w:numId w:val="11"/>
        </w:numPr>
        <w:shd w:val="clear" w:color="auto" w:fill="FFFFFF"/>
        <w:spacing w:before="100" w:beforeAutospacing="1" w:after="100" w:afterAutospacing="1"/>
        <w:rPr>
          <w:rFonts w:eastAsia="Times New Roman"/>
          <w:i/>
          <w:iCs/>
          <w:color w:val="1A1A1A"/>
          <w:lang w:eastAsia="en-CA"/>
        </w:rPr>
      </w:pPr>
      <w:r w:rsidRPr="00A569C8">
        <w:rPr>
          <w:rFonts w:eastAsia="Times New Roman"/>
          <w:i/>
          <w:iCs/>
          <w:color w:val="1A1A1A"/>
          <w:lang w:eastAsia="en-CA"/>
        </w:rPr>
        <w:t>Permitted employment uses: Distribution centre, food processing, manufacturing, outdoor storage as an accessory use, research facility including laboratory, warehouse, and training facility. Data centre if total gross floor area is less than 7,500m2. Ancillary office. Ancillary retail sales with a maximum of 10 per cent of the gross floor area of the total gross floor area of the building or structure.</w:t>
      </w:r>
    </w:p>
    <w:p w14:paraId="6BC2BF90" w14:textId="77777777" w:rsidR="00A569C8" w:rsidRPr="00A569C8" w:rsidRDefault="00A569C8" w:rsidP="00A569C8">
      <w:pPr>
        <w:numPr>
          <w:ilvl w:val="0"/>
          <w:numId w:val="11"/>
        </w:numPr>
        <w:shd w:val="clear" w:color="auto" w:fill="FFFFFF"/>
        <w:spacing w:before="100" w:beforeAutospacing="1" w:after="100" w:afterAutospacing="1"/>
        <w:rPr>
          <w:rFonts w:eastAsia="Times New Roman"/>
          <w:i/>
          <w:iCs/>
          <w:color w:val="1A1A1A"/>
          <w:lang w:eastAsia="en-CA"/>
        </w:rPr>
      </w:pPr>
      <w:r w:rsidRPr="00A569C8">
        <w:rPr>
          <w:rFonts w:eastAsia="Times New Roman"/>
          <w:i/>
          <w:iCs/>
          <w:color w:val="1A1A1A"/>
          <w:lang w:eastAsia="en-CA"/>
        </w:rPr>
        <w:t>Permitted office uses: To a maximum gross floor area of 7,500 m2.</w:t>
      </w:r>
    </w:p>
    <w:p w14:paraId="293BD640" w14:textId="77777777" w:rsidR="00A569C8" w:rsidRPr="00A569C8" w:rsidRDefault="00A569C8" w:rsidP="00A569C8">
      <w:pPr>
        <w:numPr>
          <w:ilvl w:val="0"/>
          <w:numId w:val="11"/>
        </w:numPr>
        <w:shd w:val="clear" w:color="auto" w:fill="FFFFFF"/>
        <w:spacing w:before="100" w:beforeAutospacing="1" w:after="100" w:afterAutospacing="1"/>
        <w:rPr>
          <w:rFonts w:eastAsia="Times New Roman"/>
          <w:i/>
          <w:iCs/>
          <w:color w:val="1A1A1A"/>
          <w:lang w:eastAsia="en-CA"/>
        </w:rPr>
      </w:pPr>
      <w:r w:rsidRPr="00A569C8">
        <w:rPr>
          <w:rFonts w:eastAsia="Times New Roman"/>
          <w:i/>
          <w:iCs/>
          <w:color w:val="1A1A1A"/>
          <w:lang w:eastAsia="en-CA"/>
        </w:rPr>
        <w:t>Permitted employment supportive uses: Automobile service station, bank, convenience store, day care facility, fitness centre, machinery and equipment sales and rental, personal service shop, restaurant, service shop and private training centre.</w:t>
      </w:r>
    </w:p>
    <w:p w14:paraId="77970E1E" w14:textId="77777777" w:rsidR="00A569C8" w:rsidRPr="00A569C8" w:rsidRDefault="00A569C8" w:rsidP="00A569C8">
      <w:pPr>
        <w:numPr>
          <w:ilvl w:val="0"/>
          <w:numId w:val="11"/>
        </w:numPr>
        <w:shd w:val="clear" w:color="auto" w:fill="FFFFFF"/>
        <w:spacing w:before="100" w:beforeAutospacing="1" w:after="100" w:afterAutospacing="1"/>
        <w:rPr>
          <w:rFonts w:eastAsia="Times New Roman"/>
          <w:i/>
          <w:iCs/>
          <w:color w:val="1A1A1A"/>
          <w:lang w:eastAsia="en-CA"/>
        </w:rPr>
      </w:pPr>
      <w:r w:rsidRPr="00A569C8">
        <w:rPr>
          <w:rFonts w:eastAsia="Times New Roman"/>
          <w:i/>
          <w:iCs/>
          <w:color w:val="1A1A1A"/>
          <w:lang w:eastAsia="en-CA"/>
        </w:rPr>
        <w:t>Other permitted uses: Parks and open space and public uses.</w:t>
      </w:r>
    </w:p>
    <w:p w14:paraId="0D5546E7" w14:textId="77777777" w:rsidR="00F7616B" w:rsidRDefault="00F7616B" w:rsidP="00A01E61">
      <w:pPr>
        <w:snapToGrid w:val="0"/>
        <w:spacing w:after="0"/>
        <w:ind w:left="720"/>
      </w:pPr>
    </w:p>
    <w:p w14:paraId="5E142B99" w14:textId="35D98C9D" w:rsidR="00CB0970" w:rsidRDefault="00F7616B" w:rsidP="00A01E61">
      <w:pPr>
        <w:pStyle w:val="ListParagraph"/>
        <w:numPr>
          <w:ilvl w:val="0"/>
          <w:numId w:val="10"/>
        </w:numPr>
        <w:snapToGrid w:val="0"/>
        <w:spacing w:after="0"/>
      </w:pPr>
      <w:r>
        <w:t xml:space="preserve">We </w:t>
      </w:r>
      <w:r w:rsidR="005E5EE2">
        <w:t xml:space="preserve">respectfully request that </w:t>
      </w:r>
      <w:r w:rsidR="00CB0970">
        <w:t xml:space="preserve">Section 3.2.5 of SCOPA be amended to clarify and reinforce that employment numbers in Table C can be exceeded </w:t>
      </w:r>
      <w:r w:rsidR="005E5EE2">
        <w:t xml:space="preserve">when considering </w:t>
      </w:r>
      <w:r w:rsidR="00CB0970">
        <w:t>land use policy changes</w:t>
      </w:r>
      <w:r w:rsidR="00A01E61">
        <w:t xml:space="preserve">.  </w:t>
      </w:r>
      <w:r w:rsidR="005E5EE2">
        <w:t>P</w:t>
      </w:r>
      <w:r w:rsidR="00A01E61">
        <w:t xml:space="preserve">olicy changes </w:t>
      </w:r>
      <w:r w:rsidR="005E5EE2">
        <w:t xml:space="preserve">at the local and upper levels </w:t>
      </w:r>
      <w:r w:rsidR="00634F2C">
        <w:t>could then e</w:t>
      </w:r>
      <w:r w:rsidR="005E5EE2">
        <w:t xml:space="preserve">stablish </w:t>
      </w:r>
      <w:r w:rsidR="00CB0970">
        <w:t xml:space="preserve">employment </w:t>
      </w:r>
      <w:r w:rsidR="005E5EE2">
        <w:t xml:space="preserve">uses </w:t>
      </w:r>
      <w:r w:rsidR="00CB0970">
        <w:t xml:space="preserve">sooner </w:t>
      </w:r>
      <w:r w:rsidR="005E5EE2">
        <w:t>and utilize existing and future</w:t>
      </w:r>
      <w:r w:rsidR="00CB0970">
        <w:t xml:space="preserve"> infrastructure investment</w:t>
      </w:r>
      <w:r w:rsidR="005E5EE2">
        <w:t>s.</w:t>
      </w:r>
      <w:r w:rsidR="00CB0970">
        <w:t xml:space="preserve"> </w:t>
      </w:r>
    </w:p>
    <w:p w14:paraId="73AD8E55" w14:textId="5355F1A4" w:rsidR="00CB0970" w:rsidRDefault="00CB0970" w:rsidP="00CB0970">
      <w:pPr>
        <w:snapToGrid w:val="0"/>
        <w:spacing w:after="0"/>
      </w:pPr>
    </w:p>
    <w:p w14:paraId="2323F074" w14:textId="18FCF19B" w:rsidR="00CB0970" w:rsidRDefault="005E5EE2" w:rsidP="00CB0970">
      <w:pPr>
        <w:snapToGrid w:val="0"/>
        <w:spacing w:after="0"/>
        <w:ind w:left="720"/>
      </w:pPr>
      <w:r>
        <w:t xml:space="preserve">The </w:t>
      </w:r>
      <w:r w:rsidR="00CB0970">
        <w:t>Highway 400 corridor</w:t>
      </w:r>
      <w:r>
        <w:t xml:space="preserve"> is already experiencing increased demand for serviced and well-located employment lands.  This demand will only increase as residential growth pushes north.  Fueling this demand is l</w:t>
      </w:r>
      <w:r w:rsidR="00CB0970">
        <w:t xml:space="preserve">ower employment densities associated with warehousing and logistics uses </w:t>
      </w:r>
      <w:r>
        <w:t>that leave municipalities, like BWG, needing more land to meet</w:t>
      </w:r>
      <w:r w:rsidR="00634F2C">
        <w:t xml:space="preserve"> the </w:t>
      </w:r>
      <w:r>
        <w:t>employment targets in SCOPA7 and the Growth Plan.</w:t>
      </w:r>
    </w:p>
    <w:p w14:paraId="27A916CE" w14:textId="1CDCAC0A" w:rsidR="00CB0970" w:rsidRDefault="00CB0970" w:rsidP="00CB0970">
      <w:pPr>
        <w:snapToGrid w:val="0"/>
        <w:spacing w:after="0"/>
        <w:ind w:left="720"/>
      </w:pPr>
    </w:p>
    <w:p w14:paraId="58C0AEE2" w14:textId="2F50D62C" w:rsidR="00CB0970" w:rsidRDefault="00DF70DD" w:rsidP="00CB0970">
      <w:pPr>
        <w:snapToGrid w:val="0"/>
        <w:spacing w:after="0"/>
        <w:ind w:left="720"/>
      </w:pPr>
      <w:r>
        <w:t>A policy alternative for justifying planning applications, beyond the current Table C numbers, would be including higher employment forecasts for those municipalities with SSEAs.   Higher numbers would provide clear guidance on the importance of employment lands for complete communities.</w:t>
      </w:r>
    </w:p>
    <w:p w14:paraId="10D9BDBA" w14:textId="618BE8F8" w:rsidR="00CB0970" w:rsidRDefault="00CB0970" w:rsidP="00CB0970">
      <w:pPr>
        <w:snapToGrid w:val="0"/>
        <w:spacing w:after="0"/>
      </w:pPr>
    </w:p>
    <w:p w14:paraId="699BDC6B" w14:textId="189242ED" w:rsidR="002B1898" w:rsidRPr="00706C15" w:rsidRDefault="009A2009" w:rsidP="007A0F8C">
      <w:pPr>
        <w:snapToGrid w:val="0"/>
        <w:spacing w:after="0"/>
        <w:rPr>
          <w:b/>
          <w:bCs/>
        </w:rPr>
      </w:pPr>
      <w:r>
        <w:rPr>
          <w:b/>
          <w:bCs/>
        </w:rPr>
        <w:t>S</w:t>
      </w:r>
      <w:r w:rsidR="00706C15" w:rsidRPr="00706C15">
        <w:rPr>
          <w:b/>
          <w:bCs/>
        </w:rPr>
        <w:t>ummary</w:t>
      </w:r>
    </w:p>
    <w:p w14:paraId="34F5F03B" w14:textId="77777777" w:rsidR="00706C15" w:rsidRDefault="00706C15" w:rsidP="007A0F8C">
      <w:pPr>
        <w:snapToGrid w:val="0"/>
        <w:spacing w:after="0"/>
      </w:pPr>
    </w:p>
    <w:p w14:paraId="14639373" w14:textId="0D264522" w:rsidR="009A2009" w:rsidRDefault="00D67D1B" w:rsidP="007A0F8C">
      <w:pPr>
        <w:snapToGrid w:val="0"/>
        <w:spacing w:after="0"/>
      </w:pPr>
      <w:r>
        <w:t>Amendments to SCOPA7</w:t>
      </w:r>
      <w:r w:rsidR="00D00995">
        <w:t>, as suggested above</w:t>
      </w:r>
      <w:r>
        <w:t xml:space="preserve">, will </w:t>
      </w:r>
      <w:r w:rsidR="00D00995">
        <w:t>allow for additional lands to leverage significant infrastructure investment and increase prosperity in the south Simcoe region.  The inclusion of policies that recognize the importance of SSEAs (in</w:t>
      </w:r>
      <w:r w:rsidR="009A2009">
        <w:t>cluding</w:t>
      </w:r>
      <w:r w:rsidR="00D00995">
        <w:t xml:space="preserve"> opportunities for expansion and </w:t>
      </w:r>
      <w:r w:rsidR="009A2009">
        <w:t>establishing employment land uses</w:t>
      </w:r>
      <w:r w:rsidR="00D00995">
        <w:t>)</w:t>
      </w:r>
      <w:r w:rsidR="009A2009">
        <w:t xml:space="preserve"> will promote </w:t>
      </w:r>
      <w:r w:rsidR="00D00995">
        <w:t xml:space="preserve">responsible </w:t>
      </w:r>
      <w:r w:rsidR="009A2009">
        <w:t xml:space="preserve">growth </w:t>
      </w:r>
      <w:r w:rsidR="00D00995">
        <w:t>in mo</w:t>
      </w:r>
      <w:r w:rsidR="009A2009">
        <w:t>re complete communities</w:t>
      </w:r>
      <w:r w:rsidR="00D00995">
        <w:t>.</w:t>
      </w:r>
    </w:p>
    <w:p w14:paraId="1C088C0D" w14:textId="77777777" w:rsidR="009A2009" w:rsidRDefault="009A2009" w:rsidP="007A0F8C">
      <w:pPr>
        <w:snapToGrid w:val="0"/>
        <w:spacing w:after="0"/>
      </w:pPr>
    </w:p>
    <w:p w14:paraId="2C21DCEA" w14:textId="77777777" w:rsidR="007A0F8C" w:rsidRDefault="007A0F8C" w:rsidP="00BD745E">
      <w:pPr>
        <w:snapToGrid w:val="0"/>
        <w:spacing w:after="0"/>
      </w:pPr>
    </w:p>
    <w:p w14:paraId="64DD1B7B" w14:textId="77777777" w:rsidR="007A0F8C" w:rsidRPr="00BD745E" w:rsidRDefault="007A0F8C" w:rsidP="00BD745E">
      <w:pPr>
        <w:snapToGrid w:val="0"/>
        <w:spacing w:after="0"/>
      </w:pPr>
    </w:p>
    <w:sectPr w:rsidR="007A0F8C" w:rsidRPr="00BD745E" w:rsidSect="004A227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AA333" w14:textId="77777777" w:rsidR="00202ABC" w:rsidRDefault="00202ABC" w:rsidP="00B362F8">
      <w:r>
        <w:separator/>
      </w:r>
    </w:p>
  </w:endnote>
  <w:endnote w:type="continuationSeparator" w:id="0">
    <w:p w14:paraId="2E74C4C2" w14:textId="77777777" w:rsidR="00202ABC" w:rsidRDefault="00202ABC" w:rsidP="00B36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alatino">
    <w:charset w:val="4D"/>
    <w:family w:val="auto"/>
    <w:pitch w:val="variable"/>
    <w:sig w:usb0="A00002FF" w:usb1="7800205A" w:usb2="14600000" w:usb3="00000000" w:csb0="00000193" w:csb1="00000000"/>
  </w:font>
  <w:font w:name="Times">
    <w:panose1 w:val="02020603050405020304"/>
    <w:charset w:val="00"/>
    <w:family w:val="auto"/>
    <w:pitch w:val="variable"/>
    <w:sig w:usb0="E00002FF" w:usb1="5000205A" w:usb2="00000000" w:usb3="00000000" w:csb0="0000019F" w:csb1="00000000"/>
  </w:font>
  <w:font w:name="Geneva">
    <w:altName w:val="Segoe UI Symbol"/>
    <w:charset w:val="00"/>
    <w:family w:val="swiss"/>
    <w:pitch w:val="variable"/>
    <w:sig w:usb0="E00002FF" w:usb1="5200205F" w:usb2="00A0C000" w:usb3="00000000" w:csb0="0000019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3A641" w14:textId="77777777" w:rsidR="00F3501B" w:rsidRDefault="00F350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9918C" w14:textId="77777777" w:rsidR="00F95BCA" w:rsidRDefault="00F95BCA" w:rsidP="00F95BCA">
    <w:pPr>
      <w:pStyle w:val="Footer"/>
      <w:pBdr>
        <w:top w:val="single" w:sz="4" w:space="1" w:color="auto"/>
      </w:pBdr>
    </w:pPr>
    <w:r w:rsidRPr="00583A7B">
      <w:rPr>
        <w:rFonts w:ascii="Geneva" w:hAnsi="Geneva"/>
        <w:color w:val="808080" w:themeColor="background1" w:themeShade="80"/>
        <w:sz w:val="20"/>
      </w:rPr>
      <w:t>1547 Bloor Street West</w:t>
    </w:r>
    <w:r>
      <w:rPr>
        <w:rFonts w:ascii="Geneva" w:hAnsi="Geneva"/>
        <w:color w:val="808080" w:themeColor="background1" w:themeShade="80"/>
        <w:sz w:val="20"/>
      </w:rPr>
      <w:t xml:space="preserve"> • </w:t>
    </w:r>
    <w:r w:rsidRPr="00583A7B">
      <w:rPr>
        <w:rFonts w:ascii="Geneva" w:hAnsi="Geneva"/>
        <w:color w:val="808080" w:themeColor="background1" w:themeShade="80"/>
        <w:sz w:val="20"/>
      </w:rPr>
      <w:t>Toronto, Ontario M6P 1A5</w:t>
    </w:r>
    <w:r>
      <w:rPr>
        <w:rFonts w:ascii="Geneva" w:hAnsi="Geneva"/>
        <w:color w:val="808080" w:themeColor="background1" w:themeShade="80"/>
        <w:sz w:val="20"/>
      </w:rPr>
      <w:tab/>
    </w:r>
    <w:r w:rsidRPr="00583A7B">
      <w:rPr>
        <w:rFonts w:ascii="Wingdings" w:hAnsi="Wingdings"/>
        <w:color w:val="808080" w:themeColor="background1" w:themeShade="80"/>
        <w:sz w:val="18"/>
        <w:szCs w:val="18"/>
      </w:rPr>
      <w:t></w:t>
    </w:r>
    <w:r w:rsidRPr="00583A7B">
      <w:rPr>
        <w:rFonts w:ascii="Geneva" w:hAnsi="Geneva"/>
        <w:color w:val="808080" w:themeColor="background1" w:themeShade="80"/>
        <w:sz w:val="16"/>
      </w:rPr>
      <w:t xml:space="preserve"> </w:t>
    </w:r>
    <w:r w:rsidRPr="00583A7B">
      <w:rPr>
        <w:rFonts w:ascii="Geneva" w:hAnsi="Geneva"/>
        <w:color w:val="808080" w:themeColor="background1" w:themeShade="80"/>
        <w:sz w:val="14"/>
      </w:rPr>
      <w:t xml:space="preserve">(416) </w:t>
    </w:r>
    <w:r w:rsidRPr="00583A7B">
      <w:rPr>
        <w:rFonts w:ascii="Geneva" w:hAnsi="Geneva"/>
        <w:color w:val="808080" w:themeColor="background1" w:themeShade="80"/>
        <w:sz w:val="16"/>
      </w:rPr>
      <w:t>923-6630</w:t>
    </w:r>
    <w:r>
      <w:rPr>
        <w:rFonts w:ascii="Geneva" w:hAnsi="Geneva"/>
        <w:color w:val="808080" w:themeColor="background1" w:themeShade="80"/>
        <w:sz w:val="16"/>
      </w:rPr>
      <w:t xml:space="preserve"> / </w:t>
    </w:r>
    <w:r w:rsidRPr="00583A7B">
      <w:rPr>
        <w:rFonts w:ascii="Wingdings" w:hAnsi="Wingdings"/>
        <w:b/>
        <w:color w:val="808080" w:themeColor="background1" w:themeShade="80"/>
        <w:sz w:val="16"/>
      </w:rPr>
      <w:t></w:t>
    </w:r>
    <w:r w:rsidRPr="00583A7B">
      <w:rPr>
        <w:rFonts w:ascii="Geneva" w:hAnsi="Geneva"/>
        <w:color w:val="808080" w:themeColor="background1" w:themeShade="80"/>
        <w:sz w:val="16"/>
      </w:rPr>
      <w:t xml:space="preserve"> info@sglplanning.ca</w:t>
    </w:r>
  </w:p>
  <w:p w14:paraId="203A5347" w14:textId="77777777" w:rsidR="00980259" w:rsidRDefault="00980259" w:rsidP="00B362F8">
    <w:pPr>
      <w:ind w:right="360"/>
      <w:rPr>
        <w:rFonts w:ascii="Times New Roman" w:hAnsi="Times New Roman"/>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EF1DA" w14:textId="77777777" w:rsidR="00F95BCA" w:rsidRPr="00F95BCA" w:rsidRDefault="00F95BCA" w:rsidP="00F95BCA">
    <w:pPr>
      <w:pStyle w:val="Footer"/>
      <w:jc w:val="center"/>
      <w:rPr>
        <w:color w:val="890001"/>
        <w:sz w:val="20"/>
      </w:rPr>
    </w:pPr>
    <w:r w:rsidRPr="00F95BCA">
      <w:rPr>
        <w:rStyle w:val="Hyperlink"/>
        <w:color w:val="890001"/>
        <w:sz w:val="20"/>
        <w:u w:val="none"/>
      </w:rPr>
      <w:t>sglplanning.ca</w:t>
    </w:r>
  </w:p>
  <w:p w14:paraId="7693DD55" w14:textId="77777777" w:rsidR="00F95BCA" w:rsidRDefault="00F95B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2F916" w14:textId="77777777" w:rsidR="00202ABC" w:rsidRDefault="00202ABC" w:rsidP="00B362F8">
      <w:r>
        <w:separator/>
      </w:r>
    </w:p>
  </w:footnote>
  <w:footnote w:type="continuationSeparator" w:id="0">
    <w:p w14:paraId="5BCA5C0E" w14:textId="77777777" w:rsidR="00202ABC" w:rsidRDefault="00202ABC" w:rsidP="00B362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B8D84" w14:textId="77777777" w:rsidR="00F3501B" w:rsidRDefault="00F350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6AEFA" w14:textId="3EC202F1" w:rsidR="004A227E" w:rsidRDefault="004A227E" w:rsidP="004A227E">
    <w:pPr>
      <w:jc w:val="right"/>
      <w:rPr>
        <w:b/>
        <w:i/>
        <w:sz w:val="18"/>
      </w:rPr>
    </w:pPr>
    <w:r w:rsidRPr="004A227E">
      <w:rPr>
        <w:rFonts w:ascii="Times New Roman" w:hAnsi="Times New Roman"/>
        <w:sz w:val="18"/>
      </w:rPr>
      <w:t xml:space="preserve">page  </w:t>
    </w:r>
    <w:r w:rsidRPr="004A227E">
      <w:rPr>
        <w:rFonts w:ascii="Times New Roman" w:hAnsi="Times New Roman"/>
        <w:sz w:val="18"/>
      </w:rPr>
      <w:pgNum/>
    </w:r>
    <w:r>
      <w:rPr>
        <w:noProof/>
        <w:lang w:val="en-US"/>
      </w:rPr>
      <w:drawing>
        <wp:anchor distT="0" distB="0" distL="114300" distR="114300" simplePos="0" relativeHeight="251657216" behindDoc="0" locked="0" layoutInCell="1" allowOverlap="1" wp14:anchorId="6A1D28F0" wp14:editId="703E3E7B">
          <wp:simplePos x="0" y="0"/>
          <wp:positionH relativeFrom="column">
            <wp:posOffset>63500</wp:posOffset>
          </wp:positionH>
          <wp:positionV relativeFrom="paragraph">
            <wp:posOffset>-81280</wp:posOffset>
          </wp:positionV>
          <wp:extent cx="929005" cy="496570"/>
          <wp:effectExtent l="0" t="0" r="10795" b="11430"/>
          <wp:wrapTight wrapText="bothSides">
            <wp:wrapPolygon edited="0">
              <wp:start x="591" y="1105"/>
              <wp:lineTo x="0" y="4419"/>
              <wp:lineTo x="0" y="20992"/>
              <wp:lineTo x="21260" y="20992"/>
              <wp:lineTo x="21260" y="14363"/>
              <wp:lineTo x="18898" y="1105"/>
              <wp:lineTo x="591" y="1105"/>
            </wp:wrapPolygon>
          </wp:wrapTight>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GL Sue:Users:suecutler:Desktop:New Logo:SGLplanning-Logo3x1.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29005" cy="496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22AE59" w14:textId="72764856" w:rsidR="00980259" w:rsidRPr="004A227E" w:rsidRDefault="004A227E" w:rsidP="004A227E">
    <w:pPr>
      <w:jc w:val="right"/>
      <w:rPr>
        <w:rFonts w:ascii="Times New Roman" w:hAnsi="Times New Roman"/>
        <w:sz w:val="18"/>
      </w:rPr>
    </w:pPr>
    <w:r>
      <w:rPr>
        <w:noProof/>
      </w:rPr>
      <mc:AlternateContent>
        <mc:Choice Requires="wps">
          <w:drawing>
            <wp:inline distT="0" distB="0" distL="0" distR="0" wp14:anchorId="6EB745C8" wp14:editId="7E12639C">
              <wp:extent cx="5943600" cy="26670"/>
              <wp:effectExtent l="0" t="0" r="12700" b="24130"/>
              <wp:docPr id="15" name="Straight Connector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43600" cy="26670"/>
                      </a:xfrm>
                      <a:prstGeom prst="line">
                        <a:avLst/>
                      </a:prstGeom>
                      <a:noFill/>
                      <a:ln w="6350" cap="flat" cmpd="sng" algn="ctr">
                        <a:solidFill>
                          <a:sysClr val="windowText" lastClr="000000"/>
                        </a:solidFill>
                        <a:prstDash val="solid"/>
                        <a:miter lim="800000"/>
                      </a:ln>
                      <a:effectLst/>
                    </wps:spPr>
                    <wps:bodyPr/>
                  </wps:wsp>
                </a:graphicData>
              </a:graphic>
            </wp:inline>
          </w:drawing>
        </mc:Choice>
        <mc:Fallback>
          <w:pict>
            <v:line w14:anchorId="7A31C69B" id="Straight Connector 15" o:spid="_x0000_s1026" style="flip:y;visibility:visible;mso-wrap-style:square;mso-left-percent:-10001;mso-top-percent:-10001;mso-position-horizontal:absolute;mso-position-horizontal-relative:char;mso-position-vertical:absolute;mso-position-vertical-relative:line;mso-left-percent:-10001;mso-top-percent:-10001" from="0,0" to="468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" strokecolor="windowText" strokeweight=".5pt">
              <v:stroke joinstyle="miter"/>
              <o:lock v:ext="edit" shapetype="f"/>
              <w10:anchorlock/>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10" w:type="dxa"/>
      <w:tblLayout w:type="fixed"/>
      <w:tblCellMar>
        <w:left w:w="80" w:type="dxa"/>
        <w:right w:w="80" w:type="dxa"/>
      </w:tblCellMar>
      <w:tblLook w:val="0000" w:firstRow="0" w:lastRow="0" w:firstColumn="0" w:lastColumn="0" w:noHBand="0" w:noVBand="0"/>
    </w:tblPr>
    <w:tblGrid>
      <w:gridCol w:w="3770"/>
      <w:gridCol w:w="5940"/>
    </w:tblGrid>
    <w:tr w:rsidR="004A227E" w14:paraId="74CA0926" w14:textId="77777777" w:rsidTr="002E7080">
      <w:trPr>
        <w:cantSplit/>
      </w:trPr>
      <w:tc>
        <w:tcPr>
          <w:tcW w:w="3770" w:type="dxa"/>
        </w:tcPr>
        <w:p w14:paraId="3F917419" w14:textId="77777777" w:rsidR="004A227E" w:rsidRPr="00B61205" w:rsidRDefault="004A227E" w:rsidP="004A227E">
          <w:pPr>
            <w:ind w:right="180"/>
            <w:jc w:val="both"/>
            <w:rPr>
              <w:rFonts w:ascii="Helvetica" w:hAnsi="Helvetica"/>
              <w:sz w:val="14"/>
            </w:rPr>
          </w:pPr>
          <w:r w:rsidRPr="00B61205">
            <w:rPr>
              <w:rFonts w:ascii="Helvetica" w:hAnsi="Helvetica"/>
              <w:noProof/>
              <w:sz w:val="14"/>
              <w:lang w:val="en-US"/>
            </w:rPr>
            <w:drawing>
              <wp:inline distT="0" distB="0" distL="0" distR="0" wp14:anchorId="4A9AED43" wp14:editId="1EEFECDF">
                <wp:extent cx="2506044" cy="131064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0408 logo NEW NAME.eps"/>
                        <pic:cNvPicPr/>
                      </pic:nvPicPr>
                      <pic:blipFill>
                        <a:blip r:embed="rId1">
                          <a:extLst>
                            <a:ext uri="{28A0092B-C50C-407E-A947-70E740481C1C}">
                              <a14:useLocalDpi xmlns:a14="http://schemas.microsoft.com/office/drawing/2010/main" val="0"/>
                            </a:ext>
                          </a:extLst>
                        </a:blip>
                        <a:stretch>
                          <a:fillRect/>
                        </a:stretch>
                      </pic:blipFill>
                      <pic:spPr>
                        <a:xfrm>
                          <a:off x="0" y="0"/>
                          <a:ext cx="2506044" cy="131064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tc>
      <w:tc>
        <w:tcPr>
          <w:tcW w:w="5940" w:type="dxa"/>
        </w:tcPr>
        <w:p w14:paraId="4A1FAED6" w14:textId="77777777" w:rsidR="004A227E" w:rsidRPr="00991B56" w:rsidRDefault="004A227E" w:rsidP="004A227E">
          <w:pPr>
            <w:spacing w:after="0"/>
            <w:ind w:right="101"/>
            <w:jc w:val="right"/>
            <w:rPr>
              <w:rFonts w:ascii="Geneva" w:hAnsi="Geneva"/>
              <w:color w:val="808080" w:themeColor="background1" w:themeShade="80"/>
              <w:sz w:val="16"/>
              <w:szCs w:val="16"/>
            </w:rPr>
          </w:pPr>
        </w:p>
        <w:p w14:paraId="3C8313B8" w14:textId="77777777" w:rsidR="004A227E" w:rsidRPr="00583A7B" w:rsidRDefault="004A227E" w:rsidP="004A227E">
          <w:pPr>
            <w:spacing w:after="0"/>
            <w:ind w:right="101"/>
            <w:jc w:val="right"/>
            <w:rPr>
              <w:rFonts w:ascii="Geneva" w:hAnsi="Geneva"/>
              <w:color w:val="808080" w:themeColor="background1" w:themeShade="80"/>
              <w:sz w:val="20"/>
            </w:rPr>
          </w:pPr>
          <w:r w:rsidRPr="00583A7B">
            <w:rPr>
              <w:rFonts w:ascii="Geneva" w:hAnsi="Geneva"/>
              <w:color w:val="808080" w:themeColor="background1" w:themeShade="80"/>
              <w:sz w:val="20"/>
            </w:rPr>
            <w:t>1547 Bloor Street West</w:t>
          </w:r>
        </w:p>
        <w:p w14:paraId="0B985ABB" w14:textId="77777777" w:rsidR="004A227E" w:rsidRPr="00583A7B" w:rsidRDefault="004A227E" w:rsidP="004A227E">
          <w:pPr>
            <w:spacing w:after="0"/>
            <w:ind w:right="101"/>
            <w:jc w:val="right"/>
            <w:rPr>
              <w:rFonts w:ascii="Geneva" w:hAnsi="Geneva"/>
              <w:color w:val="808080" w:themeColor="background1" w:themeShade="80"/>
              <w:sz w:val="20"/>
            </w:rPr>
          </w:pPr>
          <w:r w:rsidRPr="00583A7B">
            <w:rPr>
              <w:rFonts w:ascii="Geneva" w:hAnsi="Geneva"/>
              <w:color w:val="808080" w:themeColor="background1" w:themeShade="80"/>
              <w:sz w:val="20"/>
            </w:rPr>
            <w:t>Toronto, Ontario M6P 1A5</w:t>
          </w:r>
        </w:p>
        <w:p w14:paraId="6EDD6616" w14:textId="77777777" w:rsidR="004A227E" w:rsidRPr="00583A7B" w:rsidRDefault="004A227E" w:rsidP="004A227E">
          <w:pPr>
            <w:tabs>
              <w:tab w:val="left" w:pos="900"/>
              <w:tab w:val="left" w:pos="1350"/>
            </w:tabs>
            <w:spacing w:after="0"/>
            <w:ind w:right="101"/>
            <w:jc w:val="right"/>
            <w:rPr>
              <w:rFonts w:ascii="Geneva" w:hAnsi="Geneva"/>
              <w:color w:val="808080" w:themeColor="background1" w:themeShade="80"/>
              <w:sz w:val="16"/>
            </w:rPr>
          </w:pPr>
          <w:r w:rsidRPr="00583A7B">
            <w:rPr>
              <w:rFonts w:ascii="Wingdings" w:hAnsi="Wingdings"/>
              <w:color w:val="808080" w:themeColor="background1" w:themeShade="80"/>
              <w:sz w:val="18"/>
              <w:szCs w:val="18"/>
            </w:rPr>
            <w:t></w:t>
          </w:r>
          <w:r w:rsidRPr="00583A7B">
            <w:rPr>
              <w:rFonts w:ascii="Geneva" w:hAnsi="Geneva"/>
              <w:color w:val="808080" w:themeColor="background1" w:themeShade="80"/>
              <w:sz w:val="16"/>
            </w:rPr>
            <w:t xml:space="preserve"> </w:t>
          </w:r>
          <w:r w:rsidRPr="00583A7B">
            <w:rPr>
              <w:rFonts w:ascii="Geneva" w:hAnsi="Geneva"/>
              <w:color w:val="808080" w:themeColor="background1" w:themeShade="80"/>
              <w:sz w:val="14"/>
            </w:rPr>
            <w:t xml:space="preserve">(416) </w:t>
          </w:r>
          <w:r w:rsidRPr="00583A7B">
            <w:rPr>
              <w:rFonts w:ascii="Geneva" w:hAnsi="Geneva"/>
              <w:color w:val="808080" w:themeColor="background1" w:themeShade="80"/>
              <w:sz w:val="16"/>
            </w:rPr>
            <w:t>923-6630</w:t>
          </w:r>
        </w:p>
        <w:p w14:paraId="3EA25600" w14:textId="77777777" w:rsidR="004A227E" w:rsidRPr="00991B56" w:rsidRDefault="004A227E" w:rsidP="004A227E">
          <w:pPr>
            <w:spacing w:after="0"/>
            <w:ind w:right="101"/>
            <w:jc w:val="right"/>
            <w:rPr>
              <w:rFonts w:ascii="Geneva" w:hAnsi="Geneva"/>
              <w:sz w:val="16"/>
            </w:rPr>
          </w:pPr>
          <w:r w:rsidRPr="00583A7B">
            <w:rPr>
              <w:rFonts w:ascii="Wingdings" w:hAnsi="Wingdings"/>
              <w:b/>
              <w:color w:val="808080" w:themeColor="background1" w:themeShade="80"/>
              <w:sz w:val="16"/>
            </w:rPr>
            <w:t></w:t>
          </w:r>
          <w:r w:rsidRPr="00583A7B">
            <w:rPr>
              <w:rFonts w:ascii="Geneva" w:hAnsi="Geneva"/>
              <w:color w:val="808080" w:themeColor="background1" w:themeShade="80"/>
              <w:sz w:val="16"/>
            </w:rPr>
            <w:t xml:space="preserve"> info@sglplanning.ca</w:t>
          </w:r>
        </w:p>
      </w:tc>
    </w:tr>
  </w:tbl>
  <w:p w14:paraId="2B5CFD24" w14:textId="10DEC5E7" w:rsidR="004A227E" w:rsidRPr="00200C76" w:rsidRDefault="004A227E" w:rsidP="00200C76">
    <w:pPr>
      <w:pStyle w:val="SGLFigur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9517B5"/>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03A4C03"/>
    <w:multiLevelType w:val="hybridMultilevel"/>
    <w:tmpl w:val="2EAE4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56669E"/>
    <w:multiLevelType w:val="hybridMultilevel"/>
    <w:tmpl w:val="0B1C7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177478"/>
    <w:multiLevelType w:val="hybridMultilevel"/>
    <w:tmpl w:val="09AED7FE"/>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528A4F24"/>
    <w:multiLevelType w:val="hybridMultilevel"/>
    <w:tmpl w:val="277ADE28"/>
    <w:lvl w:ilvl="0" w:tplc="509A805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4F31EF"/>
    <w:multiLevelType w:val="hybridMultilevel"/>
    <w:tmpl w:val="87C2A23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61A2439E"/>
    <w:multiLevelType w:val="hybridMultilevel"/>
    <w:tmpl w:val="693C9E5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69D1544B"/>
    <w:multiLevelType w:val="hybridMultilevel"/>
    <w:tmpl w:val="0F080D8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6D4955CF"/>
    <w:multiLevelType w:val="multilevel"/>
    <w:tmpl w:val="3DB833EC"/>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9" w15:restartNumberingAfterBreak="0">
    <w:nsid w:val="77DB6756"/>
    <w:multiLevelType w:val="hybridMultilevel"/>
    <w:tmpl w:val="2320EBA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78C2029E"/>
    <w:multiLevelType w:val="multilevel"/>
    <w:tmpl w:val="0A0A6C00"/>
    <w:lvl w:ilvl="0">
      <w:start w:val="1"/>
      <w:numFmt w:val="decimal"/>
      <w:pStyle w:val="Heading1"/>
      <w:lvlText w:val="%1"/>
      <w:lvlJc w:val="left"/>
      <w:pPr>
        <w:tabs>
          <w:tab w:val="num" w:pos="504"/>
        </w:tabs>
        <w:ind w:left="0" w:firstLine="0"/>
      </w:pPr>
      <w:rPr>
        <w:rFonts w:hint="default"/>
        <w:sz w:val="56"/>
      </w:rPr>
    </w:lvl>
    <w:lvl w:ilvl="1">
      <w:start w:val="1"/>
      <w:numFmt w:val="decimal"/>
      <w:pStyle w:val="Heading2"/>
      <w:lvlText w:val="%1.%2"/>
      <w:lvlJc w:val="left"/>
      <w:pPr>
        <w:ind w:left="0" w:firstLine="0"/>
      </w:pPr>
      <w:rPr>
        <w:rFonts w:hint="default"/>
        <w:sz w:val="24"/>
        <w:szCs w:val="56"/>
      </w:rPr>
    </w:lvl>
    <w:lvl w:ilvl="2">
      <w:start w:val="1"/>
      <w:numFmt w:val="decimal"/>
      <w:pStyle w:val="Heading3"/>
      <w:lvlText w:val="%1.%2.%3"/>
      <w:lvlJc w:val="left"/>
      <w:pPr>
        <w:tabs>
          <w:tab w:val="num" w:pos="720"/>
        </w:tabs>
        <w:ind w:left="0" w:firstLine="0"/>
      </w:pPr>
      <w:rPr>
        <w:rFonts w:hint="default"/>
      </w:rPr>
    </w:lvl>
    <w:lvl w:ilvl="3">
      <w:start w:val="1"/>
      <w:numFmt w:val="decimal"/>
      <w:pStyle w:val="Heading4"/>
      <w:lvlText w:val="%1.%2.%3.%4"/>
      <w:lvlJc w:val="left"/>
      <w:pPr>
        <w:ind w:left="0" w:firstLine="0"/>
      </w:pPr>
      <w:rPr>
        <w:rFonts w:hint="default"/>
        <w:b w:val="0"/>
        <w:bCs w:val="0"/>
        <w:i w:val="0"/>
        <w:iCs w:val="0"/>
        <w:caps w:val="0"/>
        <w:smallCaps w:val="0"/>
        <w:strike w:val="0"/>
        <w:dstrike w:val="0"/>
        <w:noProof w:val="0"/>
        <w:vanish w:val="0"/>
        <w:color w:val="8B2332"/>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69179727">
    <w:abstractNumId w:val="10"/>
  </w:num>
  <w:num w:numId="2" w16cid:durableId="1568105973">
    <w:abstractNumId w:val="0"/>
  </w:num>
  <w:num w:numId="3" w16cid:durableId="424620695">
    <w:abstractNumId w:val="1"/>
  </w:num>
  <w:num w:numId="4" w16cid:durableId="2060930553">
    <w:abstractNumId w:val="2"/>
  </w:num>
  <w:num w:numId="5" w16cid:durableId="1499150935">
    <w:abstractNumId w:val="4"/>
  </w:num>
  <w:num w:numId="6" w16cid:durableId="1640573438">
    <w:abstractNumId w:val="6"/>
  </w:num>
  <w:num w:numId="7" w16cid:durableId="1124496906">
    <w:abstractNumId w:val="9"/>
  </w:num>
  <w:num w:numId="8" w16cid:durableId="1909337188">
    <w:abstractNumId w:val="5"/>
  </w:num>
  <w:num w:numId="9" w16cid:durableId="100272054">
    <w:abstractNumId w:val="7"/>
  </w:num>
  <w:num w:numId="10" w16cid:durableId="605357255">
    <w:abstractNumId w:val="3"/>
  </w:num>
  <w:num w:numId="11" w16cid:durableId="1611399701">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869"/>
    <w:rsid w:val="00006560"/>
    <w:rsid w:val="00012F53"/>
    <w:rsid w:val="000147A9"/>
    <w:rsid w:val="000157F7"/>
    <w:rsid w:val="000229CF"/>
    <w:rsid w:val="00022B36"/>
    <w:rsid w:val="00030F9B"/>
    <w:rsid w:val="00040502"/>
    <w:rsid w:val="00056A64"/>
    <w:rsid w:val="00057A87"/>
    <w:rsid w:val="00063031"/>
    <w:rsid w:val="0009495A"/>
    <w:rsid w:val="000B40A3"/>
    <w:rsid w:val="000B5626"/>
    <w:rsid w:val="000C273D"/>
    <w:rsid w:val="000C7814"/>
    <w:rsid w:val="000D34B0"/>
    <w:rsid w:val="000E4BBC"/>
    <w:rsid w:val="000F7DD0"/>
    <w:rsid w:val="0010073D"/>
    <w:rsid w:val="00104183"/>
    <w:rsid w:val="001060C7"/>
    <w:rsid w:val="0010682D"/>
    <w:rsid w:val="00111E58"/>
    <w:rsid w:val="00127EB3"/>
    <w:rsid w:val="00127F88"/>
    <w:rsid w:val="00131FBD"/>
    <w:rsid w:val="0013409D"/>
    <w:rsid w:val="00161463"/>
    <w:rsid w:val="00165A32"/>
    <w:rsid w:val="001A6990"/>
    <w:rsid w:val="001D25C0"/>
    <w:rsid w:val="001F3FB3"/>
    <w:rsid w:val="001F4E4C"/>
    <w:rsid w:val="001F7F86"/>
    <w:rsid w:val="00200C76"/>
    <w:rsid w:val="00202ABC"/>
    <w:rsid w:val="0020498F"/>
    <w:rsid w:val="002212C0"/>
    <w:rsid w:val="0024336F"/>
    <w:rsid w:val="0025201E"/>
    <w:rsid w:val="00254AF6"/>
    <w:rsid w:val="00257ACD"/>
    <w:rsid w:val="00270D54"/>
    <w:rsid w:val="00272152"/>
    <w:rsid w:val="0027318E"/>
    <w:rsid w:val="002B1898"/>
    <w:rsid w:val="002B28F1"/>
    <w:rsid w:val="002B6069"/>
    <w:rsid w:val="002C21B2"/>
    <w:rsid w:val="002D0222"/>
    <w:rsid w:val="002E1D32"/>
    <w:rsid w:val="002E7D9E"/>
    <w:rsid w:val="002F1206"/>
    <w:rsid w:val="002F51C5"/>
    <w:rsid w:val="00312FFD"/>
    <w:rsid w:val="00330529"/>
    <w:rsid w:val="00334361"/>
    <w:rsid w:val="003344B9"/>
    <w:rsid w:val="00341224"/>
    <w:rsid w:val="00347E06"/>
    <w:rsid w:val="003504AF"/>
    <w:rsid w:val="00357100"/>
    <w:rsid w:val="003609F9"/>
    <w:rsid w:val="00365ADB"/>
    <w:rsid w:val="003722DB"/>
    <w:rsid w:val="00373ABE"/>
    <w:rsid w:val="00373DA8"/>
    <w:rsid w:val="003809D3"/>
    <w:rsid w:val="00386306"/>
    <w:rsid w:val="00397CE1"/>
    <w:rsid w:val="003C30B9"/>
    <w:rsid w:val="003C6BEF"/>
    <w:rsid w:val="003D6612"/>
    <w:rsid w:val="003E0123"/>
    <w:rsid w:val="003E224D"/>
    <w:rsid w:val="004110E5"/>
    <w:rsid w:val="00413307"/>
    <w:rsid w:val="004179B0"/>
    <w:rsid w:val="00435EE0"/>
    <w:rsid w:val="004425C4"/>
    <w:rsid w:val="004634AA"/>
    <w:rsid w:val="0047451E"/>
    <w:rsid w:val="00475928"/>
    <w:rsid w:val="004858E2"/>
    <w:rsid w:val="00485BB4"/>
    <w:rsid w:val="00492E63"/>
    <w:rsid w:val="004A227E"/>
    <w:rsid w:val="004A49F0"/>
    <w:rsid w:val="004E7FE2"/>
    <w:rsid w:val="004F4B98"/>
    <w:rsid w:val="00502201"/>
    <w:rsid w:val="00516857"/>
    <w:rsid w:val="00520095"/>
    <w:rsid w:val="005218F2"/>
    <w:rsid w:val="00522DC0"/>
    <w:rsid w:val="0052666F"/>
    <w:rsid w:val="0053293E"/>
    <w:rsid w:val="00540EF3"/>
    <w:rsid w:val="005451D5"/>
    <w:rsid w:val="005518A4"/>
    <w:rsid w:val="0055333E"/>
    <w:rsid w:val="005621EB"/>
    <w:rsid w:val="00581FF2"/>
    <w:rsid w:val="005C1D8E"/>
    <w:rsid w:val="005C3BED"/>
    <w:rsid w:val="005D240A"/>
    <w:rsid w:val="005E2454"/>
    <w:rsid w:val="005E5EE2"/>
    <w:rsid w:val="005E7B33"/>
    <w:rsid w:val="00600CF3"/>
    <w:rsid w:val="00603B8D"/>
    <w:rsid w:val="0060651B"/>
    <w:rsid w:val="00634F2C"/>
    <w:rsid w:val="006354ED"/>
    <w:rsid w:val="00671150"/>
    <w:rsid w:val="0068694D"/>
    <w:rsid w:val="006975EC"/>
    <w:rsid w:val="0069761D"/>
    <w:rsid w:val="006A41CD"/>
    <w:rsid w:val="006C644C"/>
    <w:rsid w:val="006D3173"/>
    <w:rsid w:val="006E0AA9"/>
    <w:rsid w:val="006E69AB"/>
    <w:rsid w:val="007052F9"/>
    <w:rsid w:val="00705B15"/>
    <w:rsid w:val="00706C15"/>
    <w:rsid w:val="007428A5"/>
    <w:rsid w:val="007541E1"/>
    <w:rsid w:val="00760A88"/>
    <w:rsid w:val="007804DA"/>
    <w:rsid w:val="00783FD0"/>
    <w:rsid w:val="007851B8"/>
    <w:rsid w:val="007A0F8C"/>
    <w:rsid w:val="007D2A7A"/>
    <w:rsid w:val="007F5CFA"/>
    <w:rsid w:val="00800AF5"/>
    <w:rsid w:val="00816A52"/>
    <w:rsid w:val="008263F0"/>
    <w:rsid w:val="00842268"/>
    <w:rsid w:val="00843D21"/>
    <w:rsid w:val="008629BE"/>
    <w:rsid w:val="0086784B"/>
    <w:rsid w:val="00883935"/>
    <w:rsid w:val="00885C5A"/>
    <w:rsid w:val="008A4788"/>
    <w:rsid w:val="008A5849"/>
    <w:rsid w:val="008C47F2"/>
    <w:rsid w:val="008C58A6"/>
    <w:rsid w:val="008D08F8"/>
    <w:rsid w:val="00901B00"/>
    <w:rsid w:val="00914518"/>
    <w:rsid w:val="009403D6"/>
    <w:rsid w:val="00944434"/>
    <w:rsid w:val="00951C88"/>
    <w:rsid w:val="00951C89"/>
    <w:rsid w:val="00967FCA"/>
    <w:rsid w:val="00974ECD"/>
    <w:rsid w:val="00980259"/>
    <w:rsid w:val="009978BF"/>
    <w:rsid w:val="009A2009"/>
    <w:rsid w:val="009B161F"/>
    <w:rsid w:val="009B4643"/>
    <w:rsid w:val="009C50A2"/>
    <w:rsid w:val="009C67AA"/>
    <w:rsid w:val="009E1216"/>
    <w:rsid w:val="009E3C59"/>
    <w:rsid w:val="009E4E6F"/>
    <w:rsid w:val="009E72B3"/>
    <w:rsid w:val="009F37DD"/>
    <w:rsid w:val="009F62A8"/>
    <w:rsid w:val="00A01E61"/>
    <w:rsid w:val="00A10204"/>
    <w:rsid w:val="00A455C6"/>
    <w:rsid w:val="00A5362E"/>
    <w:rsid w:val="00A569C8"/>
    <w:rsid w:val="00A80C99"/>
    <w:rsid w:val="00A91253"/>
    <w:rsid w:val="00A9688E"/>
    <w:rsid w:val="00AB00A0"/>
    <w:rsid w:val="00AC5941"/>
    <w:rsid w:val="00AD3F8A"/>
    <w:rsid w:val="00B04C1D"/>
    <w:rsid w:val="00B162F1"/>
    <w:rsid w:val="00B30F93"/>
    <w:rsid w:val="00B362F8"/>
    <w:rsid w:val="00B51651"/>
    <w:rsid w:val="00B93631"/>
    <w:rsid w:val="00BA1AA6"/>
    <w:rsid w:val="00BC42CE"/>
    <w:rsid w:val="00BD745E"/>
    <w:rsid w:val="00BE5081"/>
    <w:rsid w:val="00BF3D4C"/>
    <w:rsid w:val="00BF6A85"/>
    <w:rsid w:val="00BF6B40"/>
    <w:rsid w:val="00C11906"/>
    <w:rsid w:val="00C1208D"/>
    <w:rsid w:val="00C138CD"/>
    <w:rsid w:val="00C20379"/>
    <w:rsid w:val="00C3004D"/>
    <w:rsid w:val="00C40EF5"/>
    <w:rsid w:val="00C454FF"/>
    <w:rsid w:val="00C80B9C"/>
    <w:rsid w:val="00CB0970"/>
    <w:rsid w:val="00CD1D2A"/>
    <w:rsid w:val="00CD1FD0"/>
    <w:rsid w:val="00CE3678"/>
    <w:rsid w:val="00CF3DC9"/>
    <w:rsid w:val="00D00142"/>
    <w:rsid w:val="00D00995"/>
    <w:rsid w:val="00D114A1"/>
    <w:rsid w:val="00D24028"/>
    <w:rsid w:val="00D37639"/>
    <w:rsid w:val="00D51B10"/>
    <w:rsid w:val="00D56355"/>
    <w:rsid w:val="00D67D1B"/>
    <w:rsid w:val="00D81F1C"/>
    <w:rsid w:val="00D83324"/>
    <w:rsid w:val="00D9034E"/>
    <w:rsid w:val="00D941EA"/>
    <w:rsid w:val="00DA2EA9"/>
    <w:rsid w:val="00DC7C63"/>
    <w:rsid w:val="00DE16F2"/>
    <w:rsid w:val="00DE3BD2"/>
    <w:rsid w:val="00DE7869"/>
    <w:rsid w:val="00DF70DD"/>
    <w:rsid w:val="00E00290"/>
    <w:rsid w:val="00E06452"/>
    <w:rsid w:val="00E1144A"/>
    <w:rsid w:val="00E3235A"/>
    <w:rsid w:val="00E36344"/>
    <w:rsid w:val="00E37738"/>
    <w:rsid w:val="00E42885"/>
    <w:rsid w:val="00E468EF"/>
    <w:rsid w:val="00E5528B"/>
    <w:rsid w:val="00E75958"/>
    <w:rsid w:val="00E8015E"/>
    <w:rsid w:val="00EB1B9C"/>
    <w:rsid w:val="00EB54B9"/>
    <w:rsid w:val="00EB7F5D"/>
    <w:rsid w:val="00EC5DA6"/>
    <w:rsid w:val="00ED22AF"/>
    <w:rsid w:val="00EE02DF"/>
    <w:rsid w:val="00EF631A"/>
    <w:rsid w:val="00EF753B"/>
    <w:rsid w:val="00F00C10"/>
    <w:rsid w:val="00F11B48"/>
    <w:rsid w:val="00F134A3"/>
    <w:rsid w:val="00F3501B"/>
    <w:rsid w:val="00F407B9"/>
    <w:rsid w:val="00F41EA5"/>
    <w:rsid w:val="00F46D39"/>
    <w:rsid w:val="00F60C92"/>
    <w:rsid w:val="00F623D5"/>
    <w:rsid w:val="00F62837"/>
    <w:rsid w:val="00F640AD"/>
    <w:rsid w:val="00F67656"/>
    <w:rsid w:val="00F7616B"/>
    <w:rsid w:val="00F85AC1"/>
    <w:rsid w:val="00F95BCA"/>
    <w:rsid w:val="00FA4423"/>
    <w:rsid w:val="00FD0FE1"/>
    <w:rsid w:val="00FF04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F21ADC"/>
  <w15:chartTrackingRefBased/>
  <w15:docId w15:val="{DD69CE5E-6B19-184B-9ED3-E531156A3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of Text"/>
    <w:qFormat/>
    <w:rsid w:val="00974ECD"/>
    <w:pPr>
      <w:spacing w:after="240"/>
    </w:pPr>
    <w:rPr>
      <w:rFonts w:ascii="Arial" w:hAnsi="Arial"/>
      <w:sz w:val="24"/>
      <w:szCs w:val="24"/>
      <w:lang w:val="en-CA"/>
    </w:rPr>
  </w:style>
  <w:style w:type="paragraph" w:styleId="Heading1">
    <w:name w:val="heading 1"/>
    <w:basedOn w:val="Normal"/>
    <w:next w:val="Normal"/>
    <w:link w:val="Heading1Char"/>
    <w:uiPriority w:val="9"/>
    <w:qFormat/>
    <w:rsid w:val="006E69AB"/>
    <w:pPr>
      <w:numPr>
        <w:numId w:val="1"/>
      </w:numPr>
      <w:spacing w:after="0"/>
      <w:outlineLvl w:val="0"/>
    </w:pPr>
    <w:rPr>
      <w:rFonts w:eastAsia="DengXian Light" w:cs="Microsoft Sans Serif"/>
      <w:b/>
      <w:color w:val="8B2332"/>
      <w:spacing w:val="-10"/>
      <w:kern w:val="28"/>
      <w:sz w:val="36"/>
      <w:szCs w:val="56"/>
    </w:rPr>
  </w:style>
  <w:style w:type="paragraph" w:styleId="Heading2">
    <w:name w:val="heading 2"/>
    <w:next w:val="Normal"/>
    <w:link w:val="Heading2Char"/>
    <w:uiPriority w:val="9"/>
    <w:unhideWhenUsed/>
    <w:qFormat/>
    <w:rsid w:val="00C11906"/>
    <w:pPr>
      <w:numPr>
        <w:ilvl w:val="1"/>
        <w:numId w:val="1"/>
      </w:numPr>
      <w:spacing w:after="240"/>
      <w:outlineLvl w:val="1"/>
    </w:pPr>
    <w:rPr>
      <w:rFonts w:ascii="Arial" w:eastAsia="DengXian Light" w:hAnsi="Arial"/>
      <w:b/>
      <w:color w:val="8B2332"/>
      <w:spacing w:val="-10"/>
      <w:kern w:val="28"/>
      <w:sz w:val="28"/>
      <w:szCs w:val="28"/>
      <w:lang w:val="en-CA"/>
    </w:rPr>
  </w:style>
  <w:style w:type="paragraph" w:styleId="Heading3">
    <w:name w:val="heading 3"/>
    <w:basedOn w:val="Heading2"/>
    <w:next w:val="Normal"/>
    <w:link w:val="Heading3Char"/>
    <w:uiPriority w:val="9"/>
    <w:unhideWhenUsed/>
    <w:qFormat/>
    <w:rsid w:val="00C11906"/>
    <w:pPr>
      <w:numPr>
        <w:ilvl w:val="2"/>
      </w:numPr>
      <w:outlineLvl w:val="2"/>
    </w:pPr>
    <w:rPr>
      <w:sz w:val="24"/>
    </w:rPr>
  </w:style>
  <w:style w:type="paragraph" w:styleId="Heading4">
    <w:name w:val="heading 4"/>
    <w:next w:val="Normal"/>
    <w:link w:val="Heading4Char"/>
    <w:uiPriority w:val="9"/>
    <w:unhideWhenUsed/>
    <w:rsid w:val="00BA1AA6"/>
    <w:pPr>
      <w:numPr>
        <w:ilvl w:val="3"/>
        <w:numId w:val="1"/>
      </w:numPr>
      <w:spacing w:after="240"/>
      <w:outlineLvl w:val="3"/>
    </w:pPr>
    <w:rPr>
      <w:rFonts w:ascii="Arial" w:eastAsia="DengXian Light" w:hAnsi="Arial"/>
      <w:color w:val="8B2332"/>
      <w:spacing w:val="-10"/>
      <w:kern w:val="28"/>
      <w:sz w:val="24"/>
      <w:szCs w:val="28"/>
      <w:lang w:val="en-CA"/>
    </w:rPr>
  </w:style>
  <w:style w:type="paragraph" w:styleId="Heading5">
    <w:name w:val="heading 5"/>
    <w:basedOn w:val="Normal"/>
    <w:next w:val="Normal"/>
    <w:link w:val="Heading5Char"/>
    <w:uiPriority w:val="9"/>
    <w:unhideWhenUsed/>
    <w:rsid w:val="0060651B"/>
    <w:pPr>
      <w:keepNext/>
      <w:keepLines/>
      <w:spacing w:before="40" w:after="0"/>
      <w:outlineLvl w:val="4"/>
    </w:pPr>
    <w:rPr>
      <w:rFonts w:ascii="Calibri Light" w:eastAsia="DengXian Light" w:hAnsi="Calibri Light" w:cs="Times New Roman"/>
      <w:color w:val="2F5496"/>
    </w:rPr>
  </w:style>
  <w:style w:type="paragraph" w:styleId="Heading6">
    <w:name w:val="heading 6"/>
    <w:basedOn w:val="Normal"/>
    <w:next w:val="Normal"/>
    <w:link w:val="Heading6Char"/>
    <w:uiPriority w:val="9"/>
    <w:unhideWhenUsed/>
    <w:rsid w:val="0060651B"/>
    <w:pPr>
      <w:keepNext/>
      <w:keepLines/>
      <w:spacing w:before="40" w:after="0"/>
      <w:outlineLvl w:val="5"/>
    </w:pPr>
    <w:rPr>
      <w:rFonts w:ascii="Calibri Light" w:eastAsia="DengXian Light" w:hAnsi="Calibri Light" w:cs="Times New Roman"/>
      <w:color w:val="1F376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BA1AA6"/>
    <w:rPr>
      <w:sz w:val="20"/>
      <w:szCs w:val="20"/>
    </w:rPr>
  </w:style>
  <w:style w:type="character" w:customStyle="1" w:styleId="CommentTextChar">
    <w:name w:val="Comment Text Char"/>
    <w:link w:val="CommentText"/>
    <w:uiPriority w:val="99"/>
    <w:semiHidden/>
    <w:rsid w:val="00BA1AA6"/>
    <w:rPr>
      <w:rFonts w:ascii="Arial" w:hAnsi="Arial" w:cs="Arial"/>
      <w:sz w:val="20"/>
      <w:szCs w:val="20"/>
    </w:rPr>
  </w:style>
  <w:style w:type="paragraph" w:styleId="ListParagraph">
    <w:name w:val="List Paragraph"/>
    <w:aliases w:val="Bullets"/>
    <w:basedOn w:val="Normal"/>
    <w:uiPriority w:val="34"/>
    <w:qFormat/>
    <w:rsid w:val="00DE7869"/>
    <w:pPr>
      <w:ind w:left="720"/>
      <w:contextualSpacing/>
    </w:pPr>
  </w:style>
  <w:style w:type="paragraph" w:customStyle="1" w:styleId="TableofContentsTitle">
    <w:name w:val="Table of Contents Title"/>
    <w:basedOn w:val="Normal"/>
    <w:rsid w:val="00C11906"/>
    <w:rPr>
      <w:rFonts w:ascii="Microsoft Sans Serif" w:hAnsi="Microsoft Sans Serif" w:cs="Microsoft Sans Serif"/>
      <w:b/>
      <w:color w:val="7E2F36"/>
      <w:sz w:val="44"/>
    </w:rPr>
  </w:style>
  <w:style w:type="numbering" w:styleId="111111">
    <w:name w:val="Outline List 2"/>
    <w:basedOn w:val="NoList"/>
    <w:uiPriority w:val="99"/>
    <w:semiHidden/>
    <w:unhideWhenUsed/>
    <w:rsid w:val="00DE7869"/>
    <w:pPr>
      <w:numPr>
        <w:numId w:val="2"/>
      </w:numPr>
    </w:pPr>
  </w:style>
  <w:style w:type="paragraph" w:customStyle="1" w:styleId="TableofContentsHeading">
    <w:name w:val="Table of Contents Heading"/>
    <w:basedOn w:val="Normal"/>
    <w:qFormat/>
    <w:rsid w:val="002F1206"/>
    <w:rPr>
      <w:b/>
      <w:color w:val="7E2F36"/>
      <w:sz w:val="44"/>
    </w:rPr>
  </w:style>
  <w:style w:type="paragraph" w:styleId="Footer">
    <w:name w:val="footer"/>
    <w:basedOn w:val="Normal"/>
    <w:link w:val="FooterChar"/>
    <w:unhideWhenUsed/>
    <w:rsid w:val="001A6990"/>
    <w:pPr>
      <w:tabs>
        <w:tab w:val="center" w:pos="4680"/>
        <w:tab w:val="right" w:pos="9360"/>
      </w:tabs>
      <w:spacing w:after="0"/>
    </w:pPr>
  </w:style>
  <w:style w:type="character" w:customStyle="1" w:styleId="FooterChar">
    <w:name w:val="Footer Char"/>
    <w:link w:val="Footer"/>
    <w:uiPriority w:val="99"/>
    <w:rsid w:val="001A6990"/>
    <w:rPr>
      <w:rFonts w:ascii="Arial" w:hAnsi="Arial" w:cs="Arial"/>
    </w:rPr>
  </w:style>
  <w:style w:type="character" w:customStyle="1" w:styleId="Heading2Char">
    <w:name w:val="Heading 2 Char"/>
    <w:link w:val="Heading2"/>
    <w:uiPriority w:val="9"/>
    <w:rsid w:val="00C11906"/>
    <w:rPr>
      <w:rFonts w:ascii="Arial" w:eastAsia="DengXian Light" w:hAnsi="Arial"/>
      <w:b/>
      <w:color w:val="8B2332"/>
      <w:spacing w:val="-10"/>
      <w:kern w:val="28"/>
      <w:sz w:val="28"/>
      <w:szCs w:val="28"/>
      <w:lang w:val="en-CA"/>
    </w:rPr>
  </w:style>
  <w:style w:type="character" w:customStyle="1" w:styleId="Heading1Char">
    <w:name w:val="Heading 1 Char"/>
    <w:link w:val="Heading1"/>
    <w:uiPriority w:val="9"/>
    <w:rsid w:val="006E69AB"/>
    <w:rPr>
      <w:rFonts w:ascii="Arial" w:eastAsia="DengXian Light" w:hAnsi="Arial" w:cs="Microsoft Sans Serif"/>
      <w:b/>
      <w:color w:val="8B2332"/>
      <w:spacing w:val="-10"/>
      <w:kern w:val="28"/>
      <w:sz w:val="36"/>
      <w:szCs w:val="56"/>
      <w:lang w:val="en-CA"/>
    </w:rPr>
  </w:style>
  <w:style w:type="paragraph" w:styleId="Header">
    <w:name w:val="header"/>
    <w:basedOn w:val="Normal"/>
    <w:link w:val="HeaderChar"/>
    <w:unhideWhenUsed/>
    <w:rsid w:val="001A6990"/>
    <w:pPr>
      <w:tabs>
        <w:tab w:val="center" w:pos="4680"/>
        <w:tab w:val="right" w:pos="9360"/>
      </w:tabs>
      <w:spacing w:after="0"/>
    </w:pPr>
  </w:style>
  <w:style w:type="character" w:customStyle="1" w:styleId="HeaderChar">
    <w:name w:val="Header Char"/>
    <w:link w:val="Header"/>
    <w:rsid w:val="001A6990"/>
    <w:rPr>
      <w:rFonts w:ascii="Arial" w:hAnsi="Arial" w:cs="Arial"/>
    </w:rPr>
  </w:style>
  <w:style w:type="character" w:customStyle="1" w:styleId="Heading3Char">
    <w:name w:val="Heading 3 Char"/>
    <w:link w:val="Heading3"/>
    <w:uiPriority w:val="9"/>
    <w:rsid w:val="00C11906"/>
    <w:rPr>
      <w:rFonts w:ascii="Arial" w:eastAsia="DengXian Light" w:hAnsi="Arial"/>
      <w:b/>
      <w:color w:val="8B2332"/>
      <w:spacing w:val="-10"/>
      <w:kern w:val="28"/>
      <w:sz w:val="24"/>
      <w:szCs w:val="28"/>
      <w:lang w:val="en-CA"/>
    </w:rPr>
  </w:style>
  <w:style w:type="character" w:customStyle="1" w:styleId="Heading4Char">
    <w:name w:val="Heading 4 Char"/>
    <w:link w:val="Heading4"/>
    <w:uiPriority w:val="9"/>
    <w:rsid w:val="00BA1AA6"/>
    <w:rPr>
      <w:rFonts w:ascii="Arial" w:eastAsia="DengXian Light" w:hAnsi="Arial"/>
      <w:color w:val="8B2332"/>
      <w:spacing w:val="-10"/>
      <w:kern w:val="28"/>
      <w:sz w:val="24"/>
      <w:szCs w:val="28"/>
      <w:lang w:val="en-CA"/>
    </w:rPr>
  </w:style>
  <w:style w:type="character" w:customStyle="1" w:styleId="Heading5Char">
    <w:name w:val="Heading 5 Char"/>
    <w:link w:val="Heading5"/>
    <w:uiPriority w:val="9"/>
    <w:rsid w:val="0060651B"/>
    <w:rPr>
      <w:rFonts w:ascii="Calibri Light" w:eastAsia="DengXian Light" w:hAnsi="Calibri Light" w:cs="Times New Roman"/>
      <w:color w:val="2F5496"/>
    </w:rPr>
  </w:style>
  <w:style w:type="character" w:customStyle="1" w:styleId="Heading6Char">
    <w:name w:val="Heading 6 Char"/>
    <w:link w:val="Heading6"/>
    <w:uiPriority w:val="9"/>
    <w:rsid w:val="0060651B"/>
    <w:rPr>
      <w:rFonts w:ascii="Calibri Light" w:eastAsia="DengXian Light" w:hAnsi="Calibri Light" w:cs="Times New Roman"/>
      <w:color w:val="1F3763"/>
    </w:rPr>
  </w:style>
  <w:style w:type="paragraph" w:styleId="TOC2">
    <w:name w:val="toc 2"/>
    <w:basedOn w:val="Normal"/>
    <w:next w:val="Normal"/>
    <w:autoRedefine/>
    <w:uiPriority w:val="39"/>
    <w:unhideWhenUsed/>
    <w:rsid w:val="00C11906"/>
    <w:pPr>
      <w:spacing w:before="120" w:after="0"/>
      <w:ind w:left="240"/>
    </w:pPr>
    <w:rPr>
      <w:bCs/>
      <w:szCs w:val="22"/>
    </w:rPr>
  </w:style>
  <w:style w:type="paragraph" w:styleId="TOC1">
    <w:name w:val="toc 1"/>
    <w:basedOn w:val="Normal"/>
    <w:next w:val="Normal"/>
    <w:autoRedefine/>
    <w:uiPriority w:val="39"/>
    <w:unhideWhenUsed/>
    <w:rsid w:val="00E75958"/>
    <w:pPr>
      <w:tabs>
        <w:tab w:val="left" w:pos="475"/>
        <w:tab w:val="right" w:leader="dot" w:pos="9350"/>
      </w:tabs>
      <w:spacing w:before="120" w:after="0"/>
    </w:pPr>
    <w:rPr>
      <w:rFonts w:ascii="Microsoft Sans Serif" w:hAnsi="Microsoft Sans Serif"/>
      <w:b/>
      <w:bCs/>
      <w:iCs/>
    </w:rPr>
  </w:style>
  <w:style w:type="paragraph" w:styleId="TOC3">
    <w:name w:val="toc 3"/>
    <w:basedOn w:val="Normal"/>
    <w:next w:val="Normal"/>
    <w:autoRedefine/>
    <w:uiPriority w:val="39"/>
    <w:unhideWhenUsed/>
    <w:rsid w:val="00C11906"/>
    <w:pPr>
      <w:spacing w:before="120" w:after="0"/>
      <w:ind w:left="475"/>
    </w:pPr>
    <w:rPr>
      <w:szCs w:val="20"/>
    </w:rPr>
  </w:style>
  <w:style w:type="paragraph" w:styleId="TOC4">
    <w:name w:val="toc 4"/>
    <w:basedOn w:val="Normal"/>
    <w:next w:val="Normal"/>
    <w:autoRedefine/>
    <w:uiPriority w:val="39"/>
    <w:unhideWhenUsed/>
    <w:rsid w:val="009E4E6F"/>
    <w:pPr>
      <w:spacing w:after="0"/>
      <w:ind w:left="720"/>
    </w:pPr>
    <w:rPr>
      <w:rFonts w:ascii="Calibri" w:hAnsi="Calibri"/>
      <w:sz w:val="20"/>
      <w:szCs w:val="20"/>
    </w:rPr>
  </w:style>
  <w:style w:type="paragraph" w:styleId="TOC5">
    <w:name w:val="toc 5"/>
    <w:basedOn w:val="Normal"/>
    <w:next w:val="Normal"/>
    <w:autoRedefine/>
    <w:uiPriority w:val="39"/>
    <w:unhideWhenUsed/>
    <w:rsid w:val="009E4E6F"/>
    <w:pPr>
      <w:spacing w:after="0"/>
      <w:ind w:left="960"/>
    </w:pPr>
    <w:rPr>
      <w:rFonts w:ascii="Calibri" w:hAnsi="Calibri"/>
      <w:sz w:val="20"/>
      <w:szCs w:val="20"/>
    </w:rPr>
  </w:style>
  <w:style w:type="paragraph" w:customStyle="1" w:styleId="SGLSource">
    <w:name w:val="SGL_Source"/>
    <w:basedOn w:val="Normal"/>
    <w:qFormat/>
    <w:rsid w:val="00D51B10"/>
    <w:rPr>
      <w:color w:val="BFBFBF"/>
    </w:rPr>
  </w:style>
  <w:style w:type="paragraph" w:customStyle="1" w:styleId="SGLFigure">
    <w:name w:val="SGL_Figure"/>
    <w:basedOn w:val="Normal"/>
    <w:qFormat/>
    <w:rsid w:val="00D51B10"/>
    <w:pPr>
      <w:spacing w:after="0"/>
    </w:pPr>
    <w:rPr>
      <w:noProof/>
      <w:lang w:eastAsia="en-CA"/>
    </w:rPr>
  </w:style>
  <w:style w:type="character" w:styleId="Hyperlink">
    <w:name w:val="Hyperlink"/>
    <w:uiPriority w:val="99"/>
    <w:unhideWhenUsed/>
    <w:rsid w:val="009E4E6F"/>
    <w:rPr>
      <w:color w:val="0563C1"/>
      <w:u w:val="single"/>
    </w:rPr>
  </w:style>
  <w:style w:type="character" w:styleId="CommentReference">
    <w:name w:val="annotation reference"/>
    <w:uiPriority w:val="99"/>
    <w:semiHidden/>
    <w:unhideWhenUsed/>
    <w:rsid w:val="00F67656"/>
    <w:rPr>
      <w:sz w:val="16"/>
      <w:szCs w:val="16"/>
    </w:rPr>
  </w:style>
  <w:style w:type="paragraph" w:styleId="CommentSubject">
    <w:name w:val="annotation subject"/>
    <w:basedOn w:val="Normal"/>
    <w:next w:val="Normal"/>
    <w:link w:val="CommentSubjectChar"/>
    <w:uiPriority w:val="99"/>
    <w:semiHidden/>
    <w:unhideWhenUsed/>
    <w:rsid w:val="003504AF"/>
    <w:rPr>
      <w:b/>
      <w:bCs/>
      <w:sz w:val="20"/>
      <w:szCs w:val="20"/>
    </w:rPr>
  </w:style>
  <w:style w:type="character" w:customStyle="1" w:styleId="CommentSubjectChar">
    <w:name w:val="Comment Subject Char"/>
    <w:link w:val="CommentSubject"/>
    <w:uiPriority w:val="99"/>
    <w:semiHidden/>
    <w:rsid w:val="003504AF"/>
    <w:rPr>
      <w:rFonts w:ascii="Arial" w:hAnsi="Arial" w:cs="Arial"/>
      <w:b/>
      <w:bCs/>
      <w:sz w:val="20"/>
      <w:szCs w:val="20"/>
    </w:rPr>
  </w:style>
  <w:style w:type="paragraph" w:styleId="BalloonText">
    <w:name w:val="Balloon Text"/>
    <w:basedOn w:val="Normal"/>
    <w:link w:val="BalloonTextChar"/>
    <w:uiPriority w:val="99"/>
    <w:semiHidden/>
    <w:unhideWhenUsed/>
    <w:rsid w:val="00F67656"/>
    <w:pPr>
      <w:spacing w:after="0"/>
    </w:pPr>
    <w:rPr>
      <w:rFonts w:ascii="Times New Roman" w:hAnsi="Times New Roman" w:cs="Times New Roman"/>
      <w:sz w:val="18"/>
      <w:szCs w:val="18"/>
    </w:rPr>
  </w:style>
  <w:style w:type="character" w:customStyle="1" w:styleId="BalloonTextChar">
    <w:name w:val="Balloon Text Char"/>
    <w:link w:val="BalloonText"/>
    <w:uiPriority w:val="99"/>
    <w:semiHidden/>
    <w:rsid w:val="00F67656"/>
    <w:rPr>
      <w:rFonts w:ascii="Times New Roman" w:hAnsi="Times New Roman" w:cs="Times New Roman"/>
      <w:sz w:val="18"/>
      <w:szCs w:val="18"/>
    </w:rPr>
  </w:style>
  <w:style w:type="paragraph" w:customStyle="1" w:styleId="SGLFigureHeading">
    <w:name w:val="SGL_Figure Heading"/>
    <w:basedOn w:val="Normal"/>
    <w:qFormat/>
    <w:rsid w:val="00BA1AA6"/>
    <w:pPr>
      <w:spacing w:after="0"/>
    </w:pPr>
    <w:rPr>
      <w:b/>
    </w:rPr>
  </w:style>
  <w:style w:type="table" w:styleId="TableGrid">
    <w:name w:val="Table Grid"/>
    <w:basedOn w:val="TableNormal"/>
    <w:uiPriority w:val="39"/>
    <w:rsid w:val="00780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70D54"/>
    <w:rPr>
      <w:rFonts w:ascii="Arial" w:hAnsi="Arial"/>
      <w:sz w:val="24"/>
      <w:szCs w:val="24"/>
      <w:lang w:val="en-CA"/>
    </w:rPr>
  </w:style>
  <w:style w:type="paragraph" w:customStyle="1" w:styleId="TOC40">
    <w:name w:val="TOC4"/>
    <w:basedOn w:val="Normal"/>
    <w:next w:val="Normal"/>
    <w:rsid w:val="00022B36"/>
    <w:rPr>
      <w:rFonts w:ascii="Microsoft Sans Serif" w:hAnsi="Microsoft Sans Serif"/>
      <w:b/>
    </w:rPr>
  </w:style>
  <w:style w:type="paragraph" w:customStyle="1" w:styleId="SGLquote">
    <w:name w:val="SGL_quote"/>
    <w:basedOn w:val="Normal"/>
    <w:qFormat/>
    <w:rsid w:val="003504AF"/>
    <w:pPr>
      <w:ind w:left="1267" w:right="288" w:hanging="547"/>
    </w:pPr>
  </w:style>
  <w:style w:type="paragraph" w:customStyle="1" w:styleId="SGLConfornityConsistancy">
    <w:name w:val="SGL_Confornity Consistancy"/>
    <w:basedOn w:val="Normal"/>
    <w:qFormat/>
    <w:rsid w:val="003504AF"/>
    <w:pPr>
      <w:ind w:left="720" w:right="288"/>
    </w:pPr>
  </w:style>
  <w:style w:type="paragraph" w:customStyle="1" w:styleId="Date1">
    <w:name w:val="Date1"/>
    <w:basedOn w:val="Normal"/>
    <w:rsid w:val="004A227E"/>
    <w:pPr>
      <w:spacing w:after="0"/>
    </w:pPr>
    <w:rPr>
      <w:rFonts w:ascii="Palatino" w:eastAsia="Times New Roman" w:hAnsi="Palatino" w:cs="Times New Roman"/>
      <w:sz w:val="22"/>
      <w:szCs w:val="20"/>
      <w:lang w:val="en-GB"/>
    </w:rPr>
  </w:style>
  <w:style w:type="paragraph" w:customStyle="1" w:styleId="headerinfo">
    <w:name w:val="header info"/>
    <w:aliases w:val="hi"/>
    <w:basedOn w:val="Normal"/>
    <w:rsid w:val="004A227E"/>
    <w:pPr>
      <w:tabs>
        <w:tab w:val="left" w:pos="1260"/>
      </w:tabs>
      <w:spacing w:after="120" w:line="240" w:lineRule="atLeast"/>
    </w:pPr>
    <w:rPr>
      <w:rFonts w:ascii="Times" w:eastAsia="Times New Roman" w:hAnsi="Times" w:cs="Times New Roman"/>
      <w:szCs w:val="20"/>
      <w:lang w:val="en-GB"/>
    </w:rPr>
  </w:style>
  <w:style w:type="paragraph" w:customStyle="1" w:styleId="Default">
    <w:name w:val="Default"/>
    <w:rsid w:val="002B28F1"/>
    <w:pPr>
      <w:autoSpaceDE w:val="0"/>
      <w:autoSpaceDN w:val="0"/>
      <w:adjustRightInd w:val="0"/>
    </w:pPr>
    <w:rPr>
      <w:rFonts w:ascii="Arial" w:eastAsiaTheme="minorHAnsi" w:hAnsi="Arial"/>
      <w:color w:val="000000"/>
      <w:sz w:val="24"/>
      <w:szCs w:val="24"/>
    </w:rPr>
  </w:style>
  <w:style w:type="paragraph" w:styleId="BodyText">
    <w:name w:val="Body Text"/>
    <w:basedOn w:val="Normal"/>
    <w:link w:val="BodyTextChar"/>
    <w:uiPriority w:val="1"/>
    <w:qFormat/>
    <w:rsid w:val="00BD745E"/>
    <w:pPr>
      <w:widowControl w:val="0"/>
      <w:autoSpaceDE w:val="0"/>
      <w:autoSpaceDN w:val="0"/>
      <w:spacing w:after="0"/>
    </w:pPr>
    <w:rPr>
      <w:rFonts w:eastAsia="Arial"/>
      <w:sz w:val="22"/>
      <w:szCs w:val="22"/>
      <w:lang w:val="en-US"/>
    </w:rPr>
  </w:style>
  <w:style w:type="character" w:customStyle="1" w:styleId="BodyTextChar">
    <w:name w:val="Body Text Char"/>
    <w:basedOn w:val="DefaultParagraphFont"/>
    <w:link w:val="BodyText"/>
    <w:uiPriority w:val="1"/>
    <w:rsid w:val="00BD745E"/>
    <w:rPr>
      <w:rFonts w:ascii="Arial" w:eastAsia="Arial" w:hAnsi="Arial"/>
      <w:sz w:val="22"/>
      <w:szCs w:val="22"/>
    </w:rPr>
  </w:style>
  <w:style w:type="character" w:styleId="UnresolvedMention">
    <w:name w:val="Unresolved Mention"/>
    <w:basedOn w:val="DefaultParagraphFont"/>
    <w:uiPriority w:val="99"/>
    <w:semiHidden/>
    <w:unhideWhenUsed/>
    <w:rsid w:val="00BD745E"/>
    <w:rPr>
      <w:color w:val="605E5C"/>
      <w:shd w:val="clear" w:color="auto" w:fill="E1DFDD"/>
    </w:rPr>
  </w:style>
  <w:style w:type="character" w:styleId="HTMLCite">
    <w:name w:val="HTML Cite"/>
    <w:basedOn w:val="DefaultParagraphFont"/>
    <w:uiPriority w:val="99"/>
    <w:semiHidden/>
    <w:unhideWhenUsed/>
    <w:rsid w:val="00A569C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826427">
      <w:bodyDiv w:val="1"/>
      <w:marLeft w:val="0"/>
      <w:marRight w:val="0"/>
      <w:marTop w:val="0"/>
      <w:marBottom w:val="0"/>
      <w:divBdr>
        <w:top w:val="none" w:sz="0" w:space="0" w:color="auto"/>
        <w:left w:val="none" w:sz="0" w:space="0" w:color="auto"/>
        <w:bottom w:val="none" w:sz="0" w:space="0" w:color="auto"/>
        <w:right w:val="none" w:sz="0" w:space="0" w:color="auto"/>
      </w:divBdr>
    </w:div>
    <w:div w:id="1641182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7676DFA-B995-314A-960D-C56243FCE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853</Words>
  <Characters>4868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Report Title</vt:lpstr>
    </vt:vector>
  </TitlesOfParts>
  <Manager/>
  <Company/>
  <LinksUpToDate>false</LinksUpToDate>
  <CharactersWithSpaces>5710</CharactersWithSpaces>
  <SharedDoc>false</SharedDoc>
  <HyperlinkBase/>
  <HLinks>
    <vt:vector size="90" baseType="variant">
      <vt:variant>
        <vt:i4>2359302</vt:i4>
      </vt:variant>
      <vt:variant>
        <vt:i4>86</vt:i4>
      </vt:variant>
      <vt:variant>
        <vt:i4>0</vt:i4>
      </vt:variant>
      <vt:variant>
        <vt:i4>5</vt:i4>
      </vt:variant>
      <vt:variant>
        <vt:lpwstr/>
      </vt:variant>
      <vt:variant>
        <vt:lpwstr>_Toc3209583</vt:lpwstr>
      </vt:variant>
      <vt:variant>
        <vt:i4>2359302</vt:i4>
      </vt:variant>
      <vt:variant>
        <vt:i4>80</vt:i4>
      </vt:variant>
      <vt:variant>
        <vt:i4>0</vt:i4>
      </vt:variant>
      <vt:variant>
        <vt:i4>5</vt:i4>
      </vt:variant>
      <vt:variant>
        <vt:lpwstr/>
      </vt:variant>
      <vt:variant>
        <vt:lpwstr>_Toc3209582</vt:lpwstr>
      </vt:variant>
      <vt:variant>
        <vt:i4>2359302</vt:i4>
      </vt:variant>
      <vt:variant>
        <vt:i4>74</vt:i4>
      </vt:variant>
      <vt:variant>
        <vt:i4>0</vt:i4>
      </vt:variant>
      <vt:variant>
        <vt:i4>5</vt:i4>
      </vt:variant>
      <vt:variant>
        <vt:lpwstr/>
      </vt:variant>
      <vt:variant>
        <vt:lpwstr>_Toc3209581</vt:lpwstr>
      </vt:variant>
      <vt:variant>
        <vt:i4>2359302</vt:i4>
      </vt:variant>
      <vt:variant>
        <vt:i4>68</vt:i4>
      </vt:variant>
      <vt:variant>
        <vt:i4>0</vt:i4>
      </vt:variant>
      <vt:variant>
        <vt:i4>5</vt:i4>
      </vt:variant>
      <vt:variant>
        <vt:lpwstr/>
      </vt:variant>
      <vt:variant>
        <vt:lpwstr>_Toc3209580</vt:lpwstr>
      </vt:variant>
      <vt:variant>
        <vt:i4>2818054</vt:i4>
      </vt:variant>
      <vt:variant>
        <vt:i4>62</vt:i4>
      </vt:variant>
      <vt:variant>
        <vt:i4>0</vt:i4>
      </vt:variant>
      <vt:variant>
        <vt:i4>5</vt:i4>
      </vt:variant>
      <vt:variant>
        <vt:lpwstr/>
      </vt:variant>
      <vt:variant>
        <vt:lpwstr>_Toc3209579</vt:lpwstr>
      </vt:variant>
      <vt:variant>
        <vt:i4>2818054</vt:i4>
      </vt:variant>
      <vt:variant>
        <vt:i4>56</vt:i4>
      </vt:variant>
      <vt:variant>
        <vt:i4>0</vt:i4>
      </vt:variant>
      <vt:variant>
        <vt:i4>5</vt:i4>
      </vt:variant>
      <vt:variant>
        <vt:lpwstr/>
      </vt:variant>
      <vt:variant>
        <vt:lpwstr>_Toc3209578</vt:lpwstr>
      </vt:variant>
      <vt:variant>
        <vt:i4>2818054</vt:i4>
      </vt:variant>
      <vt:variant>
        <vt:i4>50</vt:i4>
      </vt:variant>
      <vt:variant>
        <vt:i4>0</vt:i4>
      </vt:variant>
      <vt:variant>
        <vt:i4>5</vt:i4>
      </vt:variant>
      <vt:variant>
        <vt:lpwstr/>
      </vt:variant>
      <vt:variant>
        <vt:lpwstr>_Toc3209577</vt:lpwstr>
      </vt:variant>
      <vt:variant>
        <vt:i4>2818054</vt:i4>
      </vt:variant>
      <vt:variant>
        <vt:i4>44</vt:i4>
      </vt:variant>
      <vt:variant>
        <vt:i4>0</vt:i4>
      </vt:variant>
      <vt:variant>
        <vt:i4>5</vt:i4>
      </vt:variant>
      <vt:variant>
        <vt:lpwstr/>
      </vt:variant>
      <vt:variant>
        <vt:lpwstr>_Toc3209576</vt:lpwstr>
      </vt:variant>
      <vt:variant>
        <vt:i4>2818054</vt:i4>
      </vt:variant>
      <vt:variant>
        <vt:i4>38</vt:i4>
      </vt:variant>
      <vt:variant>
        <vt:i4>0</vt:i4>
      </vt:variant>
      <vt:variant>
        <vt:i4>5</vt:i4>
      </vt:variant>
      <vt:variant>
        <vt:lpwstr/>
      </vt:variant>
      <vt:variant>
        <vt:lpwstr>_Toc3209575</vt:lpwstr>
      </vt:variant>
      <vt:variant>
        <vt:i4>2818054</vt:i4>
      </vt:variant>
      <vt:variant>
        <vt:i4>32</vt:i4>
      </vt:variant>
      <vt:variant>
        <vt:i4>0</vt:i4>
      </vt:variant>
      <vt:variant>
        <vt:i4>5</vt:i4>
      </vt:variant>
      <vt:variant>
        <vt:lpwstr/>
      </vt:variant>
      <vt:variant>
        <vt:lpwstr>_Toc3209574</vt:lpwstr>
      </vt:variant>
      <vt:variant>
        <vt:i4>2818054</vt:i4>
      </vt:variant>
      <vt:variant>
        <vt:i4>26</vt:i4>
      </vt:variant>
      <vt:variant>
        <vt:i4>0</vt:i4>
      </vt:variant>
      <vt:variant>
        <vt:i4>5</vt:i4>
      </vt:variant>
      <vt:variant>
        <vt:lpwstr/>
      </vt:variant>
      <vt:variant>
        <vt:lpwstr>_Toc3209573</vt:lpwstr>
      </vt:variant>
      <vt:variant>
        <vt:i4>2818054</vt:i4>
      </vt:variant>
      <vt:variant>
        <vt:i4>20</vt:i4>
      </vt:variant>
      <vt:variant>
        <vt:i4>0</vt:i4>
      </vt:variant>
      <vt:variant>
        <vt:i4>5</vt:i4>
      </vt:variant>
      <vt:variant>
        <vt:lpwstr/>
      </vt:variant>
      <vt:variant>
        <vt:lpwstr>_Toc3209572</vt:lpwstr>
      </vt:variant>
      <vt:variant>
        <vt:i4>2818054</vt:i4>
      </vt:variant>
      <vt:variant>
        <vt:i4>14</vt:i4>
      </vt:variant>
      <vt:variant>
        <vt:i4>0</vt:i4>
      </vt:variant>
      <vt:variant>
        <vt:i4>5</vt:i4>
      </vt:variant>
      <vt:variant>
        <vt:lpwstr/>
      </vt:variant>
      <vt:variant>
        <vt:lpwstr>_Toc3209571</vt:lpwstr>
      </vt:variant>
      <vt:variant>
        <vt:i4>2818054</vt:i4>
      </vt:variant>
      <vt:variant>
        <vt:i4>8</vt:i4>
      </vt:variant>
      <vt:variant>
        <vt:i4>0</vt:i4>
      </vt:variant>
      <vt:variant>
        <vt:i4>5</vt:i4>
      </vt:variant>
      <vt:variant>
        <vt:lpwstr/>
      </vt:variant>
      <vt:variant>
        <vt:lpwstr>_Toc3209570</vt:lpwstr>
      </vt:variant>
      <vt:variant>
        <vt:i4>2752518</vt:i4>
      </vt:variant>
      <vt:variant>
        <vt:i4>2</vt:i4>
      </vt:variant>
      <vt:variant>
        <vt:i4>0</vt:i4>
      </vt:variant>
      <vt:variant>
        <vt:i4>5</vt:i4>
      </vt:variant>
      <vt:variant>
        <vt:lpwstr/>
      </vt:variant>
      <vt:variant>
        <vt:lpwstr>_Toc3209569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Title</dc:title>
  <dc:subject/>
  <dc:creator>Microsoft Office User</dc:creator>
  <cp:keywords/>
  <dc:description/>
  <cp:lastModifiedBy>Tim Cane</cp:lastModifiedBy>
  <cp:revision>3</cp:revision>
  <cp:lastPrinted>2022-10-06T18:07:00Z</cp:lastPrinted>
  <dcterms:created xsi:type="dcterms:W3CDTF">2023-02-03T22:10:00Z</dcterms:created>
  <dcterms:modified xsi:type="dcterms:W3CDTF">2023-02-03T22:10:00Z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2bf6e3f9cc078908bbbc2d993b3c384a96584362fa65e6dac6d34a0ee97e51be</vt:lpwstr>
  </property>
</Properties>
</file>