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CB050" w14:textId="42013D4D" w:rsidR="003E7AC7" w:rsidRPr="00FF73D0" w:rsidRDefault="00AB3D95" w:rsidP="00C2657D">
      <w:pPr>
        <w:spacing w:line="280" w:lineRule="atLeast"/>
        <w:jc w:val="right"/>
        <w:rPr>
          <w:rFonts w:ascii="Arial" w:hAnsi="Arial" w:cs="Arial"/>
          <w:sz w:val="22"/>
          <w:szCs w:val="22"/>
        </w:rPr>
      </w:pPr>
      <w:r w:rsidRPr="00FF73D0">
        <w:rPr>
          <w:rFonts w:ascii="Arial" w:hAnsi="Arial" w:cs="Arial"/>
          <w:sz w:val="22"/>
          <w:szCs w:val="22"/>
        </w:rPr>
        <w:t>Project No.</w:t>
      </w:r>
      <w:r w:rsidR="00257281">
        <w:rPr>
          <w:rFonts w:ascii="Arial" w:hAnsi="Arial" w:cs="Arial"/>
          <w:sz w:val="22"/>
          <w:szCs w:val="22"/>
        </w:rPr>
        <w:t xml:space="preserve"> </w:t>
      </w:r>
      <w:r w:rsidR="007039BE">
        <w:rPr>
          <w:rFonts w:ascii="Arial" w:hAnsi="Arial" w:cs="Arial"/>
          <w:sz w:val="22"/>
          <w:szCs w:val="22"/>
        </w:rPr>
        <w:t>20316</w:t>
      </w:r>
    </w:p>
    <w:p w14:paraId="11349E98" w14:textId="5E3A3112" w:rsidR="008140B5" w:rsidRPr="00FF73D0" w:rsidRDefault="00366E38" w:rsidP="00FF73D0">
      <w:pPr>
        <w:spacing w:line="280" w:lineRule="atLeast"/>
        <w:jc w:val="both"/>
        <w:rPr>
          <w:rFonts w:ascii="Arial" w:hAnsi="Arial" w:cs="Arial"/>
          <w:color w:val="000000"/>
          <w:sz w:val="22"/>
          <w:szCs w:val="22"/>
        </w:rPr>
      </w:pPr>
      <w:r>
        <w:rPr>
          <w:rFonts w:ascii="Arial" w:hAnsi="Arial" w:cs="Arial"/>
          <w:color w:val="000000"/>
          <w:sz w:val="22"/>
          <w:szCs w:val="22"/>
        </w:rPr>
        <w:t>February 2</w:t>
      </w:r>
      <w:r w:rsidR="004D48DF">
        <w:rPr>
          <w:rFonts w:ascii="Arial" w:hAnsi="Arial" w:cs="Arial"/>
          <w:color w:val="000000"/>
          <w:sz w:val="22"/>
          <w:szCs w:val="22"/>
        </w:rPr>
        <w:t>, 2023</w:t>
      </w:r>
    </w:p>
    <w:p w14:paraId="2AB4E32B" w14:textId="77777777" w:rsidR="00AB3D95" w:rsidRPr="00FF73D0" w:rsidRDefault="00AB3D95" w:rsidP="00FF73D0">
      <w:pPr>
        <w:spacing w:line="280" w:lineRule="atLeast"/>
        <w:jc w:val="both"/>
        <w:rPr>
          <w:rFonts w:ascii="Arial" w:hAnsi="Arial" w:cs="Arial"/>
          <w:color w:val="000000"/>
          <w:sz w:val="22"/>
          <w:szCs w:val="22"/>
        </w:rPr>
      </w:pPr>
    </w:p>
    <w:p w14:paraId="3EFD14AE" w14:textId="77777777" w:rsidR="00257281" w:rsidRDefault="00257281" w:rsidP="00257281">
      <w:pPr>
        <w:spacing w:line="280" w:lineRule="atLeast"/>
        <w:jc w:val="both"/>
        <w:rPr>
          <w:rFonts w:ascii="Arial" w:hAnsi="Arial" w:cs="Arial"/>
          <w:color w:val="000000"/>
          <w:sz w:val="22"/>
          <w:szCs w:val="22"/>
        </w:rPr>
      </w:pPr>
      <w:r>
        <w:rPr>
          <w:rFonts w:ascii="Arial" w:hAnsi="Arial" w:cs="Arial"/>
          <w:color w:val="000000"/>
          <w:sz w:val="22"/>
          <w:szCs w:val="22"/>
        </w:rPr>
        <w:t>Hon. Steve Clark</w:t>
      </w:r>
    </w:p>
    <w:p w14:paraId="0E0F1B2D" w14:textId="77777777" w:rsidR="00257281" w:rsidRDefault="00257281" w:rsidP="00257281">
      <w:pPr>
        <w:spacing w:line="280" w:lineRule="atLeast"/>
        <w:jc w:val="both"/>
        <w:rPr>
          <w:rFonts w:ascii="Arial" w:hAnsi="Arial" w:cs="Arial"/>
          <w:color w:val="000000"/>
          <w:sz w:val="22"/>
          <w:szCs w:val="22"/>
        </w:rPr>
      </w:pPr>
      <w:r>
        <w:rPr>
          <w:rFonts w:ascii="Arial" w:hAnsi="Arial" w:cs="Arial"/>
          <w:color w:val="000000"/>
          <w:sz w:val="22"/>
          <w:szCs w:val="22"/>
        </w:rPr>
        <w:t>Minister of Municipal Affairs and Housing</w:t>
      </w:r>
    </w:p>
    <w:p w14:paraId="74923728" w14:textId="77777777" w:rsidR="00257281" w:rsidRDefault="00257281" w:rsidP="00257281">
      <w:pPr>
        <w:spacing w:line="280" w:lineRule="atLeast"/>
        <w:jc w:val="both"/>
        <w:rPr>
          <w:rFonts w:ascii="Arial" w:hAnsi="Arial" w:cs="Arial"/>
          <w:color w:val="000000"/>
          <w:sz w:val="22"/>
          <w:szCs w:val="22"/>
        </w:rPr>
      </w:pPr>
      <w:r>
        <w:rPr>
          <w:rFonts w:ascii="Arial" w:hAnsi="Arial" w:cs="Arial"/>
          <w:color w:val="000000"/>
          <w:sz w:val="22"/>
          <w:szCs w:val="22"/>
        </w:rPr>
        <w:t>777 Bay Street, 17</w:t>
      </w:r>
      <w:r w:rsidRPr="00A47A29">
        <w:rPr>
          <w:rFonts w:ascii="Arial" w:hAnsi="Arial" w:cs="Arial"/>
          <w:color w:val="000000"/>
          <w:sz w:val="22"/>
          <w:szCs w:val="22"/>
          <w:vertAlign w:val="superscript"/>
        </w:rPr>
        <w:t>th</w:t>
      </w:r>
      <w:r>
        <w:rPr>
          <w:rFonts w:ascii="Arial" w:hAnsi="Arial" w:cs="Arial"/>
          <w:color w:val="000000"/>
          <w:sz w:val="22"/>
          <w:szCs w:val="22"/>
        </w:rPr>
        <w:t xml:space="preserve"> Floor</w:t>
      </w:r>
    </w:p>
    <w:p w14:paraId="285AE102" w14:textId="77777777" w:rsidR="00257281" w:rsidRPr="00FF73D0" w:rsidRDefault="00257281" w:rsidP="00257281">
      <w:pPr>
        <w:spacing w:line="280" w:lineRule="atLeast"/>
        <w:jc w:val="both"/>
        <w:rPr>
          <w:rFonts w:ascii="Arial" w:hAnsi="Arial" w:cs="Arial"/>
          <w:color w:val="000000"/>
          <w:sz w:val="22"/>
          <w:szCs w:val="22"/>
        </w:rPr>
      </w:pPr>
      <w:r>
        <w:rPr>
          <w:rFonts w:ascii="Arial" w:hAnsi="Arial" w:cs="Arial"/>
          <w:color w:val="000000"/>
          <w:sz w:val="22"/>
          <w:szCs w:val="22"/>
        </w:rPr>
        <w:t>Toronto, Ontario</w:t>
      </w:r>
    </w:p>
    <w:p w14:paraId="4176DDB9" w14:textId="77777777" w:rsidR="00257281" w:rsidRDefault="00257281" w:rsidP="00257281">
      <w:pPr>
        <w:spacing w:line="280" w:lineRule="atLeast"/>
        <w:jc w:val="both"/>
        <w:rPr>
          <w:rFonts w:ascii="Arial" w:hAnsi="Arial" w:cs="Arial"/>
          <w:color w:val="000000"/>
          <w:sz w:val="22"/>
          <w:szCs w:val="22"/>
        </w:rPr>
      </w:pPr>
      <w:r>
        <w:rPr>
          <w:rFonts w:ascii="Arial" w:hAnsi="Arial" w:cs="Arial"/>
          <w:color w:val="000000"/>
          <w:sz w:val="22"/>
          <w:szCs w:val="22"/>
        </w:rPr>
        <w:t>M7A 2J3</w:t>
      </w:r>
    </w:p>
    <w:p w14:paraId="3D9E0906" w14:textId="4B104C9C" w:rsidR="00535FD4" w:rsidRDefault="00535FD4" w:rsidP="00FF73D0">
      <w:pPr>
        <w:spacing w:line="280" w:lineRule="atLeast"/>
        <w:jc w:val="both"/>
        <w:rPr>
          <w:rFonts w:ascii="Arial" w:hAnsi="Arial" w:cs="Arial"/>
          <w:color w:val="000000"/>
          <w:sz w:val="22"/>
          <w:szCs w:val="22"/>
        </w:rPr>
      </w:pPr>
    </w:p>
    <w:p w14:paraId="4B57CC52" w14:textId="0301E978" w:rsidR="00257281" w:rsidRDefault="00257281" w:rsidP="00FF73D0">
      <w:pPr>
        <w:spacing w:line="280" w:lineRule="atLeast"/>
        <w:jc w:val="both"/>
        <w:rPr>
          <w:rFonts w:ascii="Arial" w:hAnsi="Arial" w:cs="Arial"/>
          <w:color w:val="000000"/>
          <w:sz w:val="22"/>
          <w:szCs w:val="22"/>
        </w:rPr>
      </w:pPr>
      <w:r>
        <w:rPr>
          <w:rFonts w:ascii="Arial" w:hAnsi="Arial" w:cs="Arial"/>
          <w:color w:val="000000"/>
          <w:sz w:val="22"/>
          <w:szCs w:val="22"/>
        </w:rPr>
        <w:t>Attn: Erika Ivanic</w:t>
      </w:r>
    </w:p>
    <w:p w14:paraId="6E3E5560" w14:textId="77777777" w:rsidR="00257281" w:rsidRPr="00FF73D0" w:rsidRDefault="00257281" w:rsidP="00FF73D0">
      <w:pPr>
        <w:spacing w:line="280" w:lineRule="atLeast"/>
        <w:jc w:val="both"/>
        <w:rPr>
          <w:rFonts w:ascii="Arial" w:hAnsi="Arial" w:cs="Arial"/>
          <w:color w:val="000000"/>
          <w:sz w:val="22"/>
          <w:szCs w:val="22"/>
        </w:rPr>
      </w:pPr>
    </w:p>
    <w:p w14:paraId="687E5EEE" w14:textId="77777777" w:rsidR="00257281" w:rsidRPr="00FF73D0" w:rsidRDefault="00257281" w:rsidP="00257281">
      <w:pPr>
        <w:spacing w:line="280" w:lineRule="atLeast"/>
        <w:jc w:val="both"/>
        <w:rPr>
          <w:rFonts w:ascii="Arial" w:hAnsi="Arial" w:cs="Arial"/>
          <w:color w:val="000000"/>
          <w:sz w:val="22"/>
          <w:szCs w:val="22"/>
        </w:rPr>
      </w:pPr>
      <w:r w:rsidRPr="001B5B91">
        <w:rPr>
          <w:rFonts w:ascii="Arial" w:hAnsi="Arial" w:cs="Arial"/>
          <w:color w:val="000000"/>
          <w:sz w:val="22"/>
          <w:szCs w:val="22"/>
        </w:rPr>
        <w:t xml:space="preserve">Dear </w:t>
      </w:r>
      <w:r>
        <w:rPr>
          <w:rFonts w:ascii="Arial" w:hAnsi="Arial" w:cs="Arial"/>
          <w:color w:val="000000"/>
          <w:sz w:val="22"/>
          <w:szCs w:val="22"/>
        </w:rPr>
        <w:t xml:space="preserve">Minister Clark; </w:t>
      </w:r>
    </w:p>
    <w:p w14:paraId="3E68E0F0" w14:textId="77777777" w:rsidR="00AB3D95" w:rsidRPr="00FF73D0" w:rsidRDefault="00AB3D95" w:rsidP="00FF73D0">
      <w:pPr>
        <w:spacing w:line="280" w:lineRule="atLeast"/>
        <w:jc w:val="both"/>
        <w:rPr>
          <w:rFonts w:ascii="Arial" w:hAnsi="Arial" w:cs="Arial"/>
          <w:color w:val="000000"/>
          <w:sz w:val="22"/>
          <w:szCs w:val="22"/>
        </w:rPr>
      </w:pPr>
    </w:p>
    <w:p w14:paraId="55594A69" w14:textId="15480BB0" w:rsidR="00257281" w:rsidRDefault="00AB3D95" w:rsidP="00FF73D0">
      <w:pPr>
        <w:tabs>
          <w:tab w:val="left" w:pos="720"/>
        </w:tabs>
        <w:spacing w:line="280" w:lineRule="atLeast"/>
        <w:jc w:val="both"/>
        <w:rPr>
          <w:rFonts w:ascii="Arial" w:hAnsi="Arial" w:cs="Arial"/>
          <w:b/>
          <w:i/>
          <w:color w:val="000000"/>
          <w:sz w:val="22"/>
          <w:szCs w:val="22"/>
        </w:rPr>
      </w:pPr>
      <w:r w:rsidRPr="00FF73D0">
        <w:rPr>
          <w:rFonts w:ascii="Arial" w:hAnsi="Arial" w:cs="Arial"/>
          <w:b/>
          <w:i/>
          <w:color w:val="000000"/>
          <w:sz w:val="22"/>
          <w:szCs w:val="22"/>
        </w:rPr>
        <w:t>Re:</w:t>
      </w:r>
      <w:r w:rsidR="00512FD1" w:rsidRPr="00FF73D0">
        <w:rPr>
          <w:rFonts w:ascii="Arial" w:hAnsi="Arial" w:cs="Arial"/>
          <w:b/>
          <w:i/>
          <w:color w:val="000000"/>
          <w:sz w:val="22"/>
          <w:szCs w:val="22"/>
        </w:rPr>
        <w:tab/>
      </w:r>
      <w:r w:rsidR="00257281">
        <w:rPr>
          <w:rFonts w:ascii="Arial" w:hAnsi="Arial" w:cs="Arial"/>
          <w:b/>
          <w:i/>
          <w:color w:val="000000"/>
          <w:sz w:val="22"/>
          <w:szCs w:val="22"/>
        </w:rPr>
        <w:t>Toronto Official Plan Amendment 5</w:t>
      </w:r>
      <w:r w:rsidR="00D7250C">
        <w:rPr>
          <w:rFonts w:ascii="Arial" w:hAnsi="Arial" w:cs="Arial"/>
          <w:b/>
          <w:i/>
          <w:color w:val="000000"/>
          <w:sz w:val="22"/>
          <w:szCs w:val="22"/>
        </w:rPr>
        <w:t>7</w:t>
      </w:r>
      <w:r w:rsidR="00257281">
        <w:rPr>
          <w:rFonts w:ascii="Arial" w:hAnsi="Arial" w:cs="Arial"/>
          <w:b/>
          <w:i/>
          <w:color w:val="000000"/>
          <w:sz w:val="22"/>
          <w:szCs w:val="22"/>
        </w:rPr>
        <w:t>0</w:t>
      </w:r>
    </w:p>
    <w:p w14:paraId="588A25A3" w14:textId="700D78FC" w:rsidR="00AB3D95" w:rsidRDefault="00257281" w:rsidP="00FF73D0">
      <w:pPr>
        <w:tabs>
          <w:tab w:val="left" w:pos="720"/>
        </w:tabs>
        <w:spacing w:line="280" w:lineRule="atLeast"/>
        <w:jc w:val="both"/>
        <w:rPr>
          <w:rFonts w:ascii="Arial" w:hAnsi="Arial" w:cs="Arial"/>
          <w:b/>
          <w:i/>
          <w:color w:val="000000"/>
          <w:sz w:val="22"/>
          <w:szCs w:val="22"/>
        </w:rPr>
      </w:pPr>
      <w:r>
        <w:rPr>
          <w:rFonts w:ascii="Arial" w:hAnsi="Arial" w:cs="Arial"/>
          <w:b/>
          <w:i/>
          <w:color w:val="000000"/>
          <w:sz w:val="22"/>
          <w:szCs w:val="22"/>
        </w:rPr>
        <w:tab/>
        <w:t>ERO Number 019-5936</w:t>
      </w:r>
    </w:p>
    <w:p w14:paraId="0D363C12" w14:textId="2DFC931C" w:rsidR="00257281" w:rsidRPr="00FF73D0" w:rsidRDefault="007722A1" w:rsidP="00FF73D0">
      <w:pPr>
        <w:tabs>
          <w:tab w:val="left" w:pos="720"/>
        </w:tabs>
        <w:spacing w:line="280" w:lineRule="atLeast"/>
        <w:jc w:val="both"/>
        <w:rPr>
          <w:rFonts w:ascii="Arial" w:hAnsi="Arial" w:cs="Arial"/>
          <w:b/>
          <w:i/>
          <w:color w:val="000000"/>
          <w:sz w:val="22"/>
          <w:szCs w:val="22"/>
        </w:rPr>
      </w:pPr>
      <w:r>
        <w:rPr>
          <w:rFonts w:ascii="Arial" w:hAnsi="Arial" w:cs="Arial"/>
          <w:b/>
          <w:i/>
          <w:color w:val="000000"/>
          <w:sz w:val="22"/>
          <w:szCs w:val="22"/>
        </w:rPr>
        <w:tab/>
      </w:r>
      <w:r w:rsidR="00257281">
        <w:rPr>
          <w:rFonts w:ascii="Arial" w:hAnsi="Arial" w:cs="Arial"/>
          <w:b/>
          <w:i/>
          <w:color w:val="000000"/>
          <w:sz w:val="22"/>
          <w:szCs w:val="22"/>
        </w:rPr>
        <w:t>Ministry R</w:t>
      </w:r>
      <w:r>
        <w:rPr>
          <w:rFonts w:ascii="Arial" w:hAnsi="Arial" w:cs="Arial"/>
          <w:b/>
          <w:i/>
          <w:color w:val="000000"/>
          <w:sz w:val="22"/>
          <w:szCs w:val="22"/>
        </w:rPr>
        <w:t>eference Number 20-OP-221476</w:t>
      </w:r>
    </w:p>
    <w:p w14:paraId="46D2BEDF" w14:textId="7F675B83" w:rsidR="00AB3D95" w:rsidRPr="00FF73D0" w:rsidRDefault="00AB3D95" w:rsidP="00FF73D0">
      <w:pPr>
        <w:spacing w:line="280" w:lineRule="atLeast"/>
        <w:jc w:val="both"/>
        <w:rPr>
          <w:rFonts w:ascii="Arial" w:hAnsi="Arial" w:cs="Arial"/>
          <w:color w:val="000000"/>
          <w:sz w:val="22"/>
          <w:szCs w:val="22"/>
        </w:rPr>
      </w:pPr>
    </w:p>
    <w:p w14:paraId="21D86C34" w14:textId="41D8996F" w:rsidR="007722A1" w:rsidRDefault="007722A1" w:rsidP="007722A1">
      <w:pPr>
        <w:pBdr>
          <w:bottom w:val="single" w:sz="12" w:space="1" w:color="auto"/>
        </w:pBdr>
        <w:tabs>
          <w:tab w:val="left" w:pos="720"/>
        </w:tabs>
        <w:spacing w:line="280" w:lineRule="atLeast"/>
        <w:jc w:val="center"/>
        <w:rPr>
          <w:rFonts w:ascii="Arial" w:hAnsi="Arial" w:cs="Arial"/>
          <w:b/>
          <w:bCs/>
          <w:color w:val="000000"/>
          <w:sz w:val="22"/>
          <w:szCs w:val="22"/>
        </w:rPr>
      </w:pPr>
      <w:r>
        <w:rPr>
          <w:rFonts w:ascii="Arial" w:hAnsi="Arial" w:cs="Arial"/>
          <w:b/>
          <w:bCs/>
          <w:color w:val="000000"/>
          <w:sz w:val="22"/>
          <w:szCs w:val="22"/>
        </w:rPr>
        <w:t xml:space="preserve">Toronto Official Plan Amendment </w:t>
      </w:r>
      <w:r w:rsidR="00335D12">
        <w:rPr>
          <w:rFonts w:ascii="Arial" w:hAnsi="Arial" w:cs="Arial"/>
          <w:b/>
          <w:bCs/>
          <w:color w:val="000000"/>
          <w:sz w:val="22"/>
          <w:szCs w:val="22"/>
        </w:rPr>
        <w:t>5</w:t>
      </w:r>
      <w:r w:rsidR="00D7250C">
        <w:rPr>
          <w:rFonts w:ascii="Arial" w:hAnsi="Arial" w:cs="Arial"/>
          <w:b/>
          <w:bCs/>
          <w:color w:val="000000"/>
          <w:sz w:val="22"/>
          <w:szCs w:val="22"/>
        </w:rPr>
        <w:t>7</w:t>
      </w:r>
      <w:r>
        <w:rPr>
          <w:rFonts w:ascii="Arial" w:hAnsi="Arial" w:cs="Arial"/>
          <w:b/>
          <w:bCs/>
          <w:color w:val="000000"/>
          <w:sz w:val="22"/>
          <w:szCs w:val="22"/>
        </w:rPr>
        <w:t>0</w:t>
      </w:r>
    </w:p>
    <w:p w14:paraId="6D703CB8" w14:textId="228EB9C6" w:rsidR="007722A1" w:rsidRDefault="007722A1" w:rsidP="007722A1">
      <w:pPr>
        <w:pBdr>
          <w:bottom w:val="single" w:sz="12" w:space="1" w:color="auto"/>
        </w:pBdr>
        <w:tabs>
          <w:tab w:val="left" w:pos="720"/>
        </w:tabs>
        <w:spacing w:line="280" w:lineRule="atLeast"/>
        <w:jc w:val="center"/>
        <w:rPr>
          <w:rFonts w:ascii="Arial" w:hAnsi="Arial" w:cs="Arial"/>
          <w:b/>
          <w:bCs/>
          <w:color w:val="000000"/>
          <w:sz w:val="22"/>
          <w:szCs w:val="22"/>
        </w:rPr>
      </w:pPr>
      <w:r>
        <w:rPr>
          <w:rFonts w:ascii="Arial" w:hAnsi="Arial" w:cs="Arial"/>
          <w:b/>
          <w:bCs/>
          <w:color w:val="000000"/>
          <w:sz w:val="22"/>
          <w:szCs w:val="22"/>
        </w:rPr>
        <w:t>Modification to Site and Area Specific Policy 6</w:t>
      </w:r>
      <w:r w:rsidR="00A57375">
        <w:rPr>
          <w:rFonts w:ascii="Arial" w:hAnsi="Arial" w:cs="Arial"/>
          <w:b/>
          <w:bCs/>
          <w:color w:val="000000"/>
          <w:sz w:val="22"/>
          <w:szCs w:val="22"/>
        </w:rPr>
        <w:t>48</w:t>
      </w:r>
    </w:p>
    <w:p w14:paraId="1DF156FE" w14:textId="0A8E5FA4" w:rsidR="00FF73D0" w:rsidRPr="007722A1" w:rsidRDefault="00A57375" w:rsidP="007722A1">
      <w:pPr>
        <w:pBdr>
          <w:bottom w:val="single" w:sz="12" w:space="1" w:color="auto"/>
        </w:pBdr>
        <w:tabs>
          <w:tab w:val="left" w:pos="720"/>
        </w:tabs>
        <w:spacing w:line="280" w:lineRule="atLeast"/>
        <w:jc w:val="center"/>
        <w:rPr>
          <w:rFonts w:ascii="Arial" w:hAnsi="Arial" w:cs="Arial"/>
          <w:b/>
          <w:bCs/>
          <w:color w:val="000000"/>
          <w:sz w:val="22"/>
          <w:szCs w:val="22"/>
        </w:rPr>
      </w:pPr>
      <w:r>
        <w:rPr>
          <w:rFonts w:ascii="Arial" w:hAnsi="Arial" w:cs="Arial"/>
          <w:b/>
          <w:bCs/>
          <w:color w:val="000000"/>
          <w:sz w:val="22"/>
          <w:szCs w:val="22"/>
        </w:rPr>
        <w:t>683-685 Warden Avenue</w:t>
      </w:r>
    </w:p>
    <w:p w14:paraId="289B5643" w14:textId="6A490F12" w:rsidR="00257281" w:rsidRDefault="00257281">
      <w:pPr>
        <w:tabs>
          <w:tab w:val="left" w:pos="480"/>
        </w:tabs>
        <w:spacing w:line="280" w:lineRule="atLeast"/>
        <w:jc w:val="both"/>
        <w:rPr>
          <w:rFonts w:ascii="Arial" w:hAnsi="Arial" w:cs="Arial"/>
          <w:sz w:val="22"/>
          <w:szCs w:val="22"/>
        </w:rPr>
      </w:pPr>
    </w:p>
    <w:p w14:paraId="2B9FE6EC" w14:textId="38AC0430" w:rsidR="00335D12" w:rsidRPr="000712B9" w:rsidRDefault="007722A1" w:rsidP="00D27664">
      <w:pPr>
        <w:spacing w:line="276" w:lineRule="auto"/>
        <w:jc w:val="both"/>
        <w:rPr>
          <w:rFonts w:ascii="Arial" w:hAnsi="Arial" w:cs="Arial"/>
          <w:sz w:val="22"/>
          <w:szCs w:val="22"/>
        </w:rPr>
      </w:pPr>
      <w:r w:rsidRPr="000712B9">
        <w:rPr>
          <w:rFonts w:ascii="Arial" w:hAnsi="Arial" w:cs="Arial"/>
          <w:sz w:val="22"/>
          <w:szCs w:val="22"/>
        </w:rPr>
        <w:t>We are the planning consultants for</w:t>
      </w:r>
      <w:r w:rsidRPr="000712B9">
        <w:rPr>
          <w:rFonts w:ascii="Arial" w:hAnsi="Arial" w:cs="Arial"/>
          <w:color w:val="000000"/>
          <w:sz w:val="22"/>
          <w:szCs w:val="22"/>
        </w:rPr>
        <w:t xml:space="preserve"> Choice Properties REIT</w:t>
      </w:r>
      <w:r w:rsidRPr="000712B9">
        <w:rPr>
          <w:rFonts w:ascii="Arial" w:hAnsi="Arial" w:cs="Arial"/>
          <w:sz w:val="22"/>
          <w:szCs w:val="22"/>
        </w:rPr>
        <w:t xml:space="preserve">, owners of the lands municipally known as </w:t>
      </w:r>
      <w:r w:rsidR="00D7250C">
        <w:rPr>
          <w:rFonts w:ascii="Arial" w:hAnsi="Arial" w:cs="Arial"/>
          <w:sz w:val="22"/>
          <w:szCs w:val="22"/>
        </w:rPr>
        <w:t>683-685 Warden Avenue</w:t>
      </w:r>
      <w:r w:rsidR="002643C9" w:rsidRPr="000712B9">
        <w:rPr>
          <w:rFonts w:ascii="Arial" w:hAnsi="Arial" w:cs="Arial"/>
          <w:sz w:val="22"/>
          <w:szCs w:val="22"/>
        </w:rPr>
        <w:t xml:space="preserve"> </w:t>
      </w:r>
      <w:r w:rsidRPr="000712B9">
        <w:rPr>
          <w:rFonts w:ascii="Arial" w:hAnsi="Arial" w:cs="Arial"/>
          <w:sz w:val="22"/>
          <w:szCs w:val="22"/>
        </w:rPr>
        <w:t xml:space="preserve">(the </w:t>
      </w:r>
      <w:r w:rsidRPr="000712B9">
        <w:rPr>
          <w:rFonts w:ascii="Arial" w:hAnsi="Arial" w:cs="Arial"/>
          <w:b/>
          <w:bCs/>
          <w:sz w:val="22"/>
          <w:szCs w:val="22"/>
        </w:rPr>
        <w:t>“subject site”</w:t>
      </w:r>
      <w:r w:rsidRPr="000712B9">
        <w:rPr>
          <w:rFonts w:ascii="Arial" w:hAnsi="Arial" w:cs="Arial"/>
          <w:sz w:val="22"/>
          <w:szCs w:val="22"/>
        </w:rPr>
        <w:t xml:space="preserve">). The subject site is </w:t>
      </w:r>
      <w:r w:rsidR="002643C9" w:rsidRPr="000712B9">
        <w:rPr>
          <w:rFonts w:ascii="Arial" w:hAnsi="Arial" w:cs="Arial"/>
          <w:sz w:val="22"/>
          <w:szCs w:val="22"/>
        </w:rPr>
        <w:t xml:space="preserve">approximately </w:t>
      </w:r>
      <w:r w:rsidR="00D7250C">
        <w:rPr>
          <w:rFonts w:ascii="Arial" w:hAnsi="Arial" w:cs="Arial"/>
          <w:sz w:val="22"/>
          <w:szCs w:val="22"/>
        </w:rPr>
        <w:t xml:space="preserve">2.63-hectares in </w:t>
      </w:r>
      <w:proofErr w:type="gramStart"/>
      <w:r w:rsidR="00D7250C">
        <w:rPr>
          <w:rFonts w:ascii="Arial" w:hAnsi="Arial" w:cs="Arial"/>
          <w:sz w:val="22"/>
          <w:szCs w:val="22"/>
        </w:rPr>
        <w:t>size, and</w:t>
      </w:r>
      <w:proofErr w:type="gramEnd"/>
      <w:r w:rsidR="00D7250C">
        <w:rPr>
          <w:rFonts w:ascii="Arial" w:hAnsi="Arial" w:cs="Arial"/>
          <w:sz w:val="22"/>
          <w:szCs w:val="22"/>
        </w:rPr>
        <w:t xml:space="preserve"> is located on the east side of Warden Avenue, approximately 500 metres south of St. Clair Avenue East. </w:t>
      </w:r>
      <w:r w:rsidR="00A57375">
        <w:rPr>
          <w:rFonts w:ascii="Arial" w:hAnsi="Arial" w:cs="Arial"/>
          <w:sz w:val="22"/>
          <w:szCs w:val="22"/>
        </w:rPr>
        <w:t xml:space="preserve">The subject site is currently vacant, and is within an approximate 220 metre radius </w:t>
      </w:r>
      <w:r w:rsidR="00D7250C">
        <w:rPr>
          <w:rFonts w:ascii="Arial" w:hAnsi="Arial" w:cs="Arial"/>
          <w:sz w:val="22"/>
          <w:szCs w:val="22"/>
        </w:rPr>
        <w:t xml:space="preserve">of the Warden </w:t>
      </w:r>
      <w:r w:rsidR="002643C9" w:rsidRPr="000712B9">
        <w:rPr>
          <w:rFonts w:ascii="Arial" w:hAnsi="Arial" w:cs="Arial"/>
          <w:sz w:val="22"/>
          <w:szCs w:val="22"/>
        </w:rPr>
        <w:t xml:space="preserve">TTC </w:t>
      </w:r>
      <w:r w:rsidR="009A4861" w:rsidRPr="000712B9">
        <w:rPr>
          <w:rFonts w:ascii="Arial" w:hAnsi="Arial" w:cs="Arial"/>
          <w:sz w:val="22"/>
          <w:szCs w:val="22"/>
        </w:rPr>
        <w:t>S</w:t>
      </w:r>
      <w:r w:rsidR="002643C9" w:rsidRPr="000712B9">
        <w:rPr>
          <w:rFonts w:ascii="Arial" w:hAnsi="Arial" w:cs="Arial"/>
          <w:sz w:val="22"/>
          <w:szCs w:val="22"/>
        </w:rPr>
        <w:t xml:space="preserve">ubway </w:t>
      </w:r>
      <w:r w:rsidR="009A4861" w:rsidRPr="000712B9">
        <w:rPr>
          <w:rFonts w:ascii="Arial" w:hAnsi="Arial" w:cs="Arial"/>
          <w:sz w:val="22"/>
          <w:szCs w:val="22"/>
        </w:rPr>
        <w:t>S</w:t>
      </w:r>
      <w:r w:rsidR="002643C9" w:rsidRPr="000712B9">
        <w:rPr>
          <w:rFonts w:ascii="Arial" w:hAnsi="Arial" w:cs="Arial"/>
          <w:sz w:val="22"/>
          <w:szCs w:val="22"/>
        </w:rPr>
        <w:t>tation on the Bloor-Danforth Line</w:t>
      </w:r>
      <w:r w:rsidR="00296ECF" w:rsidRPr="000712B9">
        <w:rPr>
          <w:rFonts w:ascii="Arial" w:hAnsi="Arial" w:cs="Arial"/>
          <w:sz w:val="22"/>
          <w:szCs w:val="22"/>
        </w:rPr>
        <w:t xml:space="preserve"> (</w:t>
      </w:r>
      <w:proofErr w:type="gramStart"/>
      <w:r w:rsidR="00296ECF" w:rsidRPr="000712B9">
        <w:rPr>
          <w:rFonts w:ascii="Arial" w:hAnsi="Arial" w:cs="Arial"/>
          <w:sz w:val="22"/>
          <w:szCs w:val="22"/>
        </w:rPr>
        <w:t>i.e.</w:t>
      </w:r>
      <w:proofErr w:type="gramEnd"/>
      <w:r w:rsidR="00296ECF" w:rsidRPr="000712B9">
        <w:rPr>
          <w:rFonts w:ascii="Arial" w:hAnsi="Arial" w:cs="Arial"/>
          <w:sz w:val="22"/>
          <w:szCs w:val="22"/>
        </w:rPr>
        <w:t xml:space="preserve"> Line 2)</w:t>
      </w:r>
      <w:r w:rsidR="002643C9" w:rsidRPr="000712B9">
        <w:rPr>
          <w:rFonts w:ascii="Arial" w:hAnsi="Arial" w:cs="Arial"/>
          <w:sz w:val="22"/>
          <w:szCs w:val="22"/>
        </w:rPr>
        <w:t>.</w:t>
      </w:r>
      <w:r w:rsidR="00280CC2" w:rsidRPr="000712B9">
        <w:rPr>
          <w:rFonts w:ascii="Arial" w:hAnsi="Arial" w:cs="Arial"/>
          <w:sz w:val="22"/>
          <w:szCs w:val="22"/>
        </w:rPr>
        <w:t xml:space="preserve"> </w:t>
      </w:r>
    </w:p>
    <w:p w14:paraId="070D6FF0" w14:textId="298BEBFB" w:rsidR="00377AAC" w:rsidRPr="000712B9" w:rsidRDefault="00377AAC" w:rsidP="00D27664">
      <w:pPr>
        <w:spacing w:line="276" w:lineRule="auto"/>
        <w:jc w:val="both"/>
        <w:rPr>
          <w:rFonts w:ascii="Arial" w:hAnsi="Arial" w:cs="Arial"/>
          <w:sz w:val="22"/>
          <w:szCs w:val="22"/>
        </w:rPr>
      </w:pPr>
    </w:p>
    <w:p w14:paraId="70D1C742" w14:textId="5541EA82" w:rsidR="00377AAC" w:rsidRPr="000712B9" w:rsidRDefault="00377AAC" w:rsidP="00D27664">
      <w:pPr>
        <w:spacing w:line="276" w:lineRule="auto"/>
        <w:jc w:val="both"/>
        <w:rPr>
          <w:rFonts w:ascii="Arial" w:hAnsi="Arial" w:cs="Arial"/>
          <w:sz w:val="22"/>
          <w:szCs w:val="22"/>
        </w:rPr>
      </w:pPr>
      <w:r w:rsidRPr="000712B9">
        <w:rPr>
          <w:rFonts w:ascii="Arial" w:hAnsi="Arial" w:cs="Arial"/>
          <w:sz w:val="22"/>
          <w:szCs w:val="22"/>
        </w:rPr>
        <w:t>On July 22, 2022, Toronto City Council adopted Official Plan Amendment No. 5</w:t>
      </w:r>
      <w:r w:rsidR="00D7250C">
        <w:rPr>
          <w:rFonts w:ascii="Arial" w:hAnsi="Arial" w:cs="Arial"/>
          <w:sz w:val="22"/>
          <w:szCs w:val="22"/>
        </w:rPr>
        <w:t>7</w:t>
      </w:r>
      <w:r w:rsidRPr="000712B9">
        <w:rPr>
          <w:rFonts w:ascii="Arial" w:hAnsi="Arial" w:cs="Arial"/>
          <w:sz w:val="22"/>
          <w:szCs w:val="22"/>
        </w:rPr>
        <w:t>0 (“OPA 5</w:t>
      </w:r>
      <w:r w:rsidR="00D7250C">
        <w:rPr>
          <w:rFonts w:ascii="Arial" w:hAnsi="Arial" w:cs="Arial"/>
          <w:sz w:val="22"/>
          <w:szCs w:val="22"/>
        </w:rPr>
        <w:t>7</w:t>
      </w:r>
      <w:r w:rsidRPr="000712B9">
        <w:rPr>
          <w:rFonts w:ascii="Arial" w:hAnsi="Arial" w:cs="Arial"/>
          <w:sz w:val="22"/>
          <w:szCs w:val="22"/>
        </w:rPr>
        <w:t xml:space="preserve">0”), which introduced Site and Area Specific Policies (“SASP’s”) for </w:t>
      </w:r>
      <w:r w:rsidR="00A57375">
        <w:rPr>
          <w:rFonts w:ascii="Arial" w:hAnsi="Arial" w:cs="Arial"/>
          <w:sz w:val="22"/>
          <w:szCs w:val="22"/>
        </w:rPr>
        <w:t>57</w:t>
      </w:r>
      <w:r w:rsidRPr="000712B9">
        <w:rPr>
          <w:rFonts w:ascii="Arial" w:hAnsi="Arial" w:cs="Arial"/>
          <w:sz w:val="22"/>
          <w:szCs w:val="22"/>
        </w:rPr>
        <w:t xml:space="preserve"> Protected Major Transit Station Areas (“PMTSA’s”), corresponding with existing and planned transit stations </w:t>
      </w:r>
      <w:r w:rsidR="00A57375">
        <w:rPr>
          <w:rFonts w:ascii="Arial" w:hAnsi="Arial" w:cs="Arial"/>
          <w:sz w:val="22"/>
          <w:szCs w:val="22"/>
        </w:rPr>
        <w:t>across the City of Toronto</w:t>
      </w:r>
      <w:r w:rsidRPr="000712B9">
        <w:rPr>
          <w:rFonts w:ascii="Arial" w:hAnsi="Arial" w:cs="Arial"/>
          <w:sz w:val="22"/>
          <w:szCs w:val="22"/>
        </w:rPr>
        <w:t xml:space="preserve">. </w:t>
      </w:r>
      <w:r w:rsidR="00335D12" w:rsidRPr="000712B9">
        <w:rPr>
          <w:rFonts w:ascii="Arial" w:hAnsi="Arial" w:cs="Arial"/>
          <w:sz w:val="22"/>
          <w:szCs w:val="22"/>
        </w:rPr>
        <w:t>T</w:t>
      </w:r>
      <w:r w:rsidR="00280CC2" w:rsidRPr="000712B9">
        <w:rPr>
          <w:rFonts w:ascii="Arial" w:hAnsi="Arial" w:cs="Arial"/>
          <w:sz w:val="22"/>
          <w:szCs w:val="22"/>
        </w:rPr>
        <w:t>he subject site fall</w:t>
      </w:r>
      <w:r w:rsidR="00F4080E" w:rsidRPr="000712B9">
        <w:rPr>
          <w:rFonts w:ascii="Arial" w:hAnsi="Arial" w:cs="Arial"/>
          <w:sz w:val="22"/>
          <w:szCs w:val="22"/>
        </w:rPr>
        <w:t>s</w:t>
      </w:r>
      <w:r w:rsidR="00280CC2" w:rsidRPr="000712B9">
        <w:rPr>
          <w:rFonts w:ascii="Arial" w:hAnsi="Arial" w:cs="Arial"/>
          <w:sz w:val="22"/>
          <w:szCs w:val="22"/>
        </w:rPr>
        <w:t xml:space="preserve"> within the City’s delineation of the </w:t>
      </w:r>
      <w:r w:rsidR="00A57375">
        <w:rPr>
          <w:rFonts w:ascii="Arial" w:hAnsi="Arial" w:cs="Arial"/>
          <w:sz w:val="22"/>
          <w:szCs w:val="22"/>
        </w:rPr>
        <w:t>Warden</w:t>
      </w:r>
      <w:r w:rsidR="00280CC2" w:rsidRPr="000712B9">
        <w:rPr>
          <w:rFonts w:ascii="Arial" w:hAnsi="Arial" w:cs="Arial"/>
          <w:sz w:val="22"/>
          <w:szCs w:val="22"/>
        </w:rPr>
        <w:t xml:space="preserve"> </w:t>
      </w:r>
      <w:r w:rsidR="00F4080E" w:rsidRPr="000712B9">
        <w:rPr>
          <w:rFonts w:ascii="Arial" w:hAnsi="Arial" w:cs="Arial"/>
          <w:sz w:val="22"/>
          <w:szCs w:val="22"/>
        </w:rPr>
        <w:t>PMTSA</w:t>
      </w:r>
      <w:r w:rsidR="002643C9" w:rsidRPr="000712B9">
        <w:rPr>
          <w:rFonts w:ascii="Arial" w:hAnsi="Arial" w:cs="Arial"/>
          <w:sz w:val="22"/>
          <w:szCs w:val="22"/>
        </w:rPr>
        <w:t xml:space="preserve"> </w:t>
      </w:r>
      <w:r w:rsidRPr="000712B9">
        <w:rPr>
          <w:rFonts w:ascii="Arial" w:hAnsi="Arial" w:cs="Arial"/>
          <w:sz w:val="22"/>
          <w:szCs w:val="22"/>
        </w:rPr>
        <w:t>as set out</w:t>
      </w:r>
      <w:r w:rsidR="00280CC2" w:rsidRPr="000712B9">
        <w:rPr>
          <w:rFonts w:ascii="Arial" w:hAnsi="Arial" w:cs="Arial"/>
          <w:sz w:val="22"/>
          <w:szCs w:val="22"/>
        </w:rPr>
        <w:t xml:space="preserve"> </w:t>
      </w:r>
      <w:r w:rsidR="00F4080E" w:rsidRPr="000712B9">
        <w:rPr>
          <w:rFonts w:ascii="Arial" w:hAnsi="Arial" w:cs="Arial"/>
          <w:sz w:val="22"/>
          <w:szCs w:val="22"/>
        </w:rPr>
        <w:t>in Site and Area Specific Policy (“SASP”) 6</w:t>
      </w:r>
      <w:r w:rsidR="00A57375">
        <w:rPr>
          <w:rFonts w:ascii="Arial" w:hAnsi="Arial" w:cs="Arial"/>
          <w:sz w:val="22"/>
          <w:szCs w:val="22"/>
        </w:rPr>
        <w:t>48</w:t>
      </w:r>
      <w:r w:rsidRPr="000712B9">
        <w:rPr>
          <w:rFonts w:ascii="Arial" w:hAnsi="Arial" w:cs="Arial"/>
          <w:sz w:val="22"/>
          <w:szCs w:val="22"/>
        </w:rPr>
        <w:t>. Map 2 of SASP 6</w:t>
      </w:r>
      <w:r w:rsidR="00A57375">
        <w:rPr>
          <w:rFonts w:ascii="Arial" w:hAnsi="Arial" w:cs="Arial"/>
          <w:sz w:val="22"/>
          <w:szCs w:val="22"/>
        </w:rPr>
        <w:t>48</w:t>
      </w:r>
      <w:r w:rsidRPr="000712B9">
        <w:rPr>
          <w:rFonts w:ascii="Arial" w:hAnsi="Arial" w:cs="Arial"/>
          <w:sz w:val="22"/>
          <w:szCs w:val="22"/>
        </w:rPr>
        <w:t xml:space="preserve"> (“Minimum Densities, W</w:t>
      </w:r>
      <w:r w:rsidR="00A57375">
        <w:rPr>
          <w:rFonts w:ascii="Arial" w:hAnsi="Arial" w:cs="Arial"/>
          <w:sz w:val="22"/>
          <w:szCs w:val="22"/>
        </w:rPr>
        <w:t>arden</w:t>
      </w:r>
      <w:r w:rsidRPr="000712B9">
        <w:rPr>
          <w:rFonts w:ascii="Arial" w:hAnsi="Arial" w:cs="Arial"/>
          <w:sz w:val="22"/>
          <w:szCs w:val="22"/>
        </w:rPr>
        <w:t xml:space="preserve"> Protected Major Transit Station Area”) specifies a minimum density of </w:t>
      </w:r>
      <w:r w:rsidR="00A57375">
        <w:rPr>
          <w:rFonts w:ascii="Arial" w:hAnsi="Arial" w:cs="Arial"/>
          <w:sz w:val="22"/>
          <w:szCs w:val="22"/>
        </w:rPr>
        <w:t>3</w:t>
      </w:r>
      <w:r w:rsidRPr="000712B9">
        <w:rPr>
          <w:rFonts w:ascii="Arial" w:hAnsi="Arial" w:cs="Arial"/>
          <w:sz w:val="22"/>
          <w:szCs w:val="22"/>
        </w:rPr>
        <w:t>.0 for the subject site</w:t>
      </w:r>
      <w:r w:rsidR="00A57375">
        <w:rPr>
          <w:rFonts w:ascii="Arial" w:hAnsi="Arial" w:cs="Arial"/>
          <w:sz w:val="22"/>
          <w:szCs w:val="22"/>
        </w:rPr>
        <w:t>.</w:t>
      </w:r>
    </w:p>
    <w:p w14:paraId="4216F4E9" w14:textId="77777777" w:rsidR="00377AAC" w:rsidRPr="000712B9" w:rsidRDefault="00377AAC" w:rsidP="00D27664">
      <w:pPr>
        <w:spacing w:line="276" w:lineRule="auto"/>
        <w:jc w:val="both"/>
        <w:rPr>
          <w:rFonts w:ascii="Arial" w:hAnsi="Arial" w:cs="Arial"/>
          <w:sz w:val="22"/>
          <w:szCs w:val="22"/>
        </w:rPr>
      </w:pPr>
    </w:p>
    <w:p w14:paraId="339EF95F" w14:textId="23C91DE3" w:rsidR="00A17303" w:rsidRPr="000712B9" w:rsidRDefault="00377AAC" w:rsidP="00D27664">
      <w:pPr>
        <w:spacing w:line="276" w:lineRule="auto"/>
        <w:jc w:val="both"/>
        <w:outlineLvl w:val="6"/>
        <w:rPr>
          <w:rFonts w:ascii="Arial" w:hAnsi="Arial" w:cs="Arial"/>
          <w:sz w:val="22"/>
          <w:szCs w:val="22"/>
        </w:rPr>
      </w:pPr>
      <w:r w:rsidRPr="000712B9">
        <w:rPr>
          <w:rFonts w:ascii="Arial" w:hAnsi="Arial" w:cs="Arial"/>
          <w:sz w:val="22"/>
          <w:szCs w:val="22"/>
        </w:rPr>
        <w:t xml:space="preserve">With respect to the subject site, in </w:t>
      </w:r>
      <w:r w:rsidR="00A57375">
        <w:rPr>
          <w:rFonts w:ascii="Arial" w:hAnsi="Arial" w:cs="Arial"/>
          <w:sz w:val="22"/>
          <w:szCs w:val="22"/>
        </w:rPr>
        <w:t>June 2021</w:t>
      </w:r>
      <w:r w:rsidRPr="000712B9">
        <w:rPr>
          <w:rFonts w:ascii="Arial" w:hAnsi="Arial" w:cs="Arial"/>
          <w:sz w:val="22"/>
          <w:szCs w:val="22"/>
        </w:rPr>
        <w:t xml:space="preserve">, Bousfields Inc. prepared a Planning and Urban Design Rationale report in support of a combined Official Plan and Zoning By-law Amendment application to permit the redevelopment of the subject site </w:t>
      </w:r>
      <w:r w:rsidR="00A57375" w:rsidRPr="00A57375">
        <w:rPr>
          <w:rFonts w:ascii="Arial" w:hAnsi="Arial" w:cs="Arial"/>
          <w:sz w:val="22"/>
          <w:szCs w:val="22"/>
        </w:rPr>
        <w:t>six residential buildings</w:t>
      </w:r>
      <w:r w:rsidR="00A57375">
        <w:rPr>
          <w:rFonts w:ascii="Arial" w:hAnsi="Arial" w:cs="Arial"/>
          <w:sz w:val="22"/>
          <w:szCs w:val="22"/>
        </w:rPr>
        <w:t xml:space="preserve">, with heights ranging from 13-36 storeys, comprised of </w:t>
      </w:r>
      <w:r w:rsidR="00A57375" w:rsidRPr="00A57375">
        <w:rPr>
          <w:rFonts w:ascii="Arial" w:hAnsi="Arial" w:cs="Arial"/>
          <w:sz w:val="22"/>
          <w:szCs w:val="22"/>
        </w:rPr>
        <w:t>ground-related retail space</w:t>
      </w:r>
      <w:r w:rsidR="00A57375">
        <w:rPr>
          <w:rFonts w:ascii="Arial" w:hAnsi="Arial" w:cs="Arial"/>
          <w:sz w:val="22"/>
          <w:szCs w:val="22"/>
        </w:rPr>
        <w:t xml:space="preserve">, and approximately </w:t>
      </w:r>
      <w:r w:rsidR="00A57375" w:rsidRPr="00A57375">
        <w:rPr>
          <w:rFonts w:ascii="Arial" w:hAnsi="Arial" w:cs="Arial"/>
          <w:sz w:val="22"/>
          <w:szCs w:val="22"/>
        </w:rPr>
        <w:t xml:space="preserve">1,519 </w:t>
      </w:r>
      <w:r w:rsidR="00A57375">
        <w:rPr>
          <w:rFonts w:ascii="Arial" w:hAnsi="Arial" w:cs="Arial"/>
          <w:sz w:val="22"/>
          <w:szCs w:val="22"/>
        </w:rPr>
        <w:t xml:space="preserve">residential </w:t>
      </w:r>
      <w:r w:rsidR="00A57375" w:rsidRPr="00A57375">
        <w:rPr>
          <w:rFonts w:ascii="Arial" w:hAnsi="Arial" w:cs="Arial"/>
          <w:sz w:val="22"/>
          <w:szCs w:val="22"/>
        </w:rPr>
        <w:t>dwelling units</w:t>
      </w:r>
      <w:r w:rsidR="00A57375">
        <w:rPr>
          <w:rFonts w:ascii="Arial" w:hAnsi="Arial" w:cs="Arial"/>
          <w:sz w:val="22"/>
          <w:szCs w:val="22"/>
        </w:rPr>
        <w:t>, with an overall density of 4.6 FSI.</w:t>
      </w:r>
      <w:r w:rsidR="00A17303">
        <w:rPr>
          <w:rFonts w:ascii="Arial" w:hAnsi="Arial" w:cs="Arial"/>
          <w:sz w:val="22"/>
          <w:szCs w:val="22"/>
        </w:rPr>
        <w:t xml:space="preserve"> </w:t>
      </w:r>
      <w:r w:rsidRPr="000712B9">
        <w:rPr>
          <w:rFonts w:ascii="Arial" w:hAnsi="Arial" w:cs="Arial"/>
          <w:sz w:val="22"/>
          <w:szCs w:val="22"/>
        </w:rPr>
        <w:t>The report concluded that</w:t>
      </w:r>
      <w:r w:rsidR="00A17303">
        <w:rPr>
          <w:rFonts w:ascii="Arial" w:hAnsi="Arial" w:cs="Arial"/>
          <w:sz w:val="22"/>
          <w:szCs w:val="22"/>
        </w:rPr>
        <w:t xml:space="preserve"> the proposed development would </w:t>
      </w:r>
      <w:r w:rsidR="00A17303" w:rsidRPr="00A17303">
        <w:rPr>
          <w:rFonts w:ascii="Arial" w:hAnsi="Arial" w:cs="Arial"/>
          <w:sz w:val="22"/>
          <w:szCs w:val="22"/>
        </w:rPr>
        <w:lastRenderedPageBreak/>
        <w:t>contribute to the achievement of numerous policy directions supporting intensification and infill on underutilized sites within the built-up urban area, particularly in locations which are well served by municipal infrastructure, including existing public transit infrastructure.</w:t>
      </w:r>
    </w:p>
    <w:p w14:paraId="68C80F80" w14:textId="4C997D0D" w:rsidR="00377AAC" w:rsidRDefault="00377AAC" w:rsidP="00D27664">
      <w:pPr>
        <w:spacing w:line="276" w:lineRule="auto"/>
        <w:jc w:val="both"/>
        <w:outlineLvl w:val="6"/>
        <w:rPr>
          <w:rFonts w:ascii="Arial" w:hAnsi="Arial" w:cs="Arial"/>
          <w:sz w:val="22"/>
          <w:szCs w:val="22"/>
        </w:rPr>
      </w:pPr>
    </w:p>
    <w:p w14:paraId="4C55A160" w14:textId="449984B8" w:rsidR="006422FE" w:rsidRDefault="006422FE" w:rsidP="006422FE">
      <w:pPr>
        <w:spacing w:line="276" w:lineRule="auto"/>
        <w:jc w:val="both"/>
        <w:outlineLvl w:val="6"/>
        <w:rPr>
          <w:rFonts w:ascii="Arial" w:hAnsi="Arial" w:cs="Arial"/>
          <w:sz w:val="22"/>
          <w:szCs w:val="22"/>
        </w:rPr>
      </w:pPr>
      <w:r>
        <w:rPr>
          <w:rFonts w:ascii="Arial" w:hAnsi="Arial" w:cs="Arial"/>
          <w:sz w:val="22"/>
          <w:szCs w:val="22"/>
        </w:rPr>
        <w:t xml:space="preserve">With respect to the broader urban structure, </w:t>
      </w:r>
      <w:r w:rsidRPr="000712B9">
        <w:rPr>
          <w:rFonts w:ascii="Arial" w:hAnsi="Arial" w:cs="Arial"/>
          <w:sz w:val="22"/>
          <w:szCs w:val="22"/>
        </w:rPr>
        <w:t xml:space="preserve">the presence of existing higher-order transit infrastructure has resulted in an increase in maximum density limits for large sites along the corridor, particularly to the </w:t>
      </w:r>
      <w:r>
        <w:rPr>
          <w:rFonts w:ascii="Arial" w:hAnsi="Arial" w:cs="Arial"/>
          <w:sz w:val="22"/>
          <w:szCs w:val="22"/>
        </w:rPr>
        <w:t>north</w:t>
      </w:r>
      <w:r w:rsidRPr="000712B9">
        <w:rPr>
          <w:rFonts w:ascii="Arial" w:hAnsi="Arial" w:cs="Arial"/>
          <w:sz w:val="22"/>
          <w:szCs w:val="22"/>
        </w:rPr>
        <w:t xml:space="preserve"> of the site at </w:t>
      </w:r>
      <w:r>
        <w:rPr>
          <w:rFonts w:ascii="Arial" w:hAnsi="Arial" w:cs="Arial"/>
          <w:sz w:val="22"/>
          <w:szCs w:val="22"/>
        </w:rPr>
        <w:t>the intersection of Warden Avenue and St. Clair Avenue East. In this respect, as part of the Housing Now Initiative</w:t>
      </w:r>
      <w:r w:rsidRPr="00876C85">
        <w:rPr>
          <w:rFonts w:ascii="Arial" w:hAnsi="Arial" w:cs="Arial"/>
          <w:color w:val="000000" w:themeColor="text1"/>
          <w:sz w:val="22"/>
          <w:szCs w:val="22"/>
        </w:rPr>
        <w:t>, a Rezoning and Draft Plan of Subdivision application w</w:t>
      </w:r>
      <w:r>
        <w:rPr>
          <w:rFonts w:ascii="Arial" w:hAnsi="Arial" w:cs="Arial"/>
          <w:color w:val="000000" w:themeColor="text1"/>
          <w:sz w:val="22"/>
          <w:szCs w:val="22"/>
        </w:rPr>
        <w:t>as</w:t>
      </w:r>
      <w:r w:rsidRPr="00876C85">
        <w:rPr>
          <w:rFonts w:ascii="Arial" w:hAnsi="Arial" w:cs="Arial"/>
          <w:color w:val="000000" w:themeColor="text1"/>
          <w:sz w:val="22"/>
          <w:szCs w:val="22"/>
        </w:rPr>
        <w:t xml:space="preserve"> submitted</w:t>
      </w:r>
      <w:r>
        <w:rPr>
          <w:rFonts w:ascii="Arial" w:hAnsi="Arial" w:cs="Arial"/>
          <w:color w:val="000000" w:themeColor="text1"/>
          <w:sz w:val="22"/>
          <w:szCs w:val="22"/>
        </w:rPr>
        <w:t xml:space="preserve"> in July of 2019</w:t>
      </w:r>
      <w:r w:rsidRPr="00876C85">
        <w:rPr>
          <w:rFonts w:ascii="Arial" w:hAnsi="Arial" w:cs="Arial"/>
          <w:color w:val="000000" w:themeColor="text1"/>
          <w:sz w:val="22"/>
          <w:szCs w:val="22"/>
        </w:rPr>
        <w:t xml:space="preserve"> to permit </w:t>
      </w:r>
      <w:r w:rsidRPr="00460AC6">
        <w:rPr>
          <w:rFonts w:ascii="Arial" w:hAnsi="Arial" w:cs="Arial"/>
          <w:color w:val="000000" w:themeColor="text1"/>
          <w:sz w:val="22"/>
          <w:szCs w:val="22"/>
        </w:rPr>
        <w:t>a mixed-use community comprised of three residential buildings of 7-, 8- and 18-storeys and approximately 37,500 square metres of gross floor area</w:t>
      </w:r>
      <w:r w:rsidRPr="00876C85">
        <w:rPr>
          <w:rFonts w:ascii="Arial" w:hAnsi="Arial" w:cs="Arial"/>
          <w:color w:val="000000" w:themeColor="text1"/>
          <w:sz w:val="22"/>
          <w:szCs w:val="22"/>
        </w:rPr>
        <w:t>.</w:t>
      </w:r>
      <w:r>
        <w:rPr>
          <w:rFonts w:ascii="Arial" w:hAnsi="Arial" w:cs="Arial"/>
          <w:sz w:val="22"/>
          <w:szCs w:val="22"/>
        </w:rPr>
        <w:t xml:space="preserve"> </w:t>
      </w:r>
      <w:r w:rsidRPr="003445E9">
        <w:rPr>
          <w:rFonts w:ascii="Arial" w:hAnsi="Arial" w:cs="Arial"/>
          <w:sz w:val="22"/>
          <w:szCs w:val="22"/>
        </w:rPr>
        <w:t>A Final Report on the</w:t>
      </w:r>
      <w:r>
        <w:rPr>
          <w:rFonts w:ascii="Arial" w:hAnsi="Arial" w:cs="Arial"/>
          <w:sz w:val="22"/>
          <w:szCs w:val="22"/>
        </w:rPr>
        <w:t xml:space="preserve"> Create TO</w:t>
      </w:r>
      <w:r w:rsidRPr="003445E9">
        <w:rPr>
          <w:rFonts w:ascii="Arial" w:hAnsi="Arial" w:cs="Arial"/>
          <w:sz w:val="22"/>
          <w:szCs w:val="22"/>
        </w:rPr>
        <w:t xml:space="preserve"> applications (dated January 28, 2020) was considered by the Planning and Housing </w:t>
      </w:r>
      <w:r w:rsidRPr="00616049">
        <w:rPr>
          <w:rFonts w:ascii="Arial" w:hAnsi="Arial" w:cs="Arial"/>
          <w:sz w:val="22"/>
          <w:szCs w:val="22"/>
        </w:rPr>
        <w:t xml:space="preserve">Committee ("PHC") at its meeting of February 12, 2020. The PHC adjourned the meeting and requested the Chief Planner and Executive Director, City Planning, in consultation with the Chief Executive Officer, </w:t>
      </w:r>
      <w:proofErr w:type="spellStart"/>
      <w:r w:rsidRPr="00616049">
        <w:rPr>
          <w:rFonts w:ascii="Arial" w:hAnsi="Arial" w:cs="Arial"/>
          <w:sz w:val="22"/>
          <w:szCs w:val="22"/>
        </w:rPr>
        <w:t>CreateTO</w:t>
      </w:r>
      <w:proofErr w:type="spellEnd"/>
      <w:r w:rsidRPr="00616049">
        <w:rPr>
          <w:rFonts w:ascii="Arial" w:hAnsi="Arial" w:cs="Arial"/>
          <w:sz w:val="22"/>
          <w:szCs w:val="22"/>
        </w:rPr>
        <w:t xml:space="preserve"> and the Executive Director, Housing Secretariat, to review potential revisions to the development concept with the objective of providing additional housing opportunities on the site. In response to comments, an updated concept plan was submitted in May of 2020, which added additional residential density to the site</w:t>
      </w:r>
      <w:r>
        <w:rPr>
          <w:rFonts w:ascii="Arial" w:hAnsi="Arial" w:cs="Arial"/>
          <w:sz w:val="22"/>
          <w:szCs w:val="22"/>
        </w:rPr>
        <w:t>. As approved, the zoning permissions would allow for a building of up to 19-storeys, 600 residential units, and a resulting density of 3.5 FSI</w:t>
      </w:r>
      <w:r w:rsidR="00A96799">
        <w:rPr>
          <w:rFonts w:ascii="Arial" w:hAnsi="Arial" w:cs="Arial"/>
          <w:sz w:val="22"/>
          <w:szCs w:val="22"/>
        </w:rPr>
        <w:t xml:space="preserve"> (which just reaches the minimum 3.5 FSI of the PMTSA)</w:t>
      </w:r>
    </w:p>
    <w:p w14:paraId="77B0D86F" w14:textId="77777777" w:rsidR="006422FE" w:rsidRDefault="006422FE" w:rsidP="00D27664">
      <w:pPr>
        <w:spacing w:line="276" w:lineRule="auto"/>
        <w:jc w:val="both"/>
        <w:outlineLvl w:val="6"/>
        <w:rPr>
          <w:rFonts w:ascii="Arial" w:hAnsi="Arial" w:cs="Arial"/>
          <w:sz w:val="22"/>
          <w:szCs w:val="22"/>
        </w:rPr>
      </w:pPr>
    </w:p>
    <w:p w14:paraId="60F846B2" w14:textId="28D4FFFF" w:rsidR="00703A8C" w:rsidRDefault="00D22E4D" w:rsidP="00DD0BC5">
      <w:pPr>
        <w:spacing w:line="276" w:lineRule="auto"/>
        <w:jc w:val="both"/>
        <w:rPr>
          <w:rFonts w:ascii="Arial" w:hAnsi="Arial" w:cs="Arial"/>
          <w:sz w:val="22"/>
          <w:szCs w:val="22"/>
        </w:rPr>
      </w:pPr>
      <w:r>
        <w:rPr>
          <w:rFonts w:ascii="Arial" w:hAnsi="Arial" w:cs="Arial"/>
          <w:sz w:val="22"/>
          <w:szCs w:val="22"/>
        </w:rPr>
        <w:t>In terms of other lands along the corridor and within the PMTSA boundary,</w:t>
      </w:r>
      <w:r w:rsidR="002833A6">
        <w:rPr>
          <w:rFonts w:ascii="Arial" w:hAnsi="Arial" w:cs="Arial"/>
          <w:sz w:val="22"/>
          <w:szCs w:val="22"/>
        </w:rPr>
        <w:t xml:space="preserve"> a sizeable portion of lands are designated </w:t>
      </w:r>
      <w:r w:rsidR="002833A6">
        <w:rPr>
          <w:rFonts w:ascii="Arial" w:hAnsi="Arial" w:cs="Arial"/>
          <w:i/>
          <w:iCs/>
          <w:sz w:val="22"/>
          <w:szCs w:val="22"/>
        </w:rPr>
        <w:t>Neighbourhoods</w:t>
      </w:r>
      <w:r w:rsidR="00703A8C">
        <w:rPr>
          <w:rFonts w:ascii="Arial" w:hAnsi="Arial" w:cs="Arial"/>
          <w:i/>
          <w:iCs/>
          <w:sz w:val="22"/>
          <w:szCs w:val="22"/>
        </w:rPr>
        <w:t>,</w:t>
      </w:r>
      <w:r w:rsidR="002833A6">
        <w:rPr>
          <w:rFonts w:ascii="Arial" w:hAnsi="Arial" w:cs="Arial"/>
          <w:i/>
          <w:iCs/>
          <w:sz w:val="22"/>
          <w:szCs w:val="22"/>
        </w:rPr>
        <w:t xml:space="preserve"> </w:t>
      </w:r>
      <w:r w:rsidR="002833A6">
        <w:rPr>
          <w:rFonts w:ascii="Arial" w:hAnsi="Arial" w:cs="Arial"/>
          <w:sz w:val="22"/>
          <w:szCs w:val="22"/>
        </w:rPr>
        <w:t xml:space="preserve">wherein significant forms of redevelopment would be precluded. As well, lands to the </w:t>
      </w:r>
      <w:r w:rsidR="00DD0BC5">
        <w:rPr>
          <w:rFonts w:ascii="Arial" w:hAnsi="Arial" w:cs="Arial"/>
          <w:sz w:val="22"/>
          <w:szCs w:val="22"/>
        </w:rPr>
        <w:t>north</w:t>
      </w:r>
      <w:r w:rsidR="002833A6">
        <w:rPr>
          <w:rFonts w:ascii="Arial" w:hAnsi="Arial" w:cs="Arial"/>
          <w:sz w:val="22"/>
          <w:szCs w:val="22"/>
        </w:rPr>
        <w:t xml:space="preserve"> of the subject site</w:t>
      </w:r>
      <w:r w:rsidR="00DD0BC5">
        <w:rPr>
          <w:rFonts w:ascii="Arial" w:hAnsi="Arial" w:cs="Arial"/>
          <w:sz w:val="22"/>
          <w:szCs w:val="22"/>
        </w:rPr>
        <w:t xml:space="preserve">, </w:t>
      </w:r>
      <w:r w:rsidR="007F57DD" w:rsidRPr="00703A8C">
        <w:rPr>
          <w:rFonts w:ascii="Arial" w:hAnsi="Arial" w:cs="Arial"/>
          <w:sz w:val="22"/>
          <w:szCs w:val="22"/>
        </w:rPr>
        <w:t xml:space="preserve">which have </w:t>
      </w:r>
      <w:r w:rsidR="00DD0BC5" w:rsidRPr="00703A8C">
        <w:rPr>
          <w:rFonts w:ascii="Arial" w:hAnsi="Arial" w:cs="Arial"/>
          <w:sz w:val="22"/>
          <w:szCs w:val="22"/>
        </w:rPr>
        <w:t>a specified density of 2.0 FSI</w:t>
      </w:r>
      <w:r w:rsidR="007F57DD" w:rsidRPr="00703A8C">
        <w:rPr>
          <w:rFonts w:ascii="Arial" w:hAnsi="Arial" w:cs="Arial"/>
          <w:sz w:val="22"/>
          <w:szCs w:val="22"/>
        </w:rPr>
        <w:t xml:space="preserve"> on Map 2 of SASP 648,</w:t>
      </w:r>
      <w:r w:rsidR="00DD0BC5" w:rsidRPr="00703A8C">
        <w:rPr>
          <w:rFonts w:ascii="Arial" w:hAnsi="Arial" w:cs="Arial"/>
          <w:sz w:val="22"/>
          <w:szCs w:val="22"/>
        </w:rPr>
        <w:t xml:space="preserve"> are owned by Ontario Hydro and are occupied by a large hydro facility</w:t>
      </w:r>
      <w:r w:rsidR="007F57DD" w:rsidRPr="00703A8C">
        <w:rPr>
          <w:rFonts w:ascii="Arial" w:hAnsi="Arial" w:cs="Arial"/>
          <w:sz w:val="22"/>
          <w:szCs w:val="22"/>
        </w:rPr>
        <w:t xml:space="preserve"> and hydro lines. These lands are designated </w:t>
      </w:r>
      <w:r w:rsidR="007F57DD" w:rsidRPr="00703A8C">
        <w:rPr>
          <w:rFonts w:ascii="Arial" w:hAnsi="Arial" w:cs="Arial"/>
          <w:i/>
          <w:iCs/>
          <w:sz w:val="22"/>
          <w:szCs w:val="22"/>
        </w:rPr>
        <w:t xml:space="preserve">Utility Corridor </w:t>
      </w:r>
      <w:r w:rsidR="007F57DD" w:rsidRPr="00703A8C">
        <w:rPr>
          <w:rFonts w:ascii="Arial" w:hAnsi="Arial" w:cs="Arial"/>
          <w:sz w:val="22"/>
          <w:szCs w:val="22"/>
        </w:rPr>
        <w:t xml:space="preserve">in the City of Toronto Official </w:t>
      </w:r>
      <w:r w:rsidR="00111A57" w:rsidRPr="00703A8C">
        <w:rPr>
          <w:rFonts w:ascii="Arial" w:hAnsi="Arial" w:cs="Arial"/>
          <w:sz w:val="22"/>
          <w:szCs w:val="22"/>
        </w:rPr>
        <w:t>Plan and</w:t>
      </w:r>
      <w:r w:rsidR="00703A8C" w:rsidRPr="00703A8C">
        <w:rPr>
          <w:rFonts w:ascii="Arial" w:hAnsi="Arial" w:cs="Arial"/>
          <w:sz w:val="22"/>
          <w:szCs w:val="22"/>
        </w:rPr>
        <w:t xml:space="preserve"> are primarily used for the movement and transmission of energy. The City of Toronto Official Plan also clarifies that when these corridors are declared surplus, every effort should be made to secure </w:t>
      </w:r>
      <w:r w:rsidR="00703A8C" w:rsidRPr="00703A8C">
        <w:rPr>
          <w:rFonts w:ascii="Arial" w:hAnsi="Arial" w:cs="Arial"/>
          <w:i/>
          <w:iCs/>
          <w:sz w:val="22"/>
          <w:szCs w:val="22"/>
        </w:rPr>
        <w:t>Utility Corridors</w:t>
      </w:r>
      <w:r w:rsidR="00703A8C" w:rsidRPr="00703A8C">
        <w:rPr>
          <w:rFonts w:ascii="Arial" w:hAnsi="Arial" w:cs="Arial"/>
          <w:sz w:val="22"/>
          <w:szCs w:val="22"/>
        </w:rPr>
        <w:t xml:space="preserve"> for a variety of public uses (such as public transportation routes, bicycle and pedestrian trails, community and allotment gardens, linear parks and open space or shared parking facilities).</w:t>
      </w:r>
      <w:r w:rsidR="00703A8C">
        <w:rPr>
          <w:rFonts w:ascii="Arial" w:hAnsi="Arial" w:cs="Arial"/>
          <w:sz w:val="22"/>
          <w:szCs w:val="22"/>
        </w:rPr>
        <w:t xml:space="preserve"> Accordingly, it is our opinion that new mixed-use development on these lands would be highly constrained and unlikely.</w:t>
      </w:r>
    </w:p>
    <w:p w14:paraId="3A2B4C1F" w14:textId="4DDC6123" w:rsidR="00D22E4D" w:rsidRDefault="00D22E4D" w:rsidP="00D27664">
      <w:pPr>
        <w:spacing w:line="276" w:lineRule="auto"/>
        <w:jc w:val="both"/>
        <w:rPr>
          <w:rFonts w:ascii="Arial" w:hAnsi="Arial" w:cs="Arial"/>
          <w:sz w:val="22"/>
          <w:szCs w:val="22"/>
        </w:rPr>
      </w:pPr>
    </w:p>
    <w:p w14:paraId="3A56D7C6" w14:textId="0E6DA5C4" w:rsidR="00F6376E" w:rsidRPr="0086720C" w:rsidRDefault="00703A8C" w:rsidP="0086720C">
      <w:pPr>
        <w:spacing w:line="276" w:lineRule="auto"/>
        <w:jc w:val="both"/>
        <w:rPr>
          <w:rFonts w:ascii="Arial" w:eastAsiaTheme="minorHAnsi" w:hAnsi="Arial" w:cs="Arial"/>
          <w:sz w:val="22"/>
          <w:szCs w:val="22"/>
          <w:lang w:val="en-US"/>
        </w:rPr>
      </w:pPr>
      <w:r>
        <w:rPr>
          <w:rFonts w:ascii="Arial" w:eastAsiaTheme="minorHAnsi" w:hAnsi="Arial" w:cs="Arial"/>
          <w:sz w:val="22"/>
          <w:szCs w:val="22"/>
          <w:lang w:val="en-US"/>
        </w:rPr>
        <w:t xml:space="preserve">Accordingly, based on a review of the existing and planned context, the subject site is one of very few properties in the </w:t>
      </w:r>
      <w:r w:rsidR="0086720C">
        <w:rPr>
          <w:rFonts w:ascii="Arial" w:eastAsiaTheme="minorHAnsi" w:hAnsi="Arial" w:cs="Arial"/>
          <w:sz w:val="22"/>
          <w:szCs w:val="22"/>
          <w:lang w:val="en-US"/>
        </w:rPr>
        <w:t>PMTSA boundary</w:t>
      </w:r>
      <w:r>
        <w:rPr>
          <w:rFonts w:ascii="Arial" w:eastAsiaTheme="minorHAnsi" w:hAnsi="Arial" w:cs="Arial"/>
          <w:sz w:val="22"/>
          <w:szCs w:val="22"/>
          <w:lang w:val="en-US"/>
        </w:rPr>
        <w:t xml:space="preserve"> that can support the achievement of</w:t>
      </w:r>
      <w:r w:rsidR="0086720C">
        <w:rPr>
          <w:rFonts w:ascii="Arial" w:eastAsiaTheme="minorHAnsi" w:hAnsi="Arial" w:cs="Arial"/>
          <w:sz w:val="22"/>
          <w:szCs w:val="22"/>
          <w:lang w:val="en-US"/>
        </w:rPr>
        <w:t xml:space="preserve"> minimum</w:t>
      </w:r>
      <w:r>
        <w:rPr>
          <w:rFonts w:ascii="Arial" w:eastAsiaTheme="minorHAnsi" w:hAnsi="Arial" w:cs="Arial"/>
          <w:sz w:val="22"/>
          <w:szCs w:val="22"/>
          <w:lang w:val="en-US"/>
        </w:rPr>
        <w:t xml:space="preserve"> intensification targets outlined in the Growth Plan.</w:t>
      </w:r>
      <w:r w:rsidR="0086720C">
        <w:rPr>
          <w:rFonts w:ascii="Arial" w:eastAsiaTheme="minorHAnsi" w:hAnsi="Arial" w:cs="Arial"/>
          <w:sz w:val="22"/>
          <w:szCs w:val="22"/>
          <w:lang w:val="en-US"/>
        </w:rPr>
        <w:t xml:space="preserve"> </w:t>
      </w:r>
      <w:r w:rsidR="00F6376E" w:rsidRPr="00470911">
        <w:rPr>
          <w:rFonts w:ascii="Arial" w:hAnsi="Arial" w:cs="Arial"/>
          <w:sz w:val="22"/>
          <w:szCs w:val="22"/>
        </w:rPr>
        <w:t>In our opinion, the minimum densit</w:t>
      </w:r>
      <w:r w:rsidR="00A17303">
        <w:rPr>
          <w:rFonts w:ascii="Arial" w:hAnsi="Arial" w:cs="Arial"/>
          <w:sz w:val="22"/>
          <w:szCs w:val="22"/>
        </w:rPr>
        <w:t>y of 3</w:t>
      </w:r>
      <w:r w:rsidR="00F6376E" w:rsidRPr="00470911">
        <w:rPr>
          <w:rFonts w:ascii="Arial" w:hAnsi="Arial" w:cs="Arial"/>
          <w:sz w:val="22"/>
          <w:szCs w:val="22"/>
        </w:rPr>
        <w:t>.0 FSI for subject site</w:t>
      </w:r>
      <w:r w:rsidR="00A17303">
        <w:rPr>
          <w:rFonts w:ascii="Arial" w:hAnsi="Arial" w:cs="Arial"/>
          <w:sz w:val="22"/>
          <w:szCs w:val="22"/>
        </w:rPr>
        <w:t xml:space="preserve"> is</w:t>
      </w:r>
      <w:r w:rsidR="00F6376E" w:rsidRPr="00470911">
        <w:rPr>
          <w:rFonts w:ascii="Arial" w:hAnsi="Arial" w:cs="Arial"/>
          <w:sz w:val="22"/>
          <w:szCs w:val="22"/>
        </w:rPr>
        <w:t xml:space="preserve"> artificially </w:t>
      </w:r>
      <w:r w:rsidR="00111A57" w:rsidRPr="00470911">
        <w:rPr>
          <w:rFonts w:ascii="Arial" w:hAnsi="Arial" w:cs="Arial"/>
          <w:sz w:val="22"/>
          <w:szCs w:val="22"/>
        </w:rPr>
        <w:t>low and</w:t>
      </w:r>
      <w:r w:rsidR="00F6376E" w:rsidRPr="00470911">
        <w:rPr>
          <w:rFonts w:ascii="Arial" w:hAnsi="Arial" w:cs="Arial"/>
          <w:sz w:val="22"/>
          <w:szCs w:val="22"/>
        </w:rPr>
        <w:t xml:space="preserve"> </w:t>
      </w:r>
      <w:r w:rsidR="00A17303">
        <w:rPr>
          <w:rFonts w:ascii="Arial" w:hAnsi="Arial" w:cs="Arial"/>
          <w:sz w:val="22"/>
          <w:szCs w:val="22"/>
        </w:rPr>
        <w:t>is</w:t>
      </w:r>
      <w:r w:rsidR="00F6376E" w:rsidRPr="00470911">
        <w:rPr>
          <w:rFonts w:ascii="Arial" w:hAnsi="Arial" w:cs="Arial"/>
          <w:sz w:val="22"/>
          <w:szCs w:val="22"/>
        </w:rPr>
        <w:t xml:space="preserve"> inconsistent with provincial and municipal policy objectives which encourage an integrated approach to transportation and land use planning, promote the development of complete </w:t>
      </w:r>
      <w:r w:rsidR="00F6376E" w:rsidRPr="00470911">
        <w:rPr>
          <w:rFonts w:ascii="Arial" w:hAnsi="Arial" w:cs="Arial"/>
          <w:sz w:val="22"/>
          <w:szCs w:val="22"/>
        </w:rPr>
        <w:lastRenderedPageBreak/>
        <w:t xml:space="preserve">communities, and support the optimization and efficient use of land and infrastructure within the built-up areas. </w:t>
      </w:r>
    </w:p>
    <w:p w14:paraId="472039D1" w14:textId="77777777" w:rsidR="00F6376E" w:rsidRPr="000712B9" w:rsidRDefault="00F6376E" w:rsidP="00D27664">
      <w:pPr>
        <w:spacing w:line="276" w:lineRule="auto"/>
        <w:jc w:val="both"/>
        <w:rPr>
          <w:rFonts w:ascii="Arial" w:hAnsi="Arial" w:cs="Arial"/>
          <w:sz w:val="22"/>
          <w:szCs w:val="22"/>
        </w:rPr>
      </w:pPr>
    </w:p>
    <w:p w14:paraId="0351AAE9" w14:textId="1F7D18A9" w:rsidR="000033ED" w:rsidRPr="000712B9" w:rsidRDefault="000033ED" w:rsidP="00D27664">
      <w:pPr>
        <w:spacing w:line="276" w:lineRule="auto"/>
        <w:jc w:val="both"/>
        <w:outlineLvl w:val="6"/>
        <w:rPr>
          <w:rFonts w:ascii="Arial" w:hAnsi="Arial" w:cs="Arial"/>
          <w:color w:val="242424"/>
          <w:sz w:val="22"/>
          <w:szCs w:val="22"/>
          <w:shd w:val="clear" w:color="auto" w:fill="FFFFFF"/>
        </w:rPr>
      </w:pPr>
      <w:proofErr w:type="gramStart"/>
      <w:r w:rsidRPr="000712B9">
        <w:rPr>
          <w:rFonts w:ascii="Arial" w:hAnsi="Arial" w:cs="Arial"/>
          <w:color w:val="242424"/>
          <w:sz w:val="22"/>
          <w:szCs w:val="22"/>
          <w:shd w:val="clear" w:color="auto" w:fill="FFFFFF"/>
        </w:rPr>
        <w:t>In order to</w:t>
      </w:r>
      <w:proofErr w:type="gramEnd"/>
      <w:r w:rsidRPr="000712B9">
        <w:rPr>
          <w:rFonts w:ascii="Arial" w:hAnsi="Arial" w:cs="Arial"/>
          <w:color w:val="242424"/>
          <w:sz w:val="22"/>
          <w:szCs w:val="22"/>
          <w:shd w:val="clear" w:color="auto" w:fill="FFFFFF"/>
        </w:rPr>
        <w:t xml:space="preserve"> facilitate the intensification of sites </w:t>
      </w:r>
      <w:r w:rsidR="00A17303">
        <w:rPr>
          <w:rFonts w:ascii="Arial" w:hAnsi="Arial" w:cs="Arial"/>
          <w:color w:val="242424"/>
          <w:sz w:val="22"/>
          <w:szCs w:val="22"/>
          <w:shd w:val="clear" w:color="auto" w:fill="FFFFFF"/>
        </w:rPr>
        <w:t>within the</w:t>
      </w:r>
      <w:r w:rsidRPr="000712B9">
        <w:rPr>
          <w:rFonts w:ascii="Arial" w:hAnsi="Arial" w:cs="Arial"/>
          <w:color w:val="242424"/>
          <w:sz w:val="22"/>
          <w:szCs w:val="22"/>
          <w:shd w:val="clear" w:color="auto" w:fill="FFFFFF"/>
        </w:rPr>
        <w:t xml:space="preserve"> </w:t>
      </w:r>
      <w:r w:rsidR="00A17303">
        <w:rPr>
          <w:rFonts w:ascii="Arial" w:hAnsi="Arial" w:cs="Arial"/>
          <w:color w:val="242424"/>
          <w:sz w:val="22"/>
          <w:szCs w:val="22"/>
          <w:shd w:val="clear" w:color="auto" w:fill="FFFFFF"/>
        </w:rPr>
        <w:t>Warden PMTSA</w:t>
      </w:r>
      <w:r w:rsidRPr="000712B9">
        <w:rPr>
          <w:rFonts w:ascii="Arial" w:hAnsi="Arial" w:cs="Arial"/>
          <w:color w:val="242424"/>
          <w:sz w:val="22"/>
          <w:szCs w:val="22"/>
          <w:shd w:val="clear" w:color="auto" w:fill="FFFFFF"/>
        </w:rPr>
        <w:t>,</w:t>
      </w:r>
      <w:r w:rsidR="000D0AD3" w:rsidRPr="000712B9">
        <w:rPr>
          <w:rFonts w:ascii="Arial" w:hAnsi="Arial" w:cs="Arial"/>
          <w:color w:val="242424"/>
          <w:sz w:val="22"/>
          <w:szCs w:val="22"/>
          <w:shd w:val="clear" w:color="auto" w:fill="FFFFFF"/>
        </w:rPr>
        <w:t xml:space="preserve"> promote </w:t>
      </w:r>
      <w:r w:rsidR="000D0AD3" w:rsidRPr="00470911">
        <w:rPr>
          <w:rFonts w:ascii="Arial" w:hAnsi="Arial" w:cs="Arial"/>
          <w:sz w:val="22"/>
          <w:szCs w:val="22"/>
        </w:rPr>
        <w:t>the delivery of new housing supply and support the optimization and efficient use of land and infrastructure within the built-up areas,</w:t>
      </w:r>
      <w:r w:rsidRPr="000712B9">
        <w:rPr>
          <w:rFonts w:ascii="Arial" w:hAnsi="Arial" w:cs="Arial"/>
          <w:color w:val="242424"/>
          <w:sz w:val="22"/>
          <w:szCs w:val="22"/>
          <w:shd w:val="clear" w:color="auto" w:fill="FFFFFF"/>
        </w:rPr>
        <w:t xml:space="preserve"> it is our opinion that a minimum density in the </w:t>
      </w:r>
      <w:r w:rsidRPr="008B26E1">
        <w:rPr>
          <w:rFonts w:ascii="Arial" w:hAnsi="Arial" w:cs="Arial"/>
          <w:color w:val="242424"/>
          <w:sz w:val="22"/>
          <w:szCs w:val="22"/>
          <w:shd w:val="clear" w:color="auto" w:fill="FFFFFF"/>
        </w:rPr>
        <w:t xml:space="preserve">range of </w:t>
      </w:r>
      <w:r w:rsidR="00A17303" w:rsidRPr="008B26E1">
        <w:rPr>
          <w:rFonts w:ascii="Arial" w:hAnsi="Arial" w:cs="Arial"/>
          <w:color w:val="242424"/>
          <w:sz w:val="22"/>
          <w:szCs w:val="22"/>
          <w:shd w:val="clear" w:color="auto" w:fill="FFFFFF"/>
        </w:rPr>
        <w:t>4.5</w:t>
      </w:r>
      <w:r w:rsidRPr="000712B9">
        <w:rPr>
          <w:rFonts w:ascii="Arial" w:hAnsi="Arial" w:cs="Arial"/>
          <w:color w:val="242424"/>
          <w:sz w:val="22"/>
          <w:szCs w:val="22"/>
          <w:shd w:val="clear" w:color="auto" w:fill="FFFFFF"/>
        </w:rPr>
        <w:t xml:space="preserve"> </w:t>
      </w:r>
      <w:r w:rsidR="000D0AD3" w:rsidRPr="000712B9">
        <w:rPr>
          <w:rFonts w:ascii="Arial" w:hAnsi="Arial" w:cs="Arial"/>
          <w:color w:val="242424"/>
          <w:sz w:val="22"/>
          <w:szCs w:val="22"/>
          <w:shd w:val="clear" w:color="auto" w:fill="FFFFFF"/>
        </w:rPr>
        <w:t>FSI</w:t>
      </w:r>
      <w:r w:rsidRPr="000712B9">
        <w:rPr>
          <w:rFonts w:ascii="Arial" w:hAnsi="Arial" w:cs="Arial"/>
          <w:color w:val="242424"/>
          <w:sz w:val="22"/>
          <w:szCs w:val="22"/>
          <w:shd w:val="clear" w:color="auto" w:fill="FFFFFF"/>
        </w:rPr>
        <w:t xml:space="preserve"> would be appropriate</w:t>
      </w:r>
      <w:r w:rsidR="00D27664">
        <w:rPr>
          <w:rFonts w:ascii="Arial" w:hAnsi="Arial" w:cs="Arial"/>
          <w:color w:val="242424"/>
          <w:sz w:val="22"/>
          <w:szCs w:val="22"/>
          <w:shd w:val="clear" w:color="auto" w:fill="FFFFFF"/>
        </w:rPr>
        <w:t xml:space="preserve">, </w:t>
      </w:r>
      <w:r w:rsidR="0086720C">
        <w:rPr>
          <w:rFonts w:ascii="Arial" w:hAnsi="Arial" w:cs="Arial"/>
          <w:color w:val="242424"/>
          <w:sz w:val="22"/>
          <w:szCs w:val="22"/>
          <w:shd w:val="clear" w:color="auto" w:fill="FFFFFF"/>
        </w:rPr>
        <w:t xml:space="preserve">and would represent a scale of development </w:t>
      </w:r>
      <w:r w:rsidR="009B527A">
        <w:rPr>
          <w:rFonts w:ascii="Arial" w:hAnsi="Arial" w:cs="Arial"/>
          <w:color w:val="242424"/>
          <w:sz w:val="22"/>
          <w:szCs w:val="22"/>
          <w:shd w:val="clear" w:color="auto" w:fill="FFFFFF"/>
        </w:rPr>
        <w:t>that would assi</w:t>
      </w:r>
      <w:r w:rsidR="00A96799">
        <w:rPr>
          <w:rFonts w:ascii="Arial" w:hAnsi="Arial" w:cs="Arial"/>
          <w:color w:val="242424"/>
          <w:sz w:val="22"/>
          <w:szCs w:val="22"/>
          <w:shd w:val="clear" w:color="auto" w:fill="FFFFFF"/>
        </w:rPr>
        <w:t>s</w:t>
      </w:r>
      <w:r w:rsidR="009B527A">
        <w:rPr>
          <w:rFonts w:ascii="Arial" w:hAnsi="Arial" w:cs="Arial"/>
          <w:color w:val="242424"/>
          <w:sz w:val="22"/>
          <w:szCs w:val="22"/>
          <w:shd w:val="clear" w:color="auto" w:fill="FFFFFF"/>
        </w:rPr>
        <w:t>t in the achievement of minimum intensification targets.</w:t>
      </w:r>
      <w:r w:rsidR="0086720C">
        <w:rPr>
          <w:rFonts w:ascii="Arial" w:hAnsi="Arial" w:cs="Arial"/>
          <w:color w:val="242424"/>
          <w:sz w:val="22"/>
          <w:szCs w:val="22"/>
          <w:shd w:val="clear" w:color="auto" w:fill="FFFFFF"/>
        </w:rPr>
        <w:t xml:space="preserve"> </w:t>
      </w:r>
    </w:p>
    <w:p w14:paraId="574488F9" w14:textId="7B479A89" w:rsidR="000D0AD3" w:rsidRPr="000712B9" w:rsidRDefault="000D0AD3" w:rsidP="00D27664">
      <w:pPr>
        <w:spacing w:line="276" w:lineRule="auto"/>
        <w:jc w:val="both"/>
        <w:outlineLvl w:val="6"/>
        <w:rPr>
          <w:rFonts w:ascii="Arial" w:hAnsi="Arial" w:cs="Arial"/>
          <w:color w:val="242424"/>
          <w:sz w:val="22"/>
          <w:szCs w:val="22"/>
          <w:shd w:val="clear" w:color="auto" w:fill="FFFFFF"/>
        </w:rPr>
      </w:pPr>
    </w:p>
    <w:p w14:paraId="58F39FA4" w14:textId="652FABA0" w:rsidR="000D0AD3" w:rsidRPr="00470911" w:rsidRDefault="000D0AD3" w:rsidP="00D27664">
      <w:pPr>
        <w:autoSpaceDE w:val="0"/>
        <w:autoSpaceDN w:val="0"/>
        <w:adjustRightInd w:val="0"/>
        <w:spacing w:line="276" w:lineRule="auto"/>
        <w:jc w:val="both"/>
        <w:rPr>
          <w:rFonts w:ascii="Arial" w:hAnsi="Arial" w:cs="Arial"/>
          <w:b/>
          <w:bCs/>
          <w:sz w:val="22"/>
          <w:szCs w:val="22"/>
        </w:rPr>
      </w:pPr>
      <w:r w:rsidRPr="00470911">
        <w:rPr>
          <w:rFonts w:ascii="Arial" w:hAnsi="Arial" w:cs="Arial"/>
          <w:b/>
          <w:bCs/>
          <w:sz w:val="22"/>
          <w:szCs w:val="22"/>
        </w:rPr>
        <w:t>Accordingly, we are writing to request that the Ministry of Municipal Affairs and Housing modify OPA 5</w:t>
      </w:r>
      <w:r w:rsidR="00A17303">
        <w:rPr>
          <w:rFonts w:ascii="Arial" w:hAnsi="Arial" w:cs="Arial"/>
          <w:b/>
          <w:bCs/>
          <w:sz w:val="22"/>
          <w:szCs w:val="22"/>
        </w:rPr>
        <w:t>7</w:t>
      </w:r>
      <w:r w:rsidRPr="00470911">
        <w:rPr>
          <w:rFonts w:ascii="Arial" w:hAnsi="Arial" w:cs="Arial"/>
          <w:b/>
          <w:bCs/>
          <w:sz w:val="22"/>
          <w:szCs w:val="22"/>
        </w:rPr>
        <w:t xml:space="preserve">0 as follows: </w:t>
      </w:r>
    </w:p>
    <w:p w14:paraId="15402987" w14:textId="77777777" w:rsidR="000D0AD3" w:rsidRPr="00470911" w:rsidRDefault="000D0AD3" w:rsidP="00D27664">
      <w:pPr>
        <w:autoSpaceDE w:val="0"/>
        <w:autoSpaceDN w:val="0"/>
        <w:adjustRightInd w:val="0"/>
        <w:spacing w:line="276" w:lineRule="auto"/>
        <w:jc w:val="both"/>
        <w:rPr>
          <w:rFonts w:ascii="Arial" w:hAnsi="Arial" w:cs="Arial"/>
          <w:b/>
          <w:bCs/>
          <w:sz w:val="22"/>
          <w:szCs w:val="22"/>
        </w:rPr>
      </w:pPr>
    </w:p>
    <w:p w14:paraId="5985D671" w14:textId="005BE894" w:rsidR="000D0AD3" w:rsidRPr="00470911" w:rsidRDefault="000D0AD3" w:rsidP="00D27664">
      <w:pPr>
        <w:pStyle w:val="ListParagraph"/>
        <w:numPr>
          <w:ilvl w:val="0"/>
          <w:numId w:val="42"/>
        </w:numPr>
        <w:spacing w:before="0" w:beforeAutospacing="0" w:after="0" w:afterAutospacing="0" w:line="276" w:lineRule="auto"/>
        <w:contextualSpacing/>
        <w:jc w:val="both"/>
        <w:rPr>
          <w:rFonts w:ascii="Arial" w:hAnsi="Arial" w:cs="Arial"/>
          <w:sz w:val="22"/>
          <w:szCs w:val="22"/>
        </w:rPr>
      </w:pPr>
      <w:r w:rsidRPr="00470911">
        <w:rPr>
          <w:rFonts w:ascii="Arial" w:hAnsi="Arial" w:cs="Arial"/>
          <w:b/>
          <w:bCs/>
          <w:sz w:val="22"/>
          <w:szCs w:val="22"/>
        </w:rPr>
        <w:t>Revise SASP 6</w:t>
      </w:r>
      <w:r w:rsidR="00A17303">
        <w:rPr>
          <w:rFonts w:ascii="Arial" w:hAnsi="Arial" w:cs="Arial"/>
          <w:b/>
          <w:bCs/>
          <w:sz w:val="22"/>
          <w:szCs w:val="22"/>
        </w:rPr>
        <w:t>48</w:t>
      </w:r>
      <w:r w:rsidRPr="00470911">
        <w:rPr>
          <w:rFonts w:ascii="Arial" w:hAnsi="Arial" w:cs="Arial"/>
          <w:b/>
          <w:bCs/>
          <w:sz w:val="22"/>
          <w:szCs w:val="22"/>
        </w:rPr>
        <w:t xml:space="preserve">, Map 2 – “Minimum Densities, </w:t>
      </w:r>
      <w:r w:rsidR="00A17303">
        <w:rPr>
          <w:rFonts w:ascii="Arial" w:hAnsi="Arial" w:cs="Arial"/>
          <w:b/>
          <w:bCs/>
          <w:sz w:val="22"/>
          <w:szCs w:val="22"/>
        </w:rPr>
        <w:t>Warden</w:t>
      </w:r>
      <w:r w:rsidRPr="00470911">
        <w:rPr>
          <w:rFonts w:ascii="Arial" w:hAnsi="Arial" w:cs="Arial"/>
          <w:b/>
          <w:bCs/>
          <w:sz w:val="22"/>
          <w:szCs w:val="22"/>
        </w:rPr>
        <w:t xml:space="preserve"> Protected Major Transit Station”, OPA 5</w:t>
      </w:r>
      <w:r w:rsidR="00A17303">
        <w:rPr>
          <w:rFonts w:ascii="Arial" w:hAnsi="Arial" w:cs="Arial"/>
          <w:b/>
          <w:bCs/>
          <w:sz w:val="22"/>
          <w:szCs w:val="22"/>
        </w:rPr>
        <w:t>7</w:t>
      </w:r>
      <w:r w:rsidRPr="00470911">
        <w:rPr>
          <w:rFonts w:ascii="Arial" w:hAnsi="Arial" w:cs="Arial"/>
          <w:b/>
          <w:bCs/>
          <w:sz w:val="22"/>
          <w:szCs w:val="22"/>
        </w:rPr>
        <w:t xml:space="preserve">0, to increase the minimum density for the subject site to </w:t>
      </w:r>
      <w:r w:rsidR="00A17303">
        <w:rPr>
          <w:rFonts w:ascii="Arial" w:hAnsi="Arial" w:cs="Arial"/>
          <w:b/>
          <w:bCs/>
          <w:sz w:val="22"/>
          <w:szCs w:val="22"/>
        </w:rPr>
        <w:t>4.5</w:t>
      </w:r>
      <w:r w:rsidRPr="00470911">
        <w:rPr>
          <w:rFonts w:ascii="Arial" w:hAnsi="Arial" w:cs="Arial"/>
          <w:b/>
          <w:bCs/>
          <w:sz w:val="22"/>
          <w:szCs w:val="22"/>
        </w:rPr>
        <w:t xml:space="preserve"> FSI, as illustrated in </w:t>
      </w:r>
      <w:r w:rsidR="003D07DB">
        <w:rPr>
          <w:rFonts w:ascii="Arial" w:hAnsi="Arial" w:cs="Arial"/>
          <w:b/>
          <w:bCs/>
          <w:sz w:val="22"/>
          <w:szCs w:val="22"/>
        </w:rPr>
        <w:t>Figure 1</w:t>
      </w:r>
      <w:r w:rsidR="008B26E1">
        <w:rPr>
          <w:rFonts w:ascii="Arial" w:hAnsi="Arial" w:cs="Arial"/>
          <w:b/>
          <w:bCs/>
          <w:sz w:val="22"/>
          <w:szCs w:val="22"/>
        </w:rPr>
        <w:t>.</w:t>
      </w:r>
    </w:p>
    <w:p w14:paraId="6C3FCF65" w14:textId="77777777" w:rsidR="000D0AD3" w:rsidRPr="000712B9" w:rsidRDefault="000D0AD3" w:rsidP="00D27664">
      <w:pPr>
        <w:spacing w:line="276" w:lineRule="auto"/>
        <w:jc w:val="both"/>
        <w:rPr>
          <w:rFonts w:ascii="Arial" w:hAnsi="Arial" w:cs="Arial"/>
          <w:sz w:val="22"/>
          <w:szCs w:val="22"/>
        </w:rPr>
      </w:pPr>
    </w:p>
    <w:p w14:paraId="1C43A2AD" w14:textId="2089C0C4" w:rsidR="000712B9" w:rsidRDefault="00335D12" w:rsidP="00D27664">
      <w:pPr>
        <w:pStyle w:val="ListParagraph"/>
        <w:numPr>
          <w:ilvl w:val="0"/>
          <w:numId w:val="42"/>
        </w:numPr>
        <w:spacing w:before="0" w:beforeAutospacing="0" w:after="0" w:afterAutospacing="0" w:line="276" w:lineRule="auto"/>
        <w:rPr>
          <w:rFonts w:ascii="Arial" w:hAnsi="Arial" w:cs="Arial"/>
          <w:b/>
          <w:bCs/>
          <w:sz w:val="22"/>
          <w:szCs w:val="22"/>
        </w:rPr>
      </w:pPr>
      <w:r w:rsidRPr="00470911">
        <w:rPr>
          <w:rFonts w:ascii="Arial" w:hAnsi="Arial" w:cs="Arial"/>
          <w:b/>
          <w:bCs/>
          <w:sz w:val="22"/>
          <w:szCs w:val="22"/>
        </w:rPr>
        <w:t>As well, w</w:t>
      </w:r>
      <w:r w:rsidR="00382949" w:rsidRPr="00470911">
        <w:rPr>
          <w:rFonts w:ascii="Arial" w:hAnsi="Arial" w:cs="Arial"/>
          <w:b/>
          <w:bCs/>
          <w:sz w:val="22"/>
          <w:szCs w:val="22"/>
        </w:rPr>
        <w:t xml:space="preserve">e propose the following language be included as </w:t>
      </w:r>
      <w:r w:rsidR="00BB77FD" w:rsidRPr="00470911">
        <w:rPr>
          <w:rFonts w:ascii="Arial" w:hAnsi="Arial" w:cs="Arial"/>
          <w:b/>
          <w:bCs/>
          <w:sz w:val="22"/>
          <w:szCs w:val="22"/>
        </w:rPr>
        <w:t xml:space="preserve">new </w:t>
      </w:r>
      <w:r w:rsidR="00382949" w:rsidRPr="00470911">
        <w:rPr>
          <w:rFonts w:ascii="Arial" w:hAnsi="Arial" w:cs="Arial"/>
          <w:b/>
          <w:bCs/>
          <w:sz w:val="22"/>
          <w:szCs w:val="22"/>
        </w:rPr>
        <w:t>Polic</w:t>
      </w:r>
      <w:r w:rsidR="00BB77FD" w:rsidRPr="00470911">
        <w:rPr>
          <w:rFonts w:ascii="Arial" w:hAnsi="Arial" w:cs="Arial"/>
          <w:b/>
          <w:bCs/>
          <w:sz w:val="22"/>
          <w:szCs w:val="22"/>
        </w:rPr>
        <w:t>y</w:t>
      </w:r>
      <w:r w:rsidR="00382949" w:rsidRPr="00470911">
        <w:rPr>
          <w:rFonts w:ascii="Arial" w:hAnsi="Arial" w:cs="Arial"/>
          <w:b/>
          <w:bCs/>
          <w:sz w:val="22"/>
          <w:szCs w:val="22"/>
        </w:rPr>
        <w:t xml:space="preserve"> e)</w:t>
      </w:r>
      <w:r w:rsidR="00BB77FD" w:rsidRPr="00470911">
        <w:rPr>
          <w:rFonts w:ascii="Arial" w:hAnsi="Arial" w:cs="Arial"/>
          <w:b/>
          <w:bCs/>
          <w:sz w:val="22"/>
          <w:szCs w:val="22"/>
        </w:rPr>
        <w:t xml:space="preserve"> </w:t>
      </w:r>
      <w:r w:rsidR="000D0AD3" w:rsidRPr="00470911">
        <w:rPr>
          <w:rFonts w:ascii="Arial" w:hAnsi="Arial" w:cs="Arial"/>
          <w:b/>
          <w:bCs/>
          <w:sz w:val="22"/>
          <w:szCs w:val="22"/>
        </w:rPr>
        <w:t>t</w:t>
      </w:r>
      <w:r w:rsidR="00382949" w:rsidRPr="00470911">
        <w:rPr>
          <w:rFonts w:ascii="Arial" w:hAnsi="Arial" w:cs="Arial"/>
          <w:b/>
          <w:bCs/>
          <w:sz w:val="22"/>
          <w:szCs w:val="22"/>
        </w:rPr>
        <w:t xml:space="preserve">o </w:t>
      </w:r>
      <w:r w:rsidR="000D0AD3" w:rsidRPr="00470911">
        <w:rPr>
          <w:rFonts w:ascii="Arial" w:hAnsi="Arial" w:cs="Arial"/>
          <w:b/>
          <w:bCs/>
          <w:sz w:val="22"/>
          <w:szCs w:val="22"/>
        </w:rPr>
        <w:t>SASP</w:t>
      </w:r>
      <w:r w:rsidR="00382949" w:rsidRPr="00470911">
        <w:rPr>
          <w:rFonts w:ascii="Arial" w:hAnsi="Arial" w:cs="Arial"/>
          <w:b/>
          <w:bCs/>
          <w:sz w:val="22"/>
          <w:szCs w:val="22"/>
        </w:rPr>
        <w:t xml:space="preserve"> 6</w:t>
      </w:r>
      <w:r w:rsidR="00A17303">
        <w:rPr>
          <w:rFonts w:ascii="Arial" w:hAnsi="Arial" w:cs="Arial"/>
          <w:b/>
          <w:bCs/>
          <w:sz w:val="22"/>
          <w:szCs w:val="22"/>
        </w:rPr>
        <w:t>48</w:t>
      </w:r>
      <w:r w:rsidR="00382949" w:rsidRPr="00470911">
        <w:rPr>
          <w:rFonts w:ascii="Arial" w:hAnsi="Arial" w:cs="Arial"/>
          <w:b/>
          <w:bCs/>
          <w:sz w:val="22"/>
          <w:szCs w:val="22"/>
        </w:rPr>
        <w:t>, consistent with Policy 5.2.5(1) of the Growth Plan</w:t>
      </w:r>
      <w:r w:rsidR="000712B9" w:rsidRPr="00470911">
        <w:rPr>
          <w:rFonts w:ascii="Arial" w:hAnsi="Arial" w:cs="Arial"/>
          <w:b/>
          <w:bCs/>
          <w:sz w:val="22"/>
          <w:szCs w:val="22"/>
        </w:rPr>
        <w:t>:</w:t>
      </w:r>
    </w:p>
    <w:p w14:paraId="5FB4D141" w14:textId="77777777" w:rsidR="00A17303" w:rsidRPr="00A17303" w:rsidRDefault="00A17303" w:rsidP="00A17303">
      <w:pPr>
        <w:spacing w:line="276" w:lineRule="auto"/>
        <w:rPr>
          <w:rFonts w:ascii="Arial" w:hAnsi="Arial" w:cs="Arial"/>
          <w:b/>
          <w:bCs/>
          <w:sz w:val="22"/>
          <w:szCs w:val="22"/>
        </w:rPr>
      </w:pPr>
    </w:p>
    <w:p w14:paraId="1F449FE8" w14:textId="5905DC20" w:rsidR="00382949" w:rsidRPr="000712B9" w:rsidRDefault="00382949" w:rsidP="00D27664">
      <w:pPr>
        <w:spacing w:line="276" w:lineRule="auto"/>
        <w:ind w:left="720"/>
        <w:jc w:val="both"/>
        <w:outlineLvl w:val="6"/>
        <w:rPr>
          <w:rFonts w:ascii="Arial" w:hAnsi="Arial" w:cs="Arial"/>
          <w:b/>
          <w:bCs/>
          <w:sz w:val="22"/>
          <w:szCs w:val="22"/>
        </w:rPr>
      </w:pPr>
      <w:r w:rsidRPr="000712B9">
        <w:rPr>
          <w:rFonts w:ascii="Arial" w:hAnsi="Arial" w:cs="Arial"/>
          <w:b/>
          <w:bCs/>
          <w:sz w:val="22"/>
          <w:szCs w:val="22"/>
        </w:rPr>
        <w:t>e) Minimum Density Targets</w:t>
      </w:r>
    </w:p>
    <w:p w14:paraId="4C1E8F89" w14:textId="011C2840" w:rsidR="00D27664" w:rsidRDefault="00382949" w:rsidP="00D27664">
      <w:pPr>
        <w:spacing w:line="276" w:lineRule="auto"/>
        <w:ind w:left="720"/>
        <w:jc w:val="both"/>
        <w:outlineLvl w:val="6"/>
        <w:rPr>
          <w:rFonts w:ascii="Arial" w:hAnsi="Arial" w:cs="Arial"/>
          <w:sz w:val="22"/>
          <w:szCs w:val="22"/>
        </w:rPr>
      </w:pPr>
      <w:r w:rsidRPr="000712B9">
        <w:rPr>
          <w:rFonts w:ascii="Arial" w:hAnsi="Arial" w:cs="Arial"/>
          <w:sz w:val="22"/>
          <w:szCs w:val="22"/>
        </w:rPr>
        <w:t>The minimum intensification and density targets in this Site and Area Specific Policy, are minimum standards and municipalities are encouraged to go beyond these minimum targets, where appropriate, except where doing so would conflict with any policy of th</w:t>
      </w:r>
      <w:r w:rsidR="006D70B4" w:rsidRPr="000712B9">
        <w:rPr>
          <w:rFonts w:ascii="Arial" w:hAnsi="Arial" w:cs="Arial"/>
          <w:sz w:val="22"/>
          <w:szCs w:val="22"/>
        </w:rPr>
        <w:t>e</w:t>
      </w:r>
      <w:r w:rsidRPr="000712B9">
        <w:rPr>
          <w:rFonts w:ascii="Arial" w:hAnsi="Arial" w:cs="Arial"/>
          <w:sz w:val="22"/>
          <w:szCs w:val="22"/>
        </w:rPr>
        <w:t xml:space="preserve"> Growth Plan, the Provincial Policy </w:t>
      </w:r>
      <w:r w:rsidR="00111A57" w:rsidRPr="000712B9">
        <w:rPr>
          <w:rFonts w:ascii="Arial" w:hAnsi="Arial" w:cs="Arial"/>
          <w:sz w:val="22"/>
          <w:szCs w:val="22"/>
        </w:rPr>
        <w:t>Statement,</w:t>
      </w:r>
      <w:r w:rsidRPr="000712B9">
        <w:rPr>
          <w:rFonts w:ascii="Arial" w:hAnsi="Arial" w:cs="Arial"/>
          <w:sz w:val="22"/>
          <w:szCs w:val="22"/>
        </w:rPr>
        <w:t xml:space="preserve"> or any other provincial plan.</w:t>
      </w:r>
    </w:p>
    <w:p w14:paraId="56E479B4" w14:textId="39195B6C" w:rsidR="00875F57" w:rsidRDefault="00875F57" w:rsidP="00D27664">
      <w:pPr>
        <w:spacing w:line="276" w:lineRule="auto"/>
        <w:jc w:val="both"/>
        <w:outlineLvl w:val="6"/>
        <w:rPr>
          <w:rFonts w:ascii="Arial" w:hAnsi="Arial" w:cs="Arial"/>
          <w:sz w:val="22"/>
          <w:szCs w:val="22"/>
        </w:rPr>
      </w:pPr>
    </w:p>
    <w:p w14:paraId="74E9AE92" w14:textId="6B803520" w:rsidR="00335D12" w:rsidRPr="008B26E1" w:rsidRDefault="000712B9" w:rsidP="008B26E1">
      <w:pPr>
        <w:spacing w:line="276" w:lineRule="auto"/>
        <w:jc w:val="both"/>
        <w:outlineLvl w:val="6"/>
        <w:rPr>
          <w:rFonts w:ascii="Arial" w:hAnsi="Arial" w:cs="Arial"/>
          <w:sz w:val="22"/>
          <w:szCs w:val="22"/>
        </w:rPr>
      </w:pPr>
      <w:r w:rsidRPr="0086720C">
        <w:rPr>
          <w:rFonts w:ascii="Arial" w:hAnsi="Arial" w:cs="Arial"/>
          <w:sz w:val="22"/>
          <w:szCs w:val="22"/>
        </w:rPr>
        <w:t xml:space="preserve">In this regard, it is our opinion that a proposed density of </w:t>
      </w:r>
      <w:r w:rsidR="009B527A">
        <w:rPr>
          <w:rFonts w:ascii="Arial" w:hAnsi="Arial" w:cs="Arial"/>
          <w:sz w:val="22"/>
          <w:szCs w:val="22"/>
        </w:rPr>
        <w:t>4</w:t>
      </w:r>
      <w:r w:rsidR="0086720C" w:rsidRPr="0086720C">
        <w:rPr>
          <w:rFonts w:ascii="Arial" w:hAnsi="Arial" w:cs="Arial"/>
          <w:sz w:val="22"/>
          <w:szCs w:val="22"/>
        </w:rPr>
        <w:t>.5</w:t>
      </w:r>
      <w:r w:rsidRPr="0086720C">
        <w:rPr>
          <w:rFonts w:ascii="Arial" w:hAnsi="Arial" w:cs="Arial"/>
          <w:sz w:val="22"/>
          <w:szCs w:val="22"/>
        </w:rPr>
        <w:t xml:space="preserve"> FSI would be appropriate for the subject site, and would better reflect its adjacency to </w:t>
      </w:r>
      <w:r w:rsidR="004E7711">
        <w:rPr>
          <w:rFonts w:ascii="Arial" w:hAnsi="Arial" w:cs="Arial"/>
          <w:sz w:val="22"/>
          <w:szCs w:val="22"/>
        </w:rPr>
        <w:t xml:space="preserve">Warden </w:t>
      </w:r>
      <w:r w:rsidRPr="0086720C">
        <w:rPr>
          <w:rFonts w:ascii="Arial" w:hAnsi="Arial" w:cs="Arial"/>
          <w:sz w:val="22"/>
          <w:szCs w:val="22"/>
        </w:rPr>
        <w:t>Station, it</w:t>
      </w:r>
      <w:r w:rsidR="00052EED" w:rsidRPr="0086720C">
        <w:rPr>
          <w:rFonts w:ascii="Arial" w:hAnsi="Arial" w:cs="Arial"/>
          <w:sz w:val="22"/>
          <w:szCs w:val="22"/>
        </w:rPr>
        <w:t>s</w:t>
      </w:r>
      <w:r w:rsidRPr="0086720C">
        <w:rPr>
          <w:rFonts w:ascii="Arial" w:hAnsi="Arial" w:cs="Arial"/>
          <w:sz w:val="22"/>
          <w:szCs w:val="22"/>
        </w:rPr>
        <w:t xml:space="preserve"> location along </w:t>
      </w:r>
      <w:r w:rsidR="0086720C" w:rsidRPr="0086720C">
        <w:rPr>
          <w:rFonts w:ascii="Arial" w:hAnsi="Arial" w:cs="Arial"/>
          <w:sz w:val="22"/>
          <w:szCs w:val="22"/>
        </w:rPr>
        <w:t>a</w:t>
      </w:r>
      <w:r w:rsidRPr="0086720C">
        <w:rPr>
          <w:rFonts w:ascii="Arial" w:hAnsi="Arial" w:cs="Arial"/>
          <w:sz w:val="22"/>
          <w:szCs w:val="22"/>
        </w:rPr>
        <w:t xml:space="preserve"> major street, and provincial policy directions which speak to the integration of land use and transportation planning</w:t>
      </w:r>
      <w:r w:rsidR="009B527A">
        <w:rPr>
          <w:rFonts w:ascii="Arial" w:hAnsi="Arial" w:cs="Arial"/>
          <w:sz w:val="22"/>
          <w:szCs w:val="22"/>
        </w:rPr>
        <w:t xml:space="preserve">, </w:t>
      </w:r>
      <w:r w:rsidR="00052EED" w:rsidRPr="00470911">
        <w:rPr>
          <w:rFonts w:ascii="Arial" w:hAnsi="Arial" w:cs="Arial"/>
          <w:sz w:val="22"/>
          <w:szCs w:val="22"/>
        </w:rPr>
        <w:t xml:space="preserve">the prioritization of intensification and higher densities in strategic growth areas, and </w:t>
      </w:r>
      <w:r w:rsidR="00052EED" w:rsidRPr="00470911">
        <w:rPr>
          <w:rFonts w:ascii="Arial" w:hAnsi="Arial" w:cs="Arial"/>
          <w:color w:val="000000" w:themeColor="text1"/>
          <w:sz w:val="22"/>
          <w:szCs w:val="22"/>
        </w:rPr>
        <w:t>the achievement of transit-supportive complete communities.</w:t>
      </w:r>
      <w:r w:rsidR="008B26E1">
        <w:rPr>
          <w:rFonts w:ascii="Arial" w:hAnsi="Arial" w:cs="Arial"/>
          <w:sz w:val="22"/>
          <w:szCs w:val="22"/>
        </w:rPr>
        <w:t xml:space="preserve">  </w:t>
      </w:r>
      <w:r w:rsidR="00335D12" w:rsidRPr="00052EED">
        <w:rPr>
          <w:rFonts w:ascii="Arial" w:hAnsi="Arial" w:cs="Arial"/>
          <w:sz w:val="22"/>
          <w:szCs w:val="22"/>
        </w:rPr>
        <w:t xml:space="preserve">Should you have any questions, I would be pleased to discuss this request at your convenience.  </w:t>
      </w:r>
    </w:p>
    <w:p w14:paraId="6D2FA77D" w14:textId="77777777" w:rsidR="008B26E1" w:rsidRPr="00335D12" w:rsidRDefault="008B26E1" w:rsidP="00D27664">
      <w:pPr>
        <w:snapToGrid w:val="0"/>
        <w:spacing w:line="276" w:lineRule="auto"/>
        <w:jc w:val="both"/>
        <w:rPr>
          <w:rFonts w:ascii="Arial" w:hAnsi="Arial" w:cs="Arial"/>
          <w:sz w:val="22"/>
          <w:szCs w:val="22"/>
        </w:rPr>
      </w:pPr>
    </w:p>
    <w:p w14:paraId="43DB1A8A" w14:textId="77777777" w:rsidR="00335D12" w:rsidRPr="00335D12" w:rsidRDefault="00335D12" w:rsidP="00D27664">
      <w:pPr>
        <w:snapToGrid w:val="0"/>
        <w:spacing w:line="276" w:lineRule="auto"/>
        <w:jc w:val="both"/>
        <w:rPr>
          <w:rFonts w:ascii="Arial" w:hAnsi="Arial" w:cs="Arial"/>
          <w:sz w:val="22"/>
          <w:szCs w:val="22"/>
        </w:rPr>
      </w:pPr>
      <w:r w:rsidRPr="00335D12">
        <w:rPr>
          <w:rFonts w:ascii="Arial" w:hAnsi="Arial" w:cs="Arial"/>
          <w:sz w:val="22"/>
          <w:szCs w:val="22"/>
        </w:rPr>
        <w:t>Yours very truly,</w:t>
      </w:r>
    </w:p>
    <w:p w14:paraId="4795F194" w14:textId="77777777" w:rsidR="00335D12" w:rsidRPr="00335D12" w:rsidRDefault="00335D12" w:rsidP="00D27664">
      <w:pPr>
        <w:snapToGrid w:val="0"/>
        <w:spacing w:line="276" w:lineRule="auto"/>
        <w:jc w:val="both"/>
        <w:rPr>
          <w:rFonts w:ascii="Arial" w:hAnsi="Arial" w:cs="Arial"/>
          <w:b/>
          <w:sz w:val="22"/>
          <w:szCs w:val="22"/>
        </w:rPr>
      </w:pPr>
      <w:r w:rsidRPr="00335D12">
        <w:rPr>
          <w:rFonts w:ascii="Arial" w:hAnsi="Arial" w:cs="Arial"/>
          <w:b/>
          <w:sz w:val="22"/>
          <w:szCs w:val="22"/>
        </w:rPr>
        <w:t>Bousfields Inc.</w:t>
      </w:r>
    </w:p>
    <w:p w14:paraId="5E61A59D" w14:textId="77777777" w:rsidR="00335D12" w:rsidRPr="00335D12" w:rsidRDefault="00335D12" w:rsidP="00D27664">
      <w:pPr>
        <w:snapToGrid w:val="0"/>
        <w:spacing w:line="276" w:lineRule="auto"/>
        <w:jc w:val="both"/>
        <w:rPr>
          <w:rFonts w:ascii="Arial" w:hAnsi="Arial" w:cs="Arial"/>
          <w:b/>
          <w:noProof/>
          <w:sz w:val="22"/>
          <w:szCs w:val="22"/>
        </w:rPr>
      </w:pPr>
      <w:r w:rsidRPr="00335D12">
        <w:rPr>
          <w:rFonts w:ascii="Arial" w:hAnsi="Arial" w:cs="Arial"/>
          <w:b/>
          <w:noProof/>
          <w:sz w:val="22"/>
          <w:szCs w:val="22"/>
        </w:rPr>
        <w:drawing>
          <wp:inline distT="0" distB="0" distL="0" distR="0" wp14:anchorId="169A58A9" wp14:editId="70D2F3A5">
            <wp:extent cx="1814291" cy="6531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a:fillRect/>
                    </a:stretch>
                  </pic:blipFill>
                  <pic:spPr>
                    <a:xfrm>
                      <a:off x="0" y="0"/>
                      <a:ext cx="2067218" cy="744197"/>
                    </a:xfrm>
                    <a:prstGeom prst="rect">
                      <a:avLst/>
                    </a:prstGeom>
                  </pic:spPr>
                </pic:pic>
              </a:graphicData>
            </a:graphic>
          </wp:inline>
        </w:drawing>
      </w:r>
    </w:p>
    <w:p w14:paraId="4548361B" w14:textId="24EDFE4D" w:rsidR="00280CC2" w:rsidRPr="008B26E1" w:rsidRDefault="00335D12" w:rsidP="008B26E1">
      <w:pPr>
        <w:snapToGrid w:val="0"/>
        <w:spacing w:line="276" w:lineRule="auto"/>
        <w:jc w:val="both"/>
        <w:rPr>
          <w:rFonts w:ascii="Arial" w:hAnsi="Arial" w:cs="Arial"/>
          <w:b/>
          <w:sz w:val="22"/>
          <w:szCs w:val="22"/>
        </w:rPr>
      </w:pPr>
      <w:r w:rsidRPr="00335D12">
        <w:rPr>
          <w:rFonts w:ascii="Arial" w:hAnsi="Arial" w:cs="Arial"/>
          <w:sz w:val="22"/>
          <w:szCs w:val="22"/>
        </w:rPr>
        <w:t>Michael Bissett, MCIP, R</w:t>
      </w:r>
      <w:r w:rsidR="008B26E1">
        <w:rPr>
          <w:rFonts w:ascii="Arial" w:hAnsi="Arial" w:cs="Arial"/>
          <w:sz w:val="22"/>
          <w:szCs w:val="22"/>
        </w:rPr>
        <w:t>P</w:t>
      </w:r>
    </w:p>
    <w:p w14:paraId="25ECA928" w14:textId="77777777" w:rsidR="008B26E1" w:rsidRPr="00257281" w:rsidRDefault="008B26E1" w:rsidP="00257281">
      <w:pPr>
        <w:rPr>
          <w:rFonts w:ascii="Calibri" w:hAnsi="Calibri" w:cs="Calibri"/>
          <w:color w:val="000000"/>
          <w:sz w:val="20"/>
        </w:rPr>
      </w:pPr>
    </w:p>
    <w:p w14:paraId="1734F2CC" w14:textId="3004F265" w:rsidR="00257281" w:rsidRDefault="003D07DB" w:rsidP="008B26E1">
      <w:pPr>
        <w:tabs>
          <w:tab w:val="left" w:pos="480"/>
        </w:tabs>
        <w:spacing w:line="280" w:lineRule="atLeast"/>
        <w:jc w:val="center"/>
        <w:rPr>
          <w:rFonts w:ascii="Arial" w:hAnsi="Arial" w:cs="Arial"/>
          <w:b/>
          <w:bCs/>
          <w:sz w:val="22"/>
          <w:szCs w:val="22"/>
        </w:rPr>
      </w:pPr>
      <w:r>
        <w:rPr>
          <w:rFonts w:ascii="Arial" w:hAnsi="Arial" w:cs="Arial"/>
          <w:b/>
          <w:bCs/>
          <w:sz w:val="22"/>
          <w:szCs w:val="22"/>
        </w:rPr>
        <w:lastRenderedPageBreak/>
        <w:t>Figure 1</w:t>
      </w:r>
      <w:r w:rsidR="008B26E1" w:rsidRPr="008B26E1">
        <w:rPr>
          <w:rFonts w:ascii="Arial" w:hAnsi="Arial" w:cs="Arial"/>
          <w:b/>
          <w:bCs/>
          <w:sz w:val="22"/>
          <w:szCs w:val="22"/>
        </w:rPr>
        <w:t xml:space="preserve"> – Modified Map 2</w:t>
      </w:r>
      <w:r>
        <w:rPr>
          <w:rFonts w:ascii="Arial" w:hAnsi="Arial" w:cs="Arial"/>
          <w:b/>
          <w:bCs/>
          <w:sz w:val="22"/>
          <w:szCs w:val="22"/>
        </w:rPr>
        <w:t xml:space="preserve"> SASP 648</w:t>
      </w:r>
    </w:p>
    <w:p w14:paraId="44B81DC8" w14:textId="665B5679" w:rsidR="008B26E1" w:rsidRDefault="008B26E1" w:rsidP="008B26E1">
      <w:pPr>
        <w:tabs>
          <w:tab w:val="left" w:pos="480"/>
        </w:tabs>
        <w:spacing w:line="280" w:lineRule="atLeast"/>
        <w:jc w:val="center"/>
        <w:rPr>
          <w:rFonts w:ascii="Arial" w:hAnsi="Arial" w:cs="Arial"/>
          <w:b/>
          <w:bCs/>
          <w:sz w:val="22"/>
          <w:szCs w:val="22"/>
        </w:rPr>
      </w:pPr>
    </w:p>
    <w:p w14:paraId="59115179" w14:textId="593EC5B4" w:rsidR="008B26E1" w:rsidRPr="008B26E1" w:rsidRDefault="008B26E1" w:rsidP="008B26E1">
      <w:pPr>
        <w:tabs>
          <w:tab w:val="left" w:pos="480"/>
        </w:tabs>
        <w:spacing w:line="280" w:lineRule="atLeast"/>
        <w:jc w:val="center"/>
        <w:rPr>
          <w:rFonts w:ascii="Arial" w:hAnsi="Arial" w:cs="Arial"/>
          <w:b/>
          <w:bCs/>
          <w:sz w:val="22"/>
          <w:szCs w:val="22"/>
        </w:rPr>
      </w:pPr>
      <w:r w:rsidRPr="008B26E1">
        <w:rPr>
          <w:rFonts w:ascii="Arial" w:hAnsi="Arial" w:cs="Arial"/>
          <w:b/>
          <w:bCs/>
          <w:noProof/>
          <w:sz w:val="22"/>
          <w:szCs w:val="22"/>
        </w:rPr>
        <w:drawing>
          <wp:inline distT="0" distB="0" distL="0" distR="0" wp14:anchorId="58337D68" wp14:editId="6730F82C">
            <wp:extent cx="4583448" cy="593152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a:xfrm>
                      <a:off x="0" y="0"/>
                      <a:ext cx="4583448" cy="5931520"/>
                    </a:xfrm>
                    <a:prstGeom prst="rect">
                      <a:avLst/>
                    </a:prstGeom>
                  </pic:spPr>
                </pic:pic>
              </a:graphicData>
            </a:graphic>
          </wp:inline>
        </w:drawing>
      </w:r>
    </w:p>
    <w:sectPr w:rsidR="008B26E1" w:rsidRPr="008B26E1" w:rsidSect="00AB32C1">
      <w:headerReference w:type="default" r:id="rId9"/>
      <w:footerReference w:type="default" r:id="rId10"/>
      <w:headerReference w:type="first" r:id="rId11"/>
      <w:footerReference w:type="first" r:id="rId12"/>
      <w:pgSz w:w="12240" w:h="15840"/>
      <w:pgMar w:top="2160" w:right="1800" w:bottom="1440" w:left="2160" w:header="547"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5513B" w14:textId="77777777" w:rsidR="00F37F70" w:rsidRDefault="00F37F70">
      <w:r>
        <w:separator/>
      </w:r>
    </w:p>
  </w:endnote>
  <w:endnote w:type="continuationSeparator" w:id="0">
    <w:p w14:paraId="34BE9695" w14:textId="77777777" w:rsidR="00F37F70" w:rsidRDefault="00F37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riaSans-Regular">
    <w:altName w:val="Calibri"/>
    <w:panose1 w:val="020B0604020202020204"/>
    <w:charset w:val="00"/>
    <w:family w:val="auto"/>
    <w:pitch w:val="variable"/>
    <w:sig w:usb0="03000003" w:usb1="00000000" w:usb2="00000000" w:usb3="00000000" w:csb0="00000001" w:csb1="00000000"/>
  </w:font>
  <w:font w:name="Seria-Bold">
    <w:altName w:val="Times New Roman"/>
    <w:panose1 w:val="020B0604020202020204"/>
    <w:charset w:val="00"/>
    <w:family w:val="auto"/>
    <w:pitch w:val="variable"/>
    <w:sig w:usb0="03000000"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679B1" w14:textId="77777777" w:rsidR="00C155D6" w:rsidRPr="008E375B" w:rsidRDefault="00C155D6" w:rsidP="000D5479">
    <w:pPr>
      <w:pStyle w:val="Footer"/>
      <w:jc w:val="center"/>
      <w:rPr>
        <w:rFonts w:ascii="Arial" w:hAnsi="Arial"/>
        <w:sz w:val="20"/>
      </w:rPr>
    </w:pPr>
    <w:r w:rsidRPr="008E375B">
      <w:rPr>
        <w:rStyle w:val="PageNumber"/>
        <w:sz w:val="20"/>
      </w:rPr>
      <w:fldChar w:fldCharType="begin"/>
    </w:r>
    <w:r w:rsidRPr="008E375B">
      <w:rPr>
        <w:rStyle w:val="PageNumber"/>
        <w:rFonts w:ascii="Arial" w:hAnsi="Arial"/>
        <w:sz w:val="20"/>
      </w:rPr>
      <w:instrText xml:space="preserve"> PAGE </w:instrText>
    </w:r>
    <w:r w:rsidRPr="008E375B">
      <w:rPr>
        <w:rStyle w:val="PageNumber"/>
        <w:sz w:val="20"/>
      </w:rPr>
      <w:fldChar w:fldCharType="separate"/>
    </w:r>
    <w:r w:rsidR="008B3DB9">
      <w:rPr>
        <w:rStyle w:val="PageNumber"/>
        <w:rFonts w:ascii="Arial" w:hAnsi="Arial"/>
        <w:noProof/>
        <w:sz w:val="20"/>
      </w:rPr>
      <w:t>2</w:t>
    </w:r>
    <w:r w:rsidRPr="008E375B">
      <w:rPr>
        <w:rStyle w:val="PageNumbe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2AD06" w14:textId="77777777" w:rsidR="00C155D6" w:rsidRPr="00C16328" w:rsidRDefault="00C155D6" w:rsidP="00AB3D95">
    <w:pPr>
      <w:pStyle w:val="Footer"/>
      <w:tabs>
        <w:tab w:val="clear" w:pos="4320"/>
        <w:tab w:val="clear" w:pos="8640"/>
      </w:tabs>
      <w:ind w:left="-270" w:right="-720"/>
      <w:rPr>
        <w:rFonts w:ascii="Arial" w:hAnsi="Arial"/>
        <w:spacing w:val="20"/>
        <w:w w:val="95"/>
        <w:sz w:val="18"/>
      </w:rPr>
    </w:pPr>
    <w:r w:rsidRPr="00C16328">
      <w:rPr>
        <w:rFonts w:ascii="Arial" w:hAnsi="Arial"/>
        <w:spacing w:val="20"/>
        <w:w w:val="95"/>
        <w:sz w:val="18"/>
      </w:rPr>
      <w:t>3 Church St., #200, Toronto, ON M5E 1M2 T 416-947-9744 F 416-947-0781 www.bousfields.ca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BBE4B" w14:textId="77777777" w:rsidR="00F37F70" w:rsidRDefault="00F37F70">
      <w:r>
        <w:separator/>
      </w:r>
    </w:p>
  </w:footnote>
  <w:footnote w:type="continuationSeparator" w:id="0">
    <w:p w14:paraId="563BC299" w14:textId="77777777" w:rsidR="00F37F70" w:rsidRDefault="00F37F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9E869" w14:textId="77777777" w:rsidR="00C155D6" w:rsidRDefault="00DE0B0E" w:rsidP="00AB3D95">
    <w:pPr>
      <w:pStyle w:val="Header"/>
      <w:tabs>
        <w:tab w:val="clear" w:pos="4320"/>
        <w:tab w:val="center" w:pos="5040"/>
      </w:tabs>
    </w:pPr>
    <w:r>
      <w:rPr>
        <w:noProof/>
      </w:rPr>
      <w:drawing>
        <wp:anchor distT="0" distB="0" distL="114300" distR="114300" simplePos="0" relativeHeight="251658240" behindDoc="1" locked="0" layoutInCell="1" allowOverlap="1" wp14:anchorId="13476AD7" wp14:editId="76EE0263">
          <wp:simplePos x="0" y="0"/>
          <wp:positionH relativeFrom="column">
            <wp:posOffset>3558988</wp:posOffset>
          </wp:positionH>
          <wp:positionV relativeFrom="paragraph">
            <wp:posOffset>139085</wp:posOffset>
          </wp:positionV>
          <wp:extent cx="2463800" cy="33378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stretch>
                    <a:fillRect/>
                  </a:stretch>
                </pic:blipFill>
                <pic:spPr bwMode="auto">
                  <a:xfrm>
                    <a:off x="0" y="0"/>
                    <a:ext cx="2463800" cy="333782"/>
                  </a:xfrm>
                  <a:prstGeom prst="rect">
                    <a:avLst/>
                  </a:prstGeom>
                  <a:noFill/>
                  <a:ln>
                    <a:noFill/>
                  </a:ln>
                </pic:spPr>
              </pic:pic>
            </a:graphicData>
          </a:graphic>
          <wp14:sizeRelH relativeFrom="page">
            <wp14:pctWidth>0</wp14:pctWidth>
          </wp14:sizeRelH>
          <wp14:sizeRelV relativeFrom="page">
            <wp14:pctHeight>0</wp14:pctHeight>
          </wp14:sizeRelV>
        </wp:anchor>
      </w:drawing>
    </w:r>
    <w:r w:rsidR="00C155D6">
      <w:tab/>
    </w:r>
    <w:r w:rsidR="00C155D6">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A689E" w14:textId="77777777" w:rsidR="00C155D6" w:rsidRDefault="00C155D6" w:rsidP="00AB3D95">
    <w:pPr>
      <w:pStyle w:val="Header"/>
      <w:ind w:left="-630" w:hanging="540"/>
    </w:pPr>
    <w:r>
      <w:rPr>
        <w:noProof/>
      </w:rPr>
      <w:drawing>
        <wp:inline distT="0" distB="0" distL="0" distR="0" wp14:anchorId="16492EB6" wp14:editId="267F50DD">
          <wp:extent cx="4165600" cy="5643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4165600" cy="56433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E60"/>
    <w:multiLevelType w:val="multilevel"/>
    <w:tmpl w:val="37D8C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DC6833"/>
    <w:multiLevelType w:val="hybridMultilevel"/>
    <w:tmpl w:val="0396F740"/>
    <w:lvl w:ilvl="0" w:tplc="7C3E82B2">
      <w:start w:val="1"/>
      <w:numFmt w:val="bullet"/>
      <w:lvlText w:val=""/>
      <w:lvlJc w:val="left"/>
      <w:pPr>
        <w:tabs>
          <w:tab w:val="num" w:pos="1368"/>
        </w:tabs>
        <w:ind w:left="1368" w:hanging="432"/>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454540"/>
    <w:multiLevelType w:val="hybridMultilevel"/>
    <w:tmpl w:val="B460447A"/>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15:restartNumberingAfterBreak="0">
    <w:nsid w:val="0AD071E9"/>
    <w:multiLevelType w:val="hybridMultilevel"/>
    <w:tmpl w:val="566CD338"/>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15:restartNumberingAfterBreak="0">
    <w:nsid w:val="0E017DCC"/>
    <w:multiLevelType w:val="hybridMultilevel"/>
    <w:tmpl w:val="005C0E54"/>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0F4E6573"/>
    <w:multiLevelType w:val="hybridMultilevel"/>
    <w:tmpl w:val="008C44E2"/>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123E7B47"/>
    <w:multiLevelType w:val="hybridMultilevel"/>
    <w:tmpl w:val="FABA4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821D09"/>
    <w:multiLevelType w:val="hybridMultilevel"/>
    <w:tmpl w:val="35044990"/>
    <w:lvl w:ilvl="0" w:tplc="0011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1D0C7E97"/>
    <w:multiLevelType w:val="multilevel"/>
    <w:tmpl w:val="0B80B37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98252A"/>
    <w:multiLevelType w:val="hybridMultilevel"/>
    <w:tmpl w:val="C7DE1A6A"/>
    <w:lvl w:ilvl="0" w:tplc="D8B6D27E">
      <w:start w:val="1"/>
      <w:numFmt w:val="bullet"/>
      <w:lvlText w:val=""/>
      <w:lvlJc w:val="left"/>
      <w:pPr>
        <w:tabs>
          <w:tab w:val="num" w:pos="1213"/>
        </w:tabs>
        <w:ind w:left="1213" w:hanging="360"/>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BD1D44"/>
    <w:multiLevelType w:val="hybridMultilevel"/>
    <w:tmpl w:val="36060282"/>
    <w:lvl w:ilvl="0" w:tplc="0011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242A1B41"/>
    <w:multiLevelType w:val="hybridMultilevel"/>
    <w:tmpl w:val="290ABB52"/>
    <w:lvl w:ilvl="0" w:tplc="000F0409">
      <w:start w:val="4"/>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25AC69FF"/>
    <w:multiLevelType w:val="multilevel"/>
    <w:tmpl w:val="C2D0323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7662854"/>
    <w:multiLevelType w:val="hybridMultilevel"/>
    <w:tmpl w:val="A058B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C85AB2"/>
    <w:multiLevelType w:val="hybridMultilevel"/>
    <w:tmpl w:val="72F6B60A"/>
    <w:lvl w:ilvl="0" w:tplc="D8B6D27E">
      <w:start w:val="1"/>
      <w:numFmt w:val="bullet"/>
      <w:lvlText w:val=""/>
      <w:lvlJc w:val="left"/>
      <w:pPr>
        <w:tabs>
          <w:tab w:val="num" w:pos="720"/>
        </w:tabs>
        <w:ind w:left="720" w:hanging="360"/>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5420A8"/>
    <w:multiLevelType w:val="multilevel"/>
    <w:tmpl w:val="027C9D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CE57AD8"/>
    <w:multiLevelType w:val="hybridMultilevel"/>
    <w:tmpl w:val="0282A54A"/>
    <w:lvl w:ilvl="0" w:tplc="D8B6D27E">
      <w:start w:val="1"/>
      <w:numFmt w:val="bullet"/>
      <w:lvlText w:val=""/>
      <w:lvlJc w:val="left"/>
      <w:pPr>
        <w:tabs>
          <w:tab w:val="num" w:pos="720"/>
        </w:tabs>
        <w:ind w:left="720" w:hanging="360"/>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9823DC"/>
    <w:multiLevelType w:val="multilevel"/>
    <w:tmpl w:val="3504499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38E02687"/>
    <w:multiLevelType w:val="hybridMultilevel"/>
    <w:tmpl w:val="9E6E59EE"/>
    <w:lvl w:ilvl="0" w:tplc="D8B6D27E">
      <w:start w:val="1"/>
      <w:numFmt w:val="bullet"/>
      <w:lvlText w:val=""/>
      <w:lvlJc w:val="left"/>
      <w:pPr>
        <w:tabs>
          <w:tab w:val="num" w:pos="773"/>
        </w:tabs>
        <w:ind w:left="773" w:hanging="360"/>
      </w:pPr>
      <w:rPr>
        <w:rFonts w:ascii="Symbol" w:hAnsi="Symbol" w:hint="default"/>
        <w:color w:val="auto"/>
        <w:sz w:val="28"/>
      </w:rPr>
    </w:lvl>
    <w:lvl w:ilvl="1" w:tplc="00030409" w:tentative="1">
      <w:start w:val="1"/>
      <w:numFmt w:val="bullet"/>
      <w:lvlText w:val="o"/>
      <w:lvlJc w:val="left"/>
      <w:pPr>
        <w:tabs>
          <w:tab w:val="num" w:pos="1493"/>
        </w:tabs>
        <w:ind w:left="1493" w:hanging="360"/>
      </w:pPr>
      <w:rPr>
        <w:rFonts w:ascii="Courier New" w:hAnsi="Courier New" w:hint="default"/>
      </w:rPr>
    </w:lvl>
    <w:lvl w:ilvl="2" w:tplc="00050409" w:tentative="1">
      <w:start w:val="1"/>
      <w:numFmt w:val="bullet"/>
      <w:lvlText w:val=""/>
      <w:lvlJc w:val="left"/>
      <w:pPr>
        <w:tabs>
          <w:tab w:val="num" w:pos="2213"/>
        </w:tabs>
        <w:ind w:left="2213" w:hanging="360"/>
      </w:pPr>
      <w:rPr>
        <w:rFonts w:ascii="Wingdings" w:hAnsi="Wingdings" w:hint="default"/>
      </w:rPr>
    </w:lvl>
    <w:lvl w:ilvl="3" w:tplc="00010409" w:tentative="1">
      <w:start w:val="1"/>
      <w:numFmt w:val="bullet"/>
      <w:lvlText w:val=""/>
      <w:lvlJc w:val="left"/>
      <w:pPr>
        <w:tabs>
          <w:tab w:val="num" w:pos="2933"/>
        </w:tabs>
        <w:ind w:left="2933" w:hanging="360"/>
      </w:pPr>
      <w:rPr>
        <w:rFonts w:ascii="Symbol" w:hAnsi="Symbol" w:hint="default"/>
      </w:rPr>
    </w:lvl>
    <w:lvl w:ilvl="4" w:tplc="00030409" w:tentative="1">
      <w:start w:val="1"/>
      <w:numFmt w:val="bullet"/>
      <w:lvlText w:val="o"/>
      <w:lvlJc w:val="left"/>
      <w:pPr>
        <w:tabs>
          <w:tab w:val="num" w:pos="3653"/>
        </w:tabs>
        <w:ind w:left="3653" w:hanging="360"/>
      </w:pPr>
      <w:rPr>
        <w:rFonts w:ascii="Courier New" w:hAnsi="Courier New" w:hint="default"/>
      </w:rPr>
    </w:lvl>
    <w:lvl w:ilvl="5" w:tplc="00050409" w:tentative="1">
      <w:start w:val="1"/>
      <w:numFmt w:val="bullet"/>
      <w:lvlText w:val=""/>
      <w:lvlJc w:val="left"/>
      <w:pPr>
        <w:tabs>
          <w:tab w:val="num" w:pos="4373"/>
        </w:tabs>
        <w:ind w:left="4373" w:hanging="360"/>
      </w:pPr>
      <w:rPr>
        <w:rFonts w:ascii="Wingdings" w:hAnsi="Wingdings" w:hint="default"/>
      </w:rPr>
    </w:lvl>
    <w:lvl w:ilvl="6" w:tplc="00010409" w:tentative="1">
      <w:start w:val="1"/>
      <w:numFmt w:val="bullet"/>
      <w:lvlText w:val=""/>
      <w:lvlJc w:val="left"/>
      <w:pPr>
        <w:tabs>
          <w:tab w:val="num" w:pos="5093"/>
        </w:tabs>
        <w:ind w:left="5093" w:hanging="360"/>
      </w:pPr>
      <w:rPr>
        <w:rFonts w:ascii="Symbol" w:hAnsi="Symbol" w:hint="default"/>
      </w:rPr>
    </w:lvl>
    <w:lvl w:ilvl="7" w:tplc="00030409" w:tentative="1">
      <w:start w:val="1"/>
      <w:numFmt w:val="bullet"/>
      <w:lvlText w:val="o"/>
      <w:lvlJc w:val="left"/>
      <w:pPr>
        <w:tabs>
          <w:tab w:val="num" w:pos="5813"/>
        </w:tabs>
        <w:ind w:left="5813" w:hanging="360"/>
      </w:pPr>
      <w:rPr>
        <w:rFonts w:ascii="Courier New" w:hAnsi="Courier New" w:hint="default"/>
      </w:rPr>
    </w:lvl>
    <w:lvl w:ilvl="8" w:tplc="00050409" w:tentative="1">
      <w:start w:val="1"/>
      <w:numFmt w:val="bullet"/>
      <w:lvlText w:val=""/>
      <w:lvlJc w:val="left"/>
      <w:pPr>
        <w:tabs>
          <w:tab w:val="num" w:pos="6533"/>
        </w:tabs>
        <w:ind w:left="6533" w:hanging="360"/>
      </w:pPr>
      <w:rPr>
        <w:rFonts w:ascii="Wingdings" w:hAnsi="Wingdings" w:hint="default"/>
      </w:rPr>
    </w:lvl>
  </w:abstractNum>
  <w:abstractNum w:abstractNumId="19" w15:restartNumberingAfterBreak="0">
    <w:nsid w:val="404F5AE3"/>
    <w:multiLevelType w:val="hybridMultilevel"/>
    <w:tmpl w:val="3842B6B0"/>
    <w:lvl w:ilvl="0" w:tplc="C58031B2">
      <w:start w:val="1"/>
      <w:numFmt w:val="decimal"/>
      <w:lvlText w:val="%1."/>
      <w:lvlJc w:val="left"/>
      <w:pPr>
        <w:tabs>
          <w:tab w:val="num" w:pos="420"/>
        </w:tabs>
        <w:ind w:left="420" w:hanging="360"/>
      </w:pPr>
      <w:rPr>
        <w:rFonts w:hint="default"/>
      </w:rPr>
    </w:lvl>
    <w:lvl w:ilvl="1" w:tplc="00190409" w:tentative="1">
      <w:start w:val="1"/>
      <w:numFmt w:val="lowerLetter"/>
      <w:lvlText w:val="%2."/>
      <w:lvlJc w:val="left"/>
      <w:pPr>
        <w:tabs>
          <w:tab w:val="num" w:pos="1140"/>
        </w:tabs>
        <w:ind w:left="1140" w:hanging="360"/>
      </w:pPr>
    </w:lvl>
    <w:lvl w:ilvl="2" w:tplc="001B0409" w:tentative="1">
      <w:start w:val="1"/>
      <w:numFmt w:val="lowerRoman"/>
      <w:lvlText w:val="%3."/>
      <w:lvlJc w:val="right"/>
      <w:pPr>
        <w:tabs>
          <w:tab w:val="num" w:pos="1860"/>
        </w:tabs>
        <w:ind w:left="1860" w:hanging="180"/>
      </w:pPr>
    </w:lvl>
    <w:lvl w:ilvl="3" w:tplc="000F0409" w:tentative="1">
      <w:start w:val="1"/>
      <w:numFmt w:val="decimal"/>
      <w:lvlText w:val="%4."/>
      <w:lvlJc w:val="left"/>
      <w:pPr>
        <w:tabs>
          <w:tab w:val="num" w:pos="2580"/>
        </w:tabs>
        <w:ind w:left="2580" w:hanging="360"/>
      </w:pPr>
    </w:lvl>
    <w:lvl w:ilvl="4" w:tplc="00190409" w:tentative="1">
      <w:start w:val="1"/>
      <w:numFmt w:val="lowerLetter"/>
      <w:lvlText w:val="%5."/>
      <w:lvlJc w:val="left"/>
      <w:pPr>
        <w:tabs>
          <w:tab w:val="num" w:pos="3300"/>
        </w:tabs>
        <w:ind w:left="3300" w:hanging="360"/>
      </w:pPr>
    </w:lvl>
    <w:lvl w:ilvl="5" w:tplc="001B0409" w:tentative="1">
      <w:start w:val="1"/>
      <w:numFmt w:val="lowerRoman"/>
      <w:lvlText w:val="%6."/>
      <w:lvlJc w:val="right"/>
      <w:pPr>
        <w:tabs>
          <w:tab w:val="num" w:pos="4020"/>
        </w:tabs>
        <w:ind w:left="4020" w:hanging="180"/>
      </w:pPr>
    </w:lvl>
    <w:lvl w:ilvl="6" w:tplc="000F0409" w:tentative="1">
      <w:start w:val="1"/>
      <w:numFmt w:val="decimal"/>
      <w:lvlText w:val="%7."/>
      <w:lvlJc w:val="left"/>
      <w:pPr>
        <w:tabs>
          <w:tab w:val="num" w:pos="4740"/>
        </w:tabs>
        <w:ind w:left="4740" w:hanging="360"/>
      </w:pPr>
    </w:lvl>
    <w:lvl w:ilvl="7" w:tplc="00190409" w:tentative="1">
      <w:start w:val="1"/>
      <w:numFmt w:val="lowerLetter"/>
      <w:lvlText w:val="%8."/>
      <w:lvlJc w:val="left"/>
      <w:pPr>
        <w:tabs>
          <w:tab w:val="num" w:pos="5460"/>
        </w:tabs>
        <w:ind w:left="5460" w:hanging="360"/>
      </w:pPr>
    </w:lvl>
    <w:lvl w:ilvl="8" w:tplc="001B0409" w:tentative="1">
      <w:start w:val="1"/>
      <w:numFmt w:val="lowerRoman"/>
      <w:lvlText w:val="%9."/>
      <w:lvlJc w:val="right"/>
      <w:pPr>
        <w:tabs>
          <w:tab w:val="num" w:pos="6180"/>
        </w:tabs>
        <w:ind w:left="6180" w:hanging="180"/>
      </w:pPr>
    </w:lvl>
  </w:abstractNum>
  <w:abstractNum w:abstractNumId="20" w15:restartNumberingAfterBreak="0">
    <w:nsid w:val="458A0962"/>
    <w:multiLevelType w:val="multilevel"/>
    <w:tmpl w:val="05E0BCD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6712733"/>
    <w:multiLevelType w:val="hybridMultilevel"/>
    <w:tmpl w:val="16A0609E"/>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4AC17FB0"/>
    <w:multiLevelType w:val="hybridMultilevel"/>
    <w:tmpl w:val="1B90BCBA"/>
    <w:lvl w:ilvl="0" w:tplc="0011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15:restartNumberingAfterBreak="0">
    <w:nsid w:val="4B6B0803"/>
    <w:multiLevelType w:val="hybridMultilevel"/>
    <w:tmpl w:val="F926B30A"/>
    <w:lvl w:ilvl="0" w:tplc="D8B6D27E">
      <w:start w:val="1"/>
      <w:numFmt w:val="bullet"/>
      <w:lvlText w:val=""/>
      <w:lvlJc w:val="left"/>
      <w:pPr>
        <w:tabs>
          <w:tab w:val="num" w:pos="720"/>
        </w:tabs>
        <w:ind w:left="720" w:hanging="360"/>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C577973"/>
    <w:multiLevelType w:val="hybridMultilevel"/>
    <w:tmpl w:val="7020E9A8"/>
    <w:lvl w:ilvl="0" w:tplc="10EA39D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15:restartNumberingAfterBreak="0">
    <w:nsid w:val="56FE0C33"/>
    <w:multiLevelType w:val="hybridMultilevel"/>
    <w:tmpl w:val="559834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6" w15:restartNumberingAfterBreak="0">
    <w:nsid w:val="57F35045"/>
    <w:multiLevelType w:val="hybridMultilevel"/>
    <w:tmpl w:val="46D49716"/>
    <w:lvl w:ilvl="0" w:tplc="D8B6D27E">
      <w:start w:val="1"/>
      <w:numFmt w:val="bullet"/>
      <w:lvlText w:val=""/>
      <w:lvlJc w:val="left"/>
      <w:pPr>
        <w:tabs>
          <w:tab w:val="num" w:pos="720"/>
        </w:tabs>
        <w:ind w:left="720" w:hanging="360"/>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9CC3003"/>
    <w:multiLevelType w:val="hybridMultilevel"/>
    <w:tmpl w:val="1F264EFE"/>
    <w:lvl w:ilvl="0" w:tplc="D8B6D27E">
      <w:start w:val="1"/>
      <w:numFmt w:val="bullet"/>
      <w:lvlText w:val=""/>
      <w:lvlJc w:val="left"/>
      <w:pPr>
        <w:tabs>
          <w:tab w:val="num" w:pos="720"/>
        </w:tabs>
        <w:ind w:left="720" w:hanging="360"/>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D653C13"/>
    <w:multiLevelType w:val="hybridMultilevel"/>
    <w:tmpl w:val="C8E21B30"/>
    <w:lvl w:ilvl="0" w:tplc="7C3E82B2">
      <w:start w:val="1"/>
      <w:numFmt w:val="bullet"/>
      <w:lvlText w:val=""/>
      <w:lvlJc w:val="left"/>
      <w:pPr>
        <w:tabs>
          <w:tab w:val="num" w:pos="1368"/>
        </w:tabs>
        <w:ind w:left="1368" w:hanging="432"/>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5374AAF"/>
    <w:multiLevelType w:val="hybridMultilevel"/>
    <w:tmpl w:val="E0C45A3E"/>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0" w15:restartNumberingAfterBreak="0">
    <w:nsid w:val="654A1B60"/>
    <w:multiLevelType w:val="hybridMultilevel"/>
    <w:tmpl w:val="CF72D35C"/>
    <w:lvl w:ilvl="0" w:tplc="D8B6D27E">
      <w:start w:val="1"/>
      <w:numFmt w:val="bullet"/>
      <w:lvlText w:val=""/>
      <w:lvlJc w:val="left"/>
      <w:pPr>
        <w:tabs>
          <w:tab w:val="num" w:pos="720"/>
        </w:tabs>
        <w:ind w:left="720" w:hanging="360"/>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5621F79"/>
    <w:multiLevelType w:val="hybridMultilevel"/>
    <w:tmpl w:val="52D2A82E"/>
    <w:lvl w:ilvl="0" w:tplc="D8B6D27E">
      <w:start w:val="1"/>
      <w:numFmt w:val="bullet"/>
      <w:lvlText w:val=""/>
      <w:lvlJc w:val="left"/>
      <w:pPr>
        <w:tabs>
          <w:tab w:val="num" w:pos="720"/>
        </w:tabs>
        <w:ind w:left="720" w:hanging="360"/>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A63113"/>
    <w:multiLevelType w:val="hybridMultilevel"/>
    <w:tmpl w:val="C2D03230"/>
    <w:lvl w:ilvl="0" w:tplc="0011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15:restartNumberingAfterBreak="0">
    <w:nsid w:val="72E64176"/>
    <w:multiLevelType w:val="hybridMultilevel"/>
    <w:tmpl w:val="37BA22D8"/>
    <w:lvl w:ilvl="0" w:tplc="000F0409">
      <w:start w:val="1"/>
      <w:numFmt w:val="lowerLetter"/>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4" w15:restartNumberingAfterBreak="0">
    <w:nsid w:val="741C34B9"/>
    <w:multiLevelType w:val="hybridMultilevel"/>
    <w:tmpl w:val="BB7C0526"/>
    <w:lvl w:ilvl="0" w:tplc="7C3E82B2">
      <w:start w:val="1"/>
      <w:numFmt w:val="bullet"/>
      <w:lvlText w:val=""/>
      <w:lvlJc w:val="left"/>
      <w:pPr>
        <w:tabs>
          <w:tab w:val="num" w:pos="1368"/>
        </w:tabs>
        <w:ind w:left="1368" w:hanging="432"/>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6F27ABE"/>
    <w:multiLevelType w:val="multilevel"/>
    <w:tmpl w:val="CCF2F68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8EE222D"/>
    <w:multiLevelType w:val="hybridMultilevel"/>
    <w:tmpl w:val="A52CF20A"/>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7" w15:restartNumberingAfterBreak="0">
    <w:nsid w:val="7A880E34"/>
    <w:multiLevelType w:val="hybridMultilevel"/>
    <w:tmpl w:val="23249EAC"/>
    <w:lvl w:ilvl="0" w:tplc="D8B6D27E">
      <w:start w:val="1"/>
      <w:numFmt w:val="bullet"/>
      <w:lvlText w:val=""/>
      <w:lvlJc w:val="left"/>
      <w:pPr>
        <w:tabs>
          <w:tab w:val="num" w:pos="1147"/>
        </w:tabs>
        <w:ind w:left="1147" w:hanging="360"/>
      </w:pPr>
      <w:rPr>
        <w:rFonts w:ascii="Symbol" w:hAnsi="Symbol" w:hint="default"/>
        <w:color w:val="auto"/>
        <w:sz w:val="28"/>
      </w:rPr>
    </w:lvl>
    <w:lvl w:ilvl="1" w:tplc="00030409" w:tentative="1">
      <w:start w:val="1"/>
      <w:numFmt w:val="bullet"/>
      <w:lvlText w:val="o"/>
      <w:lvlJc w:val="left"/>
      <w:pPr>
        <w:tabs>
          <w:tab w:val="num" w:pos="1867"/>
        </w:tabs>
        <w:ind w:left="1867" w:hanging="360"/>
      </w:pPr>
      <w:rPr>
        <w:rFonts w:ascii="Courier New" w:hAnsi="Courier New" w:hint="default"/>
      </w:rPr>
    </w:lvl>
    <w:lvl w:ilvl="2" w:tplc="00050409" w:tentative="1">
      <w:start w:val="1"/>
      <w:numFmt w:val="bullet"/>
      <w:lvlText w:val=""/>
      <w:lvlJc w:val="left"/>
      <w:pPr>
        <w:tabs>
          <w:tab w:val="num" w:pos="2587"/>
        </w:tabs>
        <w:ind w:left="2587" w:hanging="360"/>
      </w:pPr>
      <w:rPr>
        <w:rFonts w:ascii="Wingdings" w:hAnsi="Wingdings" w:hint="default"/>
      </w:rPr>
    </w:lvl>
    <w:lvl w:ilvl="3" w:tplc="00010409" w:tentative="1">
      <w:start w:val="1"/>
      <w:numFmt w:val="bullet"/>
      <w:lvlText w:val=""/>
      <w:lvlJc w:val="left"/>
      <w:pPr>
        <w:tabs>
          <w:tab w:val="num" w:pos="3307"/>
        </w:tabs>
        <w:ind w:left="3307" w:hanging="360"/>
      </w:pPr>
      <w:rPr>
        <w:rFonts w:ascii="Symbol" w:hAnsi="Symbol" w:hint="default"/>
      </w:rPr>
    </w:lvl>
    <w:lvl w:ilvl="4" w:tplc="00030409" w:tentative="1">
      <w:start w:val="1"/>
      <w:numFmt w:val="bullet"/>
      <w:lvlText w:val="o"/>
      <w:lvlJc w:val="left"/>
      <w:pPr>
        <w:tabs>
          <w:tab w:val="num" w:pos="4027"/>
        </w:tabs>
        <w:ind w:left="4027" w:hanging="360"/>
      </w:pPr>
      <w:rPr>
        <w:rFonts w:ascii="Courier New" w:hAnsi="Courier New" w:hint="default"/>
      </w:rPr>
    </w:lvl>
    <w:lvl w:ilvl="5" w:tplc="00050409" w:tentative="1">
      <w:start w:val="1"/>
      <w:numFmt w:val="bullet"/>
      <w:lvlText w:val=""/>
      <w:lvlJc w:val="left"/>
      <w:pPr>
        <w:tabs>
          <w:tab w:val="num" w:pos="4747"/>
        </w:tabs>
        <w:ind w:left="4747" w:hanging="360"/>
      </w:pPr>
      <w:rPr>
        <w:rFonts w:ascii="Wingdings" w:hAnsi="Wingdings" w:hint="default"/>
      </w:rPr>
    </w:lvl>
    <w:lvl w:ilvl="6" w:tplc="00010409" w:tentative="1">
      <w:start w:val="1"/>
      <w:numFmt w:val="bullet"/>
      <w:lvlText w:val=""/>
      <w:lvlJc w:val="left"/>
      <w:pPr>
        <w:tabs>
          <w:tab w:val="num" w:pos="5467"/>
        </w:tabs>
        <w:ind w:left="5467" w:hanging="360"/>
      </w:pPr>
      <w:rPr>
        <w:rFonts w:ascii="Symbol" w:hAnsi="Symbol" w:hint="default"/>
      </w:rPr>
    </w:lvl>
    <w:lvl w:ilvl="7" w:tplc="00030409" w:tentative="1">
      <w:start w:val="1"/>
      <w:numFmt w:val="bullet"/>
      <w:lvlText w:val="o"/>
      <w:lvlJc w:val="left"/>
      <w:pPr>
        <w:tabs>
          <w:tab w:val="num" w:pos="6187"/>
        </w:tabs>
        <w:ind w:left="6187" w:hanging="360"/>
      </w:pPr>
      <w:rPr>
        <w:rFonts w:ascii="Courier New" w:hAnsi="Courier New" w:hint="default"/>
      </w:rPr>
    </w:lvl>
    <w:lvl w:ilvl="8" w:tplc="00050409" w:tentative="1">
      <w:start w:val="1"/>
      <w:numFmt w:val="bullet"/>
      <w:lvlText w:val=""/>
      <w:lvlJc w:val="left"/>
      <w:pPr>
        <w:tabs>
          <w:tab w:val="num" w:pos="6907"/>
        </w:tabs>
        <w:ind w:left="6907" w:hanging="360"/>
      </w:pPr>
      <w:rPr>
        <w:rFonts w:ascii="Wingdings" w:hAnsi="Wingdings" w:hint="default"/>
      </w:rPr>
    </w:lvl>
  </w:abstractNum>
  <w:abstractNum w:abstractNumId="38" w15:restartNumberingAfterBreak="0">
    <w:nsid w:val="7D9640A1"/>
    <w:multiLevelType w:val="hybridMultilevel"/>
    <w:tmpl w:val="20884DE6"/>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9" w15:restartNumberingAfterBreak="0">
    <w:nsid w:val="7E1F4BAB"/>
    <w:multiLevelType w:val="hybridMultilevel"/>
    <w:tmpl w:val="1F348F28"/>
    <w:lvl w:ilvl="0" w:tplc="D8B6D27E">
      <w:start w:val="1"/>
      <w:numFmt w:val="bullet"/>
      <w:lvlText w:val=""/>
      <w:lvlJc w:val="left"/>
      <w:pPr>
        <w:tabs>
          <w:tab w:val="num" w:pos="720"/>
        </w:tabs>
        <w:ind w:left="720" w:hanging="360"/>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1054158285">
    <w:abstractNumId w:val="1"/>
  </w:num>
  <w:num w:numId="2" w16cid:durableId="533884592">
    <w:abstractNumId w:val="34"/>
  </w:num>
  <w:num w:numId="3" w16cid:durableId="1150828996">
    <w:abstractNumId w:val="28"/>
  </w:num>
  <w:num w:numId="4" w16cid:durableId="1973098926">
    <w:abstractNumId w:val="19"/>
  </w:num>
  <w:num w:numId="5" w16cid:durableId="537813663">
    <w:abstractNumId w:val="21"/>
  </w:num>
  <w:num w:numId="6" w16cid:durableId="1526749078">
    <w:abstractNumId w:val="5"/>
  </w:num>
  <w:num w:numId="7" w16cid:durableId="1539707468">
    <w:abstractNumId w:val="3"/>
  </w:num>
  <w:num w:numId="8" w16cid:durableId="1472285550">
    <w:abstractNumId w:val="10"/>
  </w:num>
  <w:num w:numId="9" w16cid:durableId="601187617">
    <w:abstractNumId w:val="22"/>
  </w:num>
  <w:num w:numId="10" w16cid:durableId="204294849">
    <w:abstractNumId w:val="30"/>
  </w:num>
  <w:num w:numId="11" w16cid:durableId="563952756">
    <w:abstractNumId w:val="32"/>
  </w:num>
  <w:num w:numId="12" w16cid:durableId="935284022">
    <w:abstractNumId w:val="12"/>
  </w:num>
  <w:num w:numId="13" w16cid:durableId="1786339706">
    <w:abstractNumId w:val="7"/>
  </w:num>
  <w:num w:numId="14" w16cid:durableId="247816260">
    <w:abstractNumId w:val="17"/>
  </w:num>
  <w:num w:numId="15" w16cid:durableId="1370762137">
    <w:abstractNumId w:val="37"/>
  </w:num>
  <w:num w:numId="16" w16cid:durableId="304546898">
    <w:abstractNumId w:val="27"/>
  </w:num>
  <w:num w:numId="17" w16cid:durableId="813260088">
    <w:abstractNumId w:val="11"/>
  </w:num>
  <w:num w:numId="18" w16cid:durableId="1930771868">
    <w:abstractNumId w:val="36"/>
  </w:num>
  <w:num w:numId="19" w16cid:durableId="65149028">
    <w:abstractNumId w:val="4"/>
  </w:num>
  <w:num w:numId="20" w16cid:durableId="796266425">
    <w:abstractNumId w:val="16"/>
  </w:num>
  <w:num w:numId="21" w16cid:durableId="1681545939">
    <w:abstractNumId w:val="38"/>
  </w:num>
  <w:num w:numId="22" w16cid:durableId="1364399124">
    <w:abstractNumId w:val="29"/>
  </w:num>
  <w:num w:numId="23" w16cid:durableId="1312324044">
    <w:abstractNumId w:val="31"/>
  </w:num>
  <w:num w:numId="24" w16cid:durableId="228656831">
    <w:abstractNumId w:val="39"/>
  </w:num>
  <w:num w:numId="25" w16cid:durableId="1428382610">
    <w:abstractNumId w:val="33"/>
  </w:num>
  <w:num w:numId="26" w16cid:durableId="619380792">
    <w:abstractNumId w:val="14"/>
  </w:num>
  <w:num w:numId="27" w16cid:durableId="882208268">
    <w:abstractNumId w:val="26"/>
  </w:num>
  <w:num w:numId="28" w16cid:durableId="956764895">
    <w:abstractNumId w:val="23"/>
  </w:num>
  <w:num w:numId="29" w16cid:durableId="48194958">
    <w:abstractNumId w:val="18"/>
  </w:num>
  <w:num w:numId="30" w16cid:durableId="502204977">
    <w:abstractNumId w:val="2"/>
  </w:num>
  <w:num w:numId="31" w16cid:durableId="2136757007">
    <w:abstractNumId w:val="9"/>
  </w:num>
  <w:num w:numId="32" w16cid:durableId="1183592713">
    <w:abstractNumId w:val="0"/>
  </w:num>
  <w:num w:numId="33" w16cid:durableId="1009989281">
    <w:abstractNumId w:val="13"/>
  </w:num>
  <w:num w:numId="34" w16cid:durableId="182015133">
    <w:abstractNumId w:val="24"/>
  </w:num>
  <w:num w:numId="35" w16cid:durableId="1006052690">
    <w:abstractNumId w:val="25"/>
  </w:num>
  <w:num w:numId="36" w16cid:durableId="592277527">
    <w:abstractNumId w:val="15"/>
  </w:num>
  <w:num w:numId="37" w16cid:durableId="205987575">
    <w:abstractNumId w:val="15"/>
  </w:num>
  <w:num w:numId="38" w16cid:durableId="205987575">
    <w:abstractNumId w:val="15"/>
  </w:num>
  <w:num w:numId="39" w16cid:durableId="830676306">
    <w:abstractNumId w:val="20"/>
  </w:num>
  <w:num w:numId="40" w16cid:durableId="488516950">
    <w:abstractNumId w:val="35"/>
  </w:num>
  <w:num w:numId="41" w16cid:durableId="764809583">
    <w:abstractNumId w:val="8"/>
  </w:num>
  <w:num w:numId="42" w16cid:durableId="16199908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281"/>
    <w:rsid w:val="000033ED"/>
    <w:rsid w:val="000073C8"/>
    <w:rsid w:val="00010966"/>
    <w:rsid w:val="00052EED"/>
    <w:rsid w:val="000712B9"/>
    <w:rsid w:val="00095177"/>
    <w:rsid w:val="000C1D4A"/>
    <w:rsid w:val="000D0AD3"/>
    <w:rsid w:val="000D0D2F"/>
    <w:rsid w:val="000D353C"/>
    <w:rsid w:val="000D5479"/>
    <w:rsid w:val="000F57D6"/>
    <w:rsid w:val="000F6F5C"/>
    <w:rsid w:val="00111A57"/>
    <w:rsid w:val="00113E52"/>
    <w:rsid w:val="001264C0"/>
    <w:rsid w:val="00137F87"/>
    <w:rsid w:val="00152952"/>
    <w:rsid w:val="001558B2"/>
    <w:rsid w:val="00161461"/>
    <w:rsid w:val="00167AF0"/>
    <w:rsid w:val="00183E8B"/>
    <w:rsid w:val="001B757A"/>
    <w:rsid w:val="001D2448"/>
    <w:rsid w:val="001D5D8A"/>
    <w:rsid w:val="001E1074"/>
    <w:rsid w:val="001E1DA3"/>
    <w:rsid w:val="001E40E3"/>
    <w:rsid w:val="002560D4"/>
    <w:rsid w:val="00257281"/>
    <w:rsid w:val="00261C6C"/>
    <w:rsid w:val="002643C9"/>
    <w:rsid w:val="00273137"/>
    <w:rsid w:val="00280CC2"/>
    <w:rsid w:val="002833A6"/>
    <w:rsid w:val="00296ECF"/>
    <w:rsid w:val="002A24D7"/>
    <w:rsid w:val="002F394A"/>
    <w:rsid w:val="00335D12"/>
    <w:rsid w:val="0035233E"/>
    <w:rsid w:val="0036106F"/>
    <w:rsid w:val="00366E38"/>
    <w:rsid w:val="003754B5"/>
    <w:rsid w:val="00377AAC"/>
    <w:rsid w:val="00382949"/>
    <w:rsid w:val="00393B3E"/>
    <w:rsid w:val="0039713B"/>
    <w:rsid w:val="00397E2E"/>
    <w:rsid w:val="003D07DB"/>
    <w:rsid w:val="003D6071"/>
    <w:rsid w:val="003E7AC7"/>
    <w:rsid w:val="0042722F"/>
    <w:rsid w:val="0043784B"/>
    <w:rsid w:val="004400C1"/>
    <w:rsid w:val="00451968"/>
    <w:rsid w:val="00470911"/>
    <w:rsid w:val="00491862"/>
    <w:rsid w:val="004B1FD4"/>
    <w:rsid w:val="004B3893"/>
    <w:rsid w:val="004D48DF"/>
    <w:rsid w:val="004D757C"/>
    <w:rsid w:val="004E5670"/>
    <w:rsid w:val="004E7711"/>
    <w:rsid w:val="00512FA7"/>
    <w:rsid w:val="00512FD1"/>
    <w:rsid w:val="005305B8"/>
    <w:rsid w:val="005319DD"/>
    <w:rsid w:val="00533B49"/>
    <w:rsid w:val="00535FD4"/>
    <w:rsid w:val="00540D60"/>
    <w:rsid w:val="00556A4D"/>
    <w:rsid w:val="005A47FE"/>
    <w:rsid w:val="005D5953"/>
    <w:rsid w:val="00620DC4"/>
    <w:rsid w:val="00635047"/>
    <w:rsid w:val="00637341"/>
    <w:rsid w:val="006422FE"/>
    <w:rsid w:val="006D7099"/>
    <w:rsid w:val="006D70B4"/>
    <w:rsid w:val="006E3532"/>
    <w:rsid w:val="006F3C22"/>
    <w:rsid w:val="007039BE"/>
    <w:rsid w:val="00703A8C"/>
    <w:rsid w:val="00710CA9"/>
    <w:rsid w:val="007135E5"/>
    <w:rsid w:val="0071457C"/>
    <w:rsid w:val="0073365F"/>
    <w:rsid w:val="007722A1"/>
    <w:rsid w:val="0079617E"/>
    <w:rsid w:val="007C0B08"/>
    <w:rsid w:val="007D32A3"/>
    <w:rsid w:val="007E1DA4"/>
    <w:rsid w:val="007F57DD"/>
    <w:rsid w:val="008140B5"/>
    <w:rsid w:val="00823A6E"/>
    <w:rsid w:val="008535AE"/>
    <w:rsid w:val="00856D41"/>
    <w:rsid w:val="0086720C"/>
    <w:rsid w:val="00875F57"/>
    <w:rsid w:val="008876EC"/>
    <w:rsid w:val="008916FB"/>
    <w:rsid w:val="008B26E1"/>
    <w:rsid w:val="008B3DB9"/>
    <w:rsid w:val="008D543D"/>
    <w:rsid w:val="008F004F"/>
    <w:rsid w:val="00962843"/>
    <w:rsid w:val="009639F6"/>
    <w:rsid w:val="0096422F"/>
    <w:rsid w:val="009A4861"/>
    <w:rsid w:val="009B1E08"/>
    <w:rsid w:val="009B527A"/>
    <w:rsid w:val="009C55AF"/>
    <w:rsid w:val="009E1758"/>
    <w:rsid w:val="00A01BE7"/>
    <w:rsid w:val="00A128BD"/>
    <w:rsid w:val="00A17303"/>
    <w:rsid w:val="00A35175"/>
    <w:rsid w:val="00A51E2E"/>
    <w:rsid w:val="00A557A2"/>
    <w:rsid w:val="00A57375"/>
    <w:rsid w:val="00A91D6F"/>
    <w:rsid w:val="00A92102"/>
    <w:rsid w:val="00A921A8"/>
    <w:rsid w:val="00A930E9"/>
    <w:rsid w:val="00A96799"/>
    <w:rsid w:val="00AA15C4"/>
    <w:rsid w:val="00AA298E"/>
    <w:rsid w:val="00AB32C1"/>
    <w:rsid w:val="00AB3D95"/>
    <w:rsid w:val="00AC650B"/>
    <w:rsid w:val="00AC691B"/>
    <w:rsid w:val="00B125FB"/>
    <w:rsid w:val="00B20B8D"/>
    <w:rsid w:val="00B26ACE"/>
    <w:rsid w:val="00B270FA"/>
    <w:rsid w:val="00B3265A"/>
    <w:rsid w:val="00B3669E"/>
    <w:rsid w:val="00B56971"/>
    <w:rsid w:val="00B815C6"/>
    <w:rsid w:val="00B9485F"/>
    <w:rsid w:val="00BA1FBC"/>
    <w:rsid w:val="00BB77FD"/>
    <w:rsid w:val="00BD742E"/>
    <w:rsid w:val="00BE67E5"/>
    <w:rsid w:val="00BF7DCA"/>
    <w:rsid w:val="00C155D6"/>
    <w:rsid w:val="00C20718"/>
    <w:rsid w:val="00C25B7C"/>
    <w:rsid w:val="00C2657D"/>
    <w:rsid w:val="00C34E1D"/>
    <w:rsid w:val="00C617B7"/>
    <w:rsid w:val="00C820A2"/>
    <w:rsid w:val="00C82AAE"/>
    <w:rsid w:val="00CB2695"/>
    <w:rsid w:val="00CF4BB9"/>
    <w:rsid w:val="00D22E4D"/>
    <w:rsid w:val="00D238D4"/>
    <w:rsid w:val="00D27664"/>
    <w:rsid w:val="00D41563"/>
    <w:rsid w:val="00D4672F"/>
    <w:rsid w:val="00D7250C"/>
    <w:rsid w:val="00DC00E5"/>
    <w:rsid w:val="00DC71DB"/>
    <w:rsid w:val="00DD0BC5"/>
    <w:rsid w:val="00DE0B0E"/>
    <w:rsid w:val="00E06C21"/>
    <w:rsid w:val="00E147F7"/>
    <w:rsid w:val="00E236E6"/>
    <w:rsid w:val="00E4481A"/>
    <w:rsid w:val="00EB7AED"/>
    <w:rsid w:val="00EC6ECC"/>
    <w:rsid w:val="00ED444E"/>
    <w:rsid w:val="00EE1E14"/>
    <w:rsid w:val="00EE637A"/>
    <w:rsid w:val="00EF2BFC"/>
    <w:rsid w:val="00F03128"/>
    <w:rsid w:val="00F12AE2"/>
    <w:rsid w:val="00F3585A"/>
    <w:rsid w:val="00F37F70"/>
    <w:rsid w:val="00F4080E"/>
    <w:rsid w:val="00F42F6B"/>
    <w:rsid w:val="00F47865"/>
    <w:rsid w:val="00F5099F"/>
    <w:rsid w:val="00F53B89"/>
    <w:rsid w:val="00F6376E"/>
    <w:rsid w:val="00F7716E"/>
    <w:rsid w:val="00F8458D"/>
    <w:rsid w:val="00F8744A"/>
    <w:rsid w:val="00FA0530"/>
    <w:rsid w:val="00FF530C"/>
    <w:rsid w:val="00FF6431"/>
    <w:rsid w:val="00FF73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F973DF5"/>
  <w14:defaultImageDpi w14:val="330"/>
  <w15:docId w15:val="{1B907101-2760-1B40-BDDD-FCA980454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C3C"/>
    <w:rPr>
      <w:rFonts w:ascii="SeriaSans-Regular" w:hAnsi="SeriaSans-Regular"/>
      <w:sz w:val="28"/>
      <w:lang w:val="en-CA"/>
    </w:rPr>
  </w:style>
  <w:style w:type="paragraph" w:styleId="Heading1">
    <w:name w:val="heading 1"/>
    <w:basedOn w:val="Normal"/>
    <w:next w:val="Normal"/>
    <w:qFormat/>
    <w:rsid w:val="002F7740"/>
    <w:pPr>
      <w:keepNext/>
      <w:tabs>
        <w:tab w:val="left" w:pos="440"/>
        <w:tab w:val="right" w:pos="7830"/>
      </w:tabs>
      <w:outlineLvl w:val="0"/>
    </w:pPr>
    <w:rPr>
      <w:rFonts w:ascii="Seria-Bold" w:hAnsi="Seria-Bold"/>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56C3C"/>
    <w:pPr>
      <w:tabs>
        <w:tab w:val="center" w:pos="4320"/>
        <w:tab w:val="right" w:pos="8640"/>
      </w:tabs>
    </w:pPr>
  </w:style>
  <w:style w:type="paragraph" w:styleId="Footer">
    <w:name w:val="footer"/>
    <w:basedOn w:val="Normal"/>
    <w:semiHidden/>
    <w:rsid w:val="00156C3C"/>
    <w:pPr>
      <w:tabs>
        <w:tab w:val="center" w:pos="4320"/>
        <w:tab w:val="right" w:pos="8640"/>
      </w:tabs>
    </w:pPr>
  </w:style>
  <w:style w:type="character" w:styleId="PageNumber">
    <w:name w:val="page number"/>
    <w:basedOn w:val="DefaultParagraphFont"/>
    <w:rsid w:val="00156C3C"/>
  </w:style>
  <w:style w:type="table" w:styleId="TableGrid">
    <w:name w:val="Table Grid"/>
    <w:basedOn w:val="TableNormal"/>
    <w:rsid w:val="002F7740"/>
    <w:pPr>
      <w:tabs>
        <w:tab w:val="left" w:pos="440"/>
        <w:tab w:val="left" w:pos="4320"/>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BoldItalic">
    <w:name w:val="MTBold/Italic"/>
    <w:rsid w:val="000D5479"/>
    <w:rPr>
      <w:b/>
      <w:i/>
    </w:rPr>
  </w:style>
  <w:style w:type="paragraph" w:styleId="BalloonText">
    <w:name w:val="Balloon Text"/>
    <w:basedOn w:val="Normal"/>
    <w:link w:val="BalloonTextChar"/>
    <w:uiPriority w:val="99"/>
    <w:semiHidden/>
    <w:unhideWhenUsed/>
    <w:rsid w:val="00B3265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265A"/>
    <w:rPr>
      <w:rFonts w:ascii="Lucida Grande" w:hAnsi="Lucida Grande" w:cs="Lucida Grande"/>
      <w:sz w:val="18"/>
      <w:szCs w:val="18"/>
    </w:rPr>
  </w:style>
  <w:style w:type="paragraph" w:styleId="ListParagraph">
    <w:name w:val="List Paragraph"/>
    <w:basedOn w:val="Normal"/>
    <w:link w:val="ListParagraphChar"/>
    <w:uiPriority w:val="34"/>
    <w:qFormat/>
    <w:rsid w:val="00A921A8"/>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rsid w:val="00257281"/>
  </w:style>
  <w:style w:type="character" w:styleId="CommentReference">
    <w:name w:val="annotation reference"/>
    <w:basedOn w:val="DefaultParagraphFont"/>
    <w:uiPriority w:val="99"/>
    <w:semiHidden/>
    <w:unhideWhenUsed/>
    <w:rsid w:val="00280CC2"/>
    <w:rPr>
      <w:sz w:val="16"/>
      <w:szCs w:val="16"/>
    </w:rPr>
  </w:style>
  <w:style w:type="paragraph" w:styleId="CommentText">
    <w:name w:val="annotation text"/>
    <w:basedOn w:val="Normal"/>
    <w:link w:val="CommentTextChar"/>
    <w:uiPriority w:val="99"/>
    <w:semiHidden/>
    <w:unhideWhenUsed/>
    <w:rsid w:val="00280CC2"/>
    <w:rPr>
      <w:sz w:val="20"/>
    </w:rPr>
  </w:style>
  <w:style w:type="character" w:customStyle="1" w:styleId="CommentTextChar">
    <w:name w:val="Comment Text Char"/>
    <w:basedOn w:val="DefaultParagraphFont"/>
    <w:link w:val="CommentText"/>
    <w:uiPriority w:val="99"/>
    <w:semiHidden/>
    <w:rsid w:val="00280CC2"/>
    <w:rPr>
      <w:rFonts w:ascii="SeriaSans-Regular" w:hAnsi="SeriaSans-Regular"/>
      <w:lang w:val="en-CA"/>
    </w:rPr>
  </w:style>
  <w:style w:type="paragraph" w:styleId="CommentSubject">
    <w:name w:val="annotation subject"/>
    <w:basedOn w:val="CommentText"/>
    <w:next w:val="CommentText"/>
    <w:link w:val="CommentSubjectChar"/>
    <w:uiPriority w:val="99"/>
    <w:semiHidden/>
    <w:unhideWhenUsed/>
    <w:rsid w:val="00280CC2"/>
    <w:rPr>
      <w:b/>
      <w:bCs/>
    </w:rPr>
  </w:style>
  <w:style w:type="character" w:customStyle="1" w:styleId="CommentSubjectChar">
    <w:name w:val="Comment Subject Char"/>
    <w:basedOn w:val="CommentTextChar"/>
    <w:link w:val="CommentSubject"/>
    <w:uiPriority w:val="99"/>
    <w:semiHidden/>
    <w:rsid w:val="00280CC2"/>
    <w:rPr>
      <w:rFonts w:ascii="SeriaSans-Regular" w:hAnsi="SeriaSans-Regular"/>
      <w:b/>
      <w:bCs/>
      <w:lang w:val="en-CA"/>
    </w:rPr>
  </w:style>
  <w:style w:type="paragraph" w:styleId="Revision">
    <w:name w:val="Revision"/>
    <w:hidden/>
    <w:uiPriority w:val="99"/>
    <w:semiHidden/>
    <w:rsid w:val="00E4481A"/>
    <w:rPr>
      <w:rFonts w:ascii="SeriaSans-Regular" w:hAnsi="SeriaSans-Regular"/>
      <w:sz w:val="28"/>
      <w:lang w:val="en-CA"/>
    </w:rPr>
  </w:style>
  <w:style w:type="character" w:customStyle="1" w:styleId="ListParagraphChar">
    <w:name w:val="List Paragraph Char"/>
    <w:basedOn w:val="DefaultParagraphFont"/>
    <w:link w:val="ListParagraph"/>
    <w:uiPriority w:val="34"/>
    <w:locked/>
    <w:rsid w:val="000D0AD3"/>
    <w:rPr>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506774">
      <w:bodyDiv w:val="1"/>
      <w:marLeft w:val="0"/>
      <w:marRight w:val="0"/>
      <w:marTop w:val="0"/>
      <w:marBottom w:val="0"/>
      <w:divBdr>
        <w:top w:val="none" w:sz="0" w:space="0" w:color="auto"/>
        <w:left w:val="none" w:sz="0" w:space="0" w:color="auto"/>
        <w:bottom w:val="none" w:sz="0" w:space="0" w:color="auto"/>
        <w:right w:val="none" w:sz="0" w:space="0" w:color="auto"/>
      </w:divBdr>
    </w:div>
    <w:div w:id="1068965352">
      <w:bodyDiv w:val="1"/>
      <w:marLeft w:val="0"/>
      <w:marRight w:val="0"/>
      <w:marTop w:val="0"/>
      <w:marBottom w:val="0"/>
      <w:divBdr>
        <w:top w:val="none" w:sz="0" w:space="0" w:color="auto"/>
        <w:left w:val="none" w:sz="0" w:space="0" w:color="auto"/>
        <w:bottom w:val="none" w:sz="0" w:space="0" w:color="auto"/>
        <w:right w:val="none" w:sz="0" w:space="0" w:color="auto"/>
      </w:divBdr>
    </w:div>
    <w:div w:id="1330714985">
      <w:bodyDiv w:val="1"/>
      <w:marLeft w:val="0"/>
      <w:marRight w:val="0"/>
      <w:marTop w:val="0"/>
      <w:marBottom w:val="0"/>
      <w:divBdr>
        <w:top w:val="none" w:sz="0" w:space="0" w:color="auto"/>
        <w:left w:val="none" w:sz="0" w:space="0" w:color="auto"/>
        <w:bottom w:val="none" w:sz="0" w:space="0" w:color="auto"/>
        <w:right w:val="none" w:sz="0" w:space="0" w:color="auto"/>
      </w:divBdr>
    </w:div>
    <w:div w:id="21368313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Jobs/2018/18311_Choice%20Properties%20REIT,%202078-2106%20Danforth%20Avenue,%20Toronto/Working%20Files/18311_ERO%20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18311_ERO Letter.dotx</Template>
  <TotalTime>9</TotalTime>
  <Pages>4</Pages>
  <Words>1071</Words>
  <Characters>6111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August 15, 2005</vt:lpstr>
    </vt:vector>
  </TitlesOfParts>
  <Company>Bousfields Inc.</Company>
  <LinksUpToDate>false</LinksUpToDate>
  <CharactersWithSpaces>7168</CharactersWithSpaces>
  <SharedDoc>false</SharedDoc>
  <HLinks>
    <vt:vector size="12" baseType="variant">
      <vt:variant>
        <vt:i4>2424843</vt:i4>
      </vt:variant>
      <vt:variant>
        <vt:i4>1638</vt:i4>
      </vt:variant>
      <vt:variant>
        <vt:i4>1028</vt:i4>
      </vt:variant>
      <vt:variant>
        <vt:i4>1</vt:i4>
      </vt:variant>
      <vt:variant>
        <vt:lpwstr>Bousfields Logo - red &amp; black</vt:lpwstr>
      </vt:variant>
      <vt:variant>
        <vt:lpwstr/>
      </vt:variant>
      <vt:variant>
        <vt:i4>2424843</vt:i4>
      </vt:variant>
      <vt:variant>
        <vt:i4>1653</vt:i4>
      </vt:variant>
      <vt:variant>
        <vt:i4>1025</vt:i4>
      </vt:variant>
      <vt:variant>
        <vt:i4>1</vt:i4>
      </vt:variant>
      <vt:variant>
        <vt:lpwstr>Bousfields Logo - red &amp; black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August 15, 2005</dc:title>
  <dc:subject/>
  <dc:creator>Microsoft Office User</dc:creator>
  <cp:keywords/>
  <cp:lastModifiedBy>Katie Hickey</cp:lastModifiedBy>
  <cp:revision>10</cp:revision>
  <cp:lastPrinted>2019-08-22T17:35:00Z</cp:lastPrinted>
  <dcterms:created xsi:type="dcterms:W3CDTF">2023-02-03T03:02:00Z</dcterms:created>
  <dcterms:modified xsi:type="dcterms:W3CDTF">2023-02-03T15:06:00Z</dcterms:modified>
</cp:coreProperties>
</file>