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2034" w14:textId="15A650DF" w:rsidR="008024E2" w:rsidRPr="00B534BB" w:rsidRDefault="00620679">
      <w:pPr>
        <w:rPr>
          <w:b/>
        </w:rPr>
      </w:pPr>
      <w:r w:rsidRPr="00B534BB">
        <w:rPr>
          <w:b/>
        </w:rPr>
        <w:t>Comments to MNRF</w:t>
      </w:r>
    </w:p>
    <w:p w14:paraId="26D4B67E" w14:textId="4969D15F" w:rsidR="00F77D59" w:rsidRPr="00B534BB" w:rsidRDefault="00F77D59" w:rsidP="00B534BB">
      <w:pPr>
        <w:pStyle w:val="ListParagraph"/>
        <w:rPr>
          <w:b/>
        </w:rPr>
      </w:pPr>
      <w:r w:rsidRPr="00B534BB">
        <w:rPr>
          <w:b/>
        </w:rPr>
        <w:t>Executive Summary:</w:t>
      </w:r>
    </w:p>
    <w:p w14:paraId="08057AAF" w14:textId="5F65A906" w:rsidR="00D16070" w:rsidRDefault="00620679" w:rsidP="00B534BB">
      <w:pPr>
        <w:pStyle w:val="ListParagraph"/>
      </w:pPr>
      <w:r>
        <w:t xml:space="preserve">The </w:t>
      </w:r>
      <w:r w:rsidR="00F77D59">
        <w:t>“</w:t>
      </w:r>
      <w:r>
        <w:t>float</w:t>
      </w:r>
      <w:r w:rsidR="0017380D">
        <w:t>ing accommodation</w:t>
      </w:r>
      <w:r w:rsidR="00F77D59">
        <w:t>”</w:t>
      </w:r>
      <w:r>
        <w:t xml:space="preserve"> and </w:t>
      </w:r>
      <w:r w:rsidR="00F77D59">
        <w:t>“</w:t>
      </w:r>
      <w:r w:rsidR="0017380D">
        <w:t>float homes</w:t>
      </w:r>
      <w:r w:rsidR="00F77D59">
        <w:t>”</w:t>
      </w:r>
      <w:r w:rsidR="0017380D">
        <w:t xml:space="preserve"> designations</w:t>
      </w:r>
      <w:r>
        <w:t xml:space="preserve"> </w:t>
      </w:r>
      <w:r w:rsidR="00F77D59">
        <w:t>reference</w:t>
      </w:r>
      <w:r w:rsidR="00D16070">
        <w:t>d</w:t>
      </w:r>
      <w:r w:rsidR="00F77D59">
        <w:t xml:space="preserve"> in the proposed amendments </w:t>
      </w:r>
      <w:r w:rsidR="0017380D">
        <w:t>are</w:t>
      </w:r>
      <w:r>
        <w:t xml:space="preserve"> only applicable if MNRF </w:t>
      </w:r>
      <w:r w:rsidR="0017380D">
        <w:t>defines the terms</w:t>
      </w:r>
      <w:r w:rsidR="005B3F93">
        <w:t xml:space="preserve"> </w:t>
      </w:r>
      <w:r w:rsidR="00F77D59">
        <w:t xml:space="preserve">in a way that aligns with </w:t>
      </w:r>
      <w:r w:rsidR="005B3F93">
        <w:t>Transport Canada’s designations</w:t>
      </w:r>
      <w:r w:rsidR="00F77D59">
        <w:t>.</w:t>
      </w:r>
      <w:r w:rsidR="00F77D59" w:rsidDel="00F77D59">
        <w:t xml:space="preserve"> </w:t>
      </w:r>
    </w:p>
    <w:p w14:paraId="1E71B3DE" w14:textId="77777777" w:rsidR="00D16070" w:rsidRDefault="00D16070" w:rsidP="00B534BB">
      <w:pPr>
        <w:pStyle w:val="ListParagraph"/>
      </w:pPr>
    </w:p>
    <w:p w14:paraId="0B0E1C93" w14:textId="441B1DD8" w:rsidR="00D16070" w:rsidRDefault="005B3F93" w:rsidP="00B534BB">
      <w:pPr>
        <w:pStyle w:val="ListParagraph"/>
      </w:pPr>
      <w:r>
        <w:t xml:space="preserve">As the </w:t>
      </w:r>
      <w:r w:rsidR="00F77D59">
        <w:t>problematic “</w:t>
      </w:r>
      <w:r>
        <w:t>floating accommodation</w:t>
      </w:r>
      <w:r w:rsidR="00F77D59">
        <w:t>” structures</w:t>
      </w:r>
      <w:r>
        <w:t xml:space="preserve"> </w:t>
      </w:r>
      <w:r w:rsidR="00F77D59">
        <w:t xml:space="preserve">are presently </w:t>
      </w:r>
      <w:r>
        <w:t>designat</w:t>
      </w:r>
      <w:r w:rsidR="0098765D">
        <w:t>ed</w:t>
      </w:r>
      <w:r>
        <w:t xml:space="preserve"> as a </w:t>
      </w:r>
      <w:r w:rsidR="00F77D59">
        <w:t>“</w:t>
      </w:r>
      <w:r>
        <w:t>vessel</w:t>
      </w:r>
      <w:r w:rsidR="00F77D59">
        <w:t>” by Transport Canada</w:t>
      </w:r>
      <w:r w:rsidR="004C79C4">
        <w:t>,</w:t>
      </w:r>
      <w:r>
        <w:t xml:space="preserve"> </w:t>
      </w:r>
      <w:r w:rsidR="00F77D59">
        <w:t xml:space="preserve">and as the proposed </w:t>
      </w:r>
      <w:r>
        <w:t xml:space="preserve">amendment does not apply to any structure designated as a </w:t>
      </w:r>
      <w:r w:rsidR="00F77D59">
        <w:t>“</w:t>
      </w:r>
      <w:r>
        <w:t>vessel</w:t>
      </w:r>
      <w:r w:rsidR="00F77D59">
        <w:t xml:space="preserve">”, we respectfully submit that the amendment needs to use different language and collaborate with Transport Canada to redefine the problematic structures in the same way that Transport Canada has done in BC since 2001, as that would enable desirable restrictions upon these structures to be put in place without impacting existing traditional use of waterways by floating crafts that are actually “vessels” – and not floating dwellings.    </w:t>
      </w:r>
    </w:p>
    <w:p w14:paraId="544B56E9" w14:textId="77777777" w:rsidR="00D16070" w:rsidRDefault="00D16070" w:rsidP="00B534BB">
      <w:pPr>
        <w:pStyle w:val="ListParagraph"/>
      </w:pPr>
    </w:p>
    <w:p w14:paraId="695217D6" w14:textId="3EB8909C" w:rsidR="00D16070" w:rsidRDefault="00D16070" w:rsidP="00B534BB">
      <w:pPr>
        <w:pStyle w:val="ListParagraph"/>
      </w:pPr>
      <w:r>
        <w:t xml:space="preserve">The primary difference in the definitions is that “Live aboard Vessels” are primarily designed for navigation, and that “Float Homes” are not primarily designed for navigation – but rather to serve as a dwelling.  </w:t>
      </w:r>
    </w:p>
    <w:p w14:paraId="1C250C08" w14:textId="77777777" w:rsidR="00D16070" w:rsidRDefault="00D16070" w:rsidP="00B534BB">
      <w:pPr>
        <w:pStyle w:val="ListParagraph"/>
      </w:pPr>
    </w:p>
    <w:p w14:paraId="7DBEF89B" w14:textId="68B55344" w:rsidR="0017380D" w:rsidRDefault="00681D05" w:rsidP="00B534BB">
      <w:pPr>
        <w:pStyle w:val="ListParagraph"/>
      </w:pPr>
      <w:r>
        <w:t>The Gloucester Pool Cottagers’ Association</w:t>
      </w:r>
      <w:r w:rsidR="00F77D59">
        <w:t xml:space="preserve"> specific suggestions </w:t>
      </w:r>
      <w:proofErr w:type="gramStart"/>
      <w:r w:rsidR="00F77D59">
        <w:t>follow</w:t>
      </w:r>
      <w:proofErr w:type="gramEnd"/>
    </w:p>
    <w:p w14:paraId="110F37DC" w14:textId="77777777" w:rsidR="00E17BEE" w:rsidRDefault="00E17BEE" w:rsidP="00E17BEE">
      <w:pPr>
        <w:pStyle w:val="ListParagraph"/>
      </w:pPr>
    </w:p>
    <w:p w14:paraId="0C1FB83E" w14:textId="6EAB69F0" w:rsidR="00ED383F" w:rsidRPr="00B534BB" w:rsidRDefault="0017380D" w:rsidP="00B534BB">
      <w:pPr>
        <w:pStyle w:val="ListParagraph"/>
        <w:numPr>
          <w:ilvl w:val="0"/>
          <w:numId w:val="1"/>
        </w:numPr>
        <w:spacing w:line="248" w:lineRule="exact"/>
        <w:rPr>
          <w:sz w:val="24"/>
        </w:rPr>
      </w:pPr>
      <w:r>
        <w:t xml:space="preserve">We would </w:t>
      </w:r>
      <w:r w:rsidR="00D16070">
        <w:t>ask that</w:t>
      </w:r>
      <w:r>
        <w:t xml:space="preserve"> MNRF adopt</w:t>
      </w:r>
      <w:r w:rsidR="00620679">
        <w:t xml:space="preserve"> Transport Canada</w:t>
      </w:r>
      <w:r>
        <w:t>’s</w:t>
      </w:r>
      <w:r w:rsidR="00620679">
        <w:t xml:space="preserve">  </w:t>
      </w:r>
      <w:r w:rsidR="00ED383F">
        <w:t>“</w:t>
      </w:r>
      <w:r w:rsidR="00620679">
        <w:t xml:space="preserve">Standards </w:t>
      </w:r>
      <w:r w:rsidR="008559FF">
        <w:t xml:space="preserve"> and </w:t>
      </w:r>
      <w:r w:rsidR="00ED383F">
        <w:t>D</w:t>
      </w:r>
      <w:r w:rsidR="008559FF">
        <w:t xml:space="preserve">efinitions </w:t>
      </w:r>
      <w:r w:rsidR="00620679">
        <w:t>for Float Homes and Live-</w:t>
      </w:r>
      <w:r w:rsidR="004C79C4">
        <w:t xml:space="preserve">Aboard </w:t>
      </w:r>
      <w:r w:rsidR="00620679">
        <w:t>Vessels</w:t>
      </w:r>
      <w:r w:rsidR="00ED383F">
        <w:t>”</w:t>
      </w:r>
      <w:r w:rsidR="00620679">
        <w:t xml:space="preserve"> that </w:t>
      </w:r>
      <w:r w:rsidR="004C79C4">
        <w:t xml:space="preserve">has </w:t>
      </w:r>
      <w:r w:rsidR="00ED383F">
        <w:t xml:space="preserve">governed </w:t>
      </w:r>
      <w:r w:rsidR="004C79C4">
        <w:t xml:space="preserve">similar structures </w:t>
      </w:r>
      <w:r w:rsidR="00620679">
        <w:t xml:space="preserve">in </w:t>
      </w:r>
      <w:r w:rsidR="004C79C4">
        <w:t xml:space="preserve">the Port of Victoria in </w:t>
      </w:r>
      <w:r w:rsidR="00620679">
        <w:t>B.C.</w:t>
      </w:r>
      <w:r w:rsidR="004C79C4">
        <w:t xml:space="preserve"> since November 2001:</w:t>
      </w:r>
      <w:r w:rsidR="008559FF">
        <w:t xml:space="preserve"> (visible here:</w:t>
      </w:r>
      <w:r w:rsidR="004C79C4">
        <w:t xml:space="preserve"> </w:t>
      </w:r>
      <w:hyperlink r:id="rId5" w:history="1">
        <w:r w:rsidR="004C79C4" w:rsidRPr="00984B72">
          <w:rPr>
            <w:rStyle w:val="Hyperlink"/>
          </w:rPr>
          <w:t>https://gvha.ca/wp-content/uploads/2019/02/Standards-for-Float-Homes-and-Live-Aboard-Vessels-in-Victoria-Harbour.pdf</w:t>
        </w:r>
      </w:hyperlink>
      <w:r w:rsidR="008559FF">
        <w:t xml:space="preserve">) </w:t>
      </w:r>
      <w:r w:rsidR="00ED383F">
        <w:t xml:space="preserve">   </w:t>
      </w:r>
    </w:p>
    <w:p w14:paraId="2BC4D12E" w14:textId="77777777" w:rsidR="00D16070" w:rsidRPr="00B534BB" w:rsidRDefault="00D16070" w:rsidP="00B534BB">
      <w:pPr>
        <w:pStyle w:val="ListParagraph"/>
        <w:spacing w:line="248" w:lineRule="exact"/>
        <w:rPr>
          <w:sz w:val="24"/>
        </w:rPr>
      </w:pPr>
    </w:p>
    <w:p w14:paraId="68418F14" w14:textId="0F7D0800" w:rsidR="00ED383F" w:rsidRDefault="00ED383F" w:rsidP="00B534BB">
      <w:pPr>
        <w:pStyle w:val="ListParagraph"/>
        <w:spacing w:line="248" w:lineRule="exact"/>
        <w:rPr>
          <w:color w:val="464646"/>
          <w:w w:val="105"/>
        </w:rPr>
      </w:pPr>
      <w:r>
        <w:t>These regulations define</w:t>
      </w:r>
      <w:r w:rsidR="004C79C4">
        <w:t xml:space="preserve"> a “</w:t>
      </w:r>
      <w:r w:rsidR="004C79C4" w:rsidRPr="00B534BB">
        <w:rPr>
          <w:b/>
        </w:rPr>
        <w:t>Float</w:t>
      </w:r>
      <w:r w:rsidR="004C79C4">
        <w:t xml:space="preserve"> </w:t>
      </w:r>
      <w:r w:rsidR="004C79C4" w:rsidRPr="00B534BB">
        <w:rPr>
          <w:b/>
        </w:rPr>
        <w:t>Home</w:t>
      </w:r>
      <w:r w:rsidR="004C79C4">
        <w:t>” as follows: “</w:t>
      </w:r>
      <w:r w:rsidR="004C79C4" w:rsidRPr="008559FF">
        <w:rPr>
          <w:color w:val="464646"/>
          <w:w w:val="105"/>
        </w:rPr>
        <w:t xml:space="preserve">means a structure incorporating a flotation system, intended for use or being used or occupied for residential purposes, containing one </w:t>
      </w:r>
      <w:r w:rsidR="004C79C4" w:rsidRPr="008559FF">
        <w:rPr>
          <w:i/>
          <w:color w:val="464646"/>
          <w:w w:val="105"/>
          <w:sz w:val="24"/>
        </w:rPr>
        <w:t xml:space="preserve">Dwelling Unit </w:t>
      </w:r>
      <w:r w:rsidR="004C79C4" w:rsidRPr="008559FF">
        <w:rPr>
          <w:color w:val="464646"/>
          <w:w w:val="105"/>
        </w:rPr>
        <w:t>only,</w:t>
      </w:r>
      <w:r w:rsidR="004C79C4" w:rsidRPr="00B534BB">
        <w:rPr>
          <w:b/>
          <w:color w:val="464646"/>
          <w:w w:val="105"/>
        </w:rPr>
        <w:t xml:space="preserve"> not primarily intended for or useable in navigation,</w:t>
      </w:r>
      <w:r w:rsidR="004C79C4" w:rsidRPr="008559FF">
        <w:rPr>
          <w:color w:val="464646"/>
          <w:w w:val="105"/>
        </w:rPr>
        <w:t xml:space="preserve"> and does not include a water craft designed or</w:t>
      </w:r>
      <w:r w:rsidR="004C79C4" w:rsidRPr="00B534BB">
        <w:rPr>
          <w:b/>
          <w:color w:val="464646"/>
          <w:w w:val="105"/>
        </w:rPr>
        <w:t xml:space="preserve"> intended for navigation</w:t>
      </w:r>
      <w:r w:rsidR="008559FF" w:rsidRPr="008559FF">
        <w:rPr>
          <w:color w:val="464646"/>
          <w:w w:val="105"/>
        </w:rPr>
        <w:t xml:space="preserve">  (hereinafter “</w:t>
      </w:r>
      <w:r w:rsidR="00D16070">
        <w:rPr>
          <w:color w:val="464646"/>
          <w:w w:val="105"/>
        </w:rPr>
        <w:t xml:space="preserve">Float </w:t>
      </w:r>
      <w:r w:rsidR="008559FF" w:rsidRPr="008559FF">
        <w:rPr>
          <w:color w:val="464646"/>
          <w:w w:val="105"/>
        </w:rPr>
        <w:t xml:space="preserve"> Home</w:t>
      </w:r>
      <w:r>
        <w:rPr>
          <w:color w:val="464646"/>
          <w:w w:val="105"/>
        </w:rPr>
        <w:t xml:space="preserve">”) </w:t>
      </w:r>
      <w:r w:rsidR="008559FF" w:rsidRPr="008559FF">
        <w:rPr>
          <w:color w:val="464646"/>
          <w:w w:val="105"/>
        </w:rPr>
        <w:t xml:space="preserve"> </w:t>
      </w:r>
    </w:p>
    <w:p w14:paraId="51B01F7B" w14:textId="538B217A" w:rsidR="008559FF" w:rsidRPr="004D3764" w:rsidRDefault="00ED383F" w:rsidP="00B534BB">
      <w:pPr>
        <w:pStyle w:val="ListParagraph"/>
        <w:spacing w:line="248" w:lineRule="exact"/>
        <w:rPr>
          <w:iCs/>
          <w:color w:val="464646"/>
          <w:w w:val="105"/>
          <w:sz w:val="24"/>
        </w:rPr>
      </w:pPr>
      <w:r>
        <w:rPr>
          <w:color w:val="464646"/>
          <w:w w:val="105"/>
        </w:rPr>
        <w:t>They define a “</w:t>
      </w:r>
      <w:r>
        <w:rPr>
          <w:b/>
          <w:color w:val="464646"/>
          <w:w w:val="105"/>
        </w:rPr>
        <w:t>L</w:t>
      </w:r>
      <w:r w:rsidR="008559FF" w:rsidRPr="00B534BB">
        <w:rPr>
          <w:b/>
          <w:color w:val="464646"/>
          <w:w w:val="105"/>
        </w:rPr>
        <w:t>ive-</w:t>
      </w:r>
      <w:r>
        <w:rPr>
          <w:b/>
          <w:color w:val="464646"/>
          <w:w w:val="105"/>
        </w:rPr>
        <w:t>A</w:t>
      </w:r>
      <w:r w:rsidR="008559FF" w:rsidRPr="00B534BB">
        <w:rPr>
          <w:b/>
          <w:color w:val="464646"/>
          <w:w w:val="105"/>
        </w:rPr>
        <w:t xml:space="preserve">board </w:t>
      </w:r>
      <w:proofErr w:type="gramStart"/>
      <w:r>
        <w:rPr>
          <w:b/>
          <w:color w:val="464646"/>
          <w:w w:val="105"/>
        </w:rPr>
        <w:t>V</w:t>
      </w:r>
      <w:r w:rsidR="008559FF" w:rsidRPr="00B534BB">
        <w:rPr>
          <w:b/>
          <w:color w:val="464646"/>
          <w:w w:val="105"/>
        </w:rPr>
        <w:t>essel</w:t>
      </w:r>
      <w:r>
        <w:rPr>
          <w:color w:val="464646"/>
          <w:w w:val="105"/>
        </w:rPr>
        <w:t>”</w:t>
      </w:r>
      <w:r w:rsidR="008559FF" w:rsidRPr="008559FF">
        <w:rPr>
          <w:color w:val="464646"/>
          <w:w w:val="105"/>
        </w:rPr>
        <w:t xml:space="preserve">  to</w:t>
      </w:r>
      <w:proofErr w:type="gramEnd"/>
      <w:r w:rsidR="008559FF" w:rsidRPr="008559FF">
        <w:rPr>
          <w:color w:val="464646"/>
          <w:w w:val="105"/>
        </w:rPr>
        <w:t xml:space="preserve"> mean “</w:t>
      </w:r>
      <w:r w:rsidR="008559FF" w:rsidRPr="008559FF">
        <w:rPr>
          <w:color w:val="464646"/>
        </w:rPr>
        <w:t>a</w:t>
      </w:r>
      <w:r w:rsidR="008559FF" w:rsidRPr="008559FF">
        <w:rPr>
          <w:color w:val="464646"/>
          <w:spacing w:val="48"/>
        </w:rPr>
        <w:t xml:space="preserve"> </w:t>
      </w:r>
      <w:r w:rsidR="008559FF" w:rsidRPr="008559FF">
        <w:rPr>
          <w:color w:val="464646"/>
        </w:rPr>
        <w:t>vessel</w:t>
      </w:r>
      <w:r w:rsidR="008559FF" w:rsidRPr="008559FF">
        <w:rPr>
          <w:color w:val="464646"/>
          <w:spacing w:val="43"/>
        </w:rPr>
        <w:t xml:space="preserve"> </w:t>
      </w:r>
      <w:r w:rsidR="008559FF" w:rsidRPr="008559FF">
        <w:rPr>
          <w:color w:val="464646"/>
        </w:rPr>
        <w:t>licensed</w:t>
      </w:r>
      <w:r w:rsidR="008559FF" w:rsidRPr="008559FF">
        <w:rPr>
          <w:color w:val="464646"/>
          <w:spacing w:val="47"/>
        </w:rPr>
        <w:t xml:space="preserve"> </w:t>
      </w:r>
      <w:r w:rsidR="008559FF" w:rsidRPr="008559FF">
        <w:rPr>
          <w:color w:val="464646"/>
        </w:rPr>
        <w:t>or</w:t>
      </w:r>
      <w:r w:rsidR="008559FF" w:rsidRPr="008559FF">
        <w:rPr>
          <w:color w:val="464646"/>
          <w:spacing w:val="46"/>
        </w:rPr>
        <w:t xml:space="preserve"> </w:t>
      </w:r>
      <w:r w:rsidR="008559FF" w:rsidRPr="008559FF">
        <w:rPr>
          <w:color w:val="464646"/>
        </w:rPr>
        <w:t>registered</w:t>
      </w:r>
      <w:r w:rsidR="008559FF" w:rsidRPr="008559FF">
        <w:rPr>
          <w:color w:val="464646"/>
          <w:spacing w:val="45"/>
        </w:rPr>
        <w:t xml:space="preserve"> </w:t>
      </w:r>
      <w:r w:rsidR="008559FF" w:rsidRPr="008559FF">
        <w:rPr>
          <w:color w:val="464646"/>
        </w:rPr>
        <w:t>by</w:t>
      </w:r>
      <w:r w:rsidR="008559FF" w:rsidRPr="008559FF">
        <w:rPr>
          <w:color w:val="464646"/>
          <w:spacing w:val="28"/>
        </w:rPr>
        <w:t xml:space="preserve"> </w:t>
      </w:r>
      <w:r w:rsidR="008559FF" w:rsidRPr="008559FF">
        <w:rPr>
          <w:color w:val="464646"/>
          <w:spacing w:val="-2"/>
        </w:rPr>
        <w:t xml:space="preserve">Transport </w:t>
      </w:r>
      <w:r w:rsidR="008559FF" w:rsidRPr="008559FF">
        <w:rPr>
          <w:color w:val="464646"/>
          <w:w w:val="105"/>
        </w:rPr>
        <w:t xml:space="preserve">Canada as </w:t>
      </w:r>
      <w:r w:rsidR="008559FF" w:rsidRPr="00B534BB">
        <w:rPr>
          <w:b/>
          <w:color w:val="464646"/>
          <w:w w:val="105"/>
        </w:rPr>
        <w:t>suitable for navigation</w:t>
      </w:r>
      <w:r w:rsidR="008559FF" w:rsidRPr="008559FF">
        <w:rPr>
          <w:color w:val="464646"/>
          <w:spacing w:val="27"/>
          <w:w w:val="105"/>
        </w:rPr>
        <w:t xml:space="preserve"> </w:t>
      </w:r>
      <w:r w:rsidR="008559FF" w:rsidRPr="008559FF">
        <w:rPr>
          <w:color w:val="464646"/>
          <w:w w:val="105"/>
        </w:rPr>
        <w:t>which serves</w:t>
      </w:r>
      <w:r w:rsidR="008559FF" w:rsidRPr="008559FF">
        <w:rPr>
          <w:color w:val="464646"/>
          <w:spacing w:val="25"/>
          <w:w w:val="105"/>
        </w:rPr>
        <w:t xml:space="preserve"> </w:t>
      </w:r>
      <w:r w:rsidR="008559FF" w:rsidRPr="008559FF">
        <w:rPr>
          <w:color w:val="464646"/>
          <w:w w:val="105"/>
        </w:rPr>
        <w:t xml:space="preserve">as a residence of its </w:t>
      </w:r>
      <w:r w:rsidR="008559FF" w:rsidRPr="008559FF">
        <w:rPr>
          <w:i/>
          <w:color w:val="464646"/>
          <w:w w:val="105"/>
          <w:sz w:val="24"/>
        </w:rPr>
        <w:t>Owner</w:t>
      </w:r>
      <w:r>
        <w:rPr>
          <w:i/>
          <w:color w:val="464646"/>
          <w:w w:val="105"/>
          <w:sz w:val="24"/>
        </w:rPr>
        <w:t>”</w:t>
      </w:r>
      <w:r w:rsidR="008559FF" w:rsidRPr="008559FF">
        <w:rPr>
          <w:color w:val="464646"/>
          <w:w w:val="105"/>
          <w:sz w:val="24"/>
        </w:rPr>
        <w:t xml:space="preserve"> (hereinafter the “Live-Aboard Vessel</w:t>
      </w:r>
      <w:r w:rsidR="00D16070">
        <w:rPr>
          <w:color w:val="464646"/>
          <w:w w:val="105"/>
          <w:sz w:val="24"/>
        </w:rPr>
        <w:t>”</w:t>
      </w:r>
      <w:r w:rsidR="008559FF" w:rsidRPr="008559FF">
        <w:rPr>
          <w:color w:val="464646"/>
          <w:w w:val="105"/>
          <w:sz w:val="24"/>
        </w:rPr>
        <w:t>– or “BCLAV”</w:t>
      </w:r>
      <w:r w:rsidR="004D3764">
        <w:rPr>
          <w:iCs/>
          <w:color w:val="464646"/>
          <w:w w:val="105"/>
          <w:sz w:val="24"/>
        </w:rPr>
        <w:t>)</w:t>
      </w:r>
    </w:p>
    <w:p w14:paraId="0325F53E" w14:textId="77777777" w:rsidR="00ED383F" w:rsidRPr="00B534BB" w:rsidRDefault="00ED383F" w:rsidP="00B534BB">
      <w:pPr>
        <w:pStyle w:val="ListParagraph"/>
        <w:spacing w:line="248" w:lineRule="exact"/>
        <w:rPr>
          <w:sz w:val="24"/>
        </w:rPr>
      </w:pPr>
    </w:p>
    <w:p w14:paraId="5E17DEDE" w14:textId="4875C215" w:rsidR="00620679" w:rsidRDefault="00620679" w:rsidP="00620679">
      <w:pPr>
        <w:pStyle w:val="ListParagraph"/>
        <w:numPr>
          <w:ilvl w:val="0"/>
          <w:numId w:val="1"/>
        </w:numPr>
      </w:pPr>
      <w:r>
        <w:t>We</w:t>
      </w:r>
      <w:r w:rsidR="00ED383F">
        <w:t xml:space="preserve"> </w:t>
      </w:r>
      <w:r w:rsidR="008559FF">
        <w:t xml:space="preserve">call upon </w:t>
      </w:r>
      <w:r>
        <w:t xml:space="preserve">MNRF to advocate </w:t>
      </w:r>
      <w:r w:rsidR="008559FF">
        <w:t xml:space="preserve">with </w:t>
      </w:r>
      <w:r>
        <w:t xml:space="preserve">Transport Canada to rescind the </w:t>
      </w:r>
      <w:r w:rsidR="008559FF">
        <w:t>“</w:t>
      </w:r>
      <w:r>
        <w:t>vessel</w:t>
      </w:r>
      <w:r w:rsidR="008559FF">
        <w:t>”</w:t>
      </w:r>
      <w:r>
        <w:t xml:space="preserve"> designation</w:t>
      </w:r>
      <w:r w:rsidR="008559FF">
        <w:t xml:space="preserve"> </w:t>
      </w:r>
      <w:r w:rsidR="00D16070">
        <w:t xml:space="preserve">previously </w:t>
      </w:r>
      <w:r w:rsidR="008559FF">
        <w:t xml:space="preserve">afforded to the </w:t>
      </w:r>
      <w:r w:rsidR="00D16070">
        <w:t>s</w:t>
      </w:r>
      <w:r w:rsidR="008559FF">
        <w:t>tructures</w:t>
      </w:r>
      <w:r w:rsidR="00D16070">
        <w:t xml:space="preserve"> which meet the definition above,</w:t>
      </w:r>
      <w:r w:rsidR="008559FF">
        <w:t xml:space="preserve"> </w:t>
      </w:r>
      <w:r>
        <w:t xml:space="preserve">and </w:t>
      </w:r>
      <w:r w:rsidR="00D16070">
        <w:t xml:space="preserve">formally </w:t>
      </w:r>
      <w:r w:rsidR="00ED383F">
        <w:t>re-</w:t>
      </w:r>
      <w:r>
        <w:t xml:space="preserve">designate </w:t>
      </w:r>
      <w:r w:rsidR="008559FF">
        <w:t>them to b</w:t>
      </w:r>
      <w:r w:rsidR="00ED383F">
        <w:t>e</w:t>
      </w:r>
      <w:r>
        <w:t xml:space="preserve"> ‘</w:t>
      </w:r>
      <w:r w:rsidR="00ED383F">
        <w:t>F</w:t>
      </w:r>
      <w:r>
        <w:t xml:space="preserve">loat </w:t>
      </w:r>
      <w:r w:rsidR="00ED383F">
        <w:t>H</w:t>
      </w:r>
      <w:r>
        <w:t>ome</w:t>
      </w:r>
      <w:r w:rsidR="0017380D">
        <w:t>s</w:t>
      </w:r>
      <w:r>
        <w:t>’</w:t>
      </w:r>
      <w:r w:rsidR="005B3F93">
        <w:t xml:space="preserve"> as defined in Transport Canada’s </w:t>
      </w:r>
      <w:r w:rsidR="008559FF">
        <w:t xml:space="preserve"> definition referenced above</w:t>
      </w:r>
      <w:r w:rsidR="005B3F93">
        <w:t>.</w:t>
      </w:r>
    </w:p>
    <w:p w14:paraId="1BC3F0F3" w14:textId="77777777" w:rsidR="00E17BEE" w:rsidRDefault="00E17BEE" w:rsidP="00E17BEE">
      <w:pPr>
        <w:pStyle w:val="ListParagraph"/>
      </w:pPr>
    </w:p>
    <w:p w14:paraId="7557D68A" w14:textId="5F1FF026" w:rsidR="0017380D" w:rsidRPr="00B947FD" w:rsidRDefault="0017380D" w:rsidP="00620679">
      <w:pPr>
        <w:pStyle w:val="ListParagraph"/>
        <w:numPr>
          <w:ilvl w:val="0"/>
          <w:numId w:val="1"/>
        </w:numPr>
        <w:rPr>
          <w:rFonts w:cstheme="minorHAnsi"/>
        </w:rPr>
      </w:pPr>
      <w:r>
        <w:t xml:space="preserve">We </w:t>
      </w:r>
      <w:r w:rsidR="00542FF2">
        <w:t>call upon MNRF to create an</w:t>
      </w:r>
      <w:r>
        <w:t xml:space="preserve"> enforcement </w:t>
      </w:r>
      <w:r w:rsidR="00542FF2">
        <w:t xml:space="preserve">plan and accompanying legislation </w:t>
      </w:r>
      <w:r>
        <w:t xml:space="preserve"> </w:t>
      </w:r>
      <w:r w:rsidR="00542FF2">
        <w:t xml:space="preserve">incorporating the significant penalties necessary to </w:t>
      </w:r>
      <w:r>
        <w:t xml:space="preserve"> deter users from </w:t>
      </w:r>
      <w:r w:rsidRPr="00B947FD">
        <w:rPr>
          <w:rFonts w:cstheme="minorHAnsi"/>
        </w:rPr>
        <w:t>violating the Public Lands Act</w:t>
      </w:r>
      <w:r w:rsidR="00542FF2">
        <w:rPr>
          <w:rFonts w:cstheme="minorHAnsi"/>
        </w:rPr>
        <w:t xml:space="preserve"> while incentivizing police to actively and consistently enforce said legislation</w:t>
      </w:r>
      <w:r w:rsidR="0098765D">
        <w:rPr>
          <w:rFonts w:cstheme="minorHAnsi"/>
        </w:rPr>
        <w:t>.</w:t>
      </w:r>
    </w:p>
    <w:p w14:paraId="00541D57" w14:textId="08767BB5" w:rsidR="00B947FD" w:rsidRPr="00B947FD" w:rsidRDefault="00542FF2" w:rsidP="00B947FD">
      <w:pPr>
        <w:numPr>
          <w:ilvl w:val="0"/>
          <w:numId w:val="1"/>
        </w:numPr>
        <w:shd w:val="clear" w:color="auto" w:fill="FFFFFF"/>
        <w:spacing w:before="100" w:beforeAutospacing="1" w:after="150" w:line="240" w:lineRule="auto"/>
        <w:rPr>
          <w:rFonts w:eastAsia="Times New Roman" w:cstheme="minorHAnsi"/>
          <w:color w:val="000000" w:themeColor="text1"/>
          <w:kern w:val="0"/>
          <w:lang w:eastAsia="en-CA"/>
          <w14:ligatures w14:val="none"/>
        </w:rPr>
      </w:pPr>
      <w:r>
        <w:rPr>
          <w:rFonts w:eastAsia="Times New Roman" w:cstheme="minorHAnsi"/>
          <w:color w:val="000000" w:themeColor="text1"/>
          <w:kern w:val="0"/>
          <w:lang w:eastAsia="en-CA"/>
          <w14:ligatures w14:val="none"/>
        </w:rPr>
        <w:t>We ask MNRF to develop policies</w:t>
      </w:r>
      <w:r w:rsidR="00ED383F">
        <w:rPr>
          <w:rFonts w:eastAsia="Times New Roman" w:cstheme="minorHAnsi"/>
          <w:color w:val="000000" w:themeColor="text1"/>
          <w:kern w:val="0"/>
          <w:lang w:eastAsia="en-CA"/>
          <w14:ligatures w14:val="none"/>
        </w:rPr>
        <w:t xml:space="preserve"> and regulations </w:t>
      </w:r>
      <w:r>
        <w:rPr>
          <w:rFonts w:eastAsia="Times New Roman" w:cstheme="minorHAnsi"/>
          <w:color w:val="000000" w:themeColor="text1"/>
          <w:kern w:val="0"/>
          <w:lang w:eastAsia="en-CA"/>
          <w14:ligatures w14:val="none"/>
        </w:rPr>
        <w:t>designed to k</w:t>
      </w:r>
      <w:r w:rsidR="00B947FD" w:rsidRPr="00B947FD">
        <w:rPr>
          <w:rFonts w:eastAsia="Times New Roman" w:cstheme="minorHAnsi"/>
          <w:color w:val="000000" w:themeColor="text1"/>
          <w:kern w:val="0"/>
          <w:lang w:eastAsia="en-CA"/>
          <w14:ligatures w14:val="none"/>
        </w:rPr>
        <w:t xml:space="preserve">eep these </w:t>
      </w:r>
      <w:r>
        <w:rPr>
          <w:rFonts w:eastAsia="Times New Roman" w:cstheme="minorHAnsi"/>
          <w:color w:val="000000" w:themeColor="text1"/>
          <w:kern w:val="0"/>
          <w:lang w:eastAsia="en-CA"/>
          <w14:ligatures w14:val="none"/>
        </w:rPr>
        <w:t xml:space="preserve">“Float Homes” </w:t>
      </w:r>
      <w:r w:rsidR="00B947FD" w:rsidRPr="00B947FD">
        <w:rPr>
          <w:rFonts w:eastAsia="Times New Roman" w:cstheme="minorHAnsi"/>
          <w:color w:val="000000" w:themeColor="text1"/>
          <w:kern w:val="0"/>
          <w:lang w:eastAsia="en-CA"/>
          <w14:ligatures w14:val="none"/>
        </w:rPr>
        <w:t>safely moored at shoreline locations, where they can benefit from services such as water, sewage, hydro and garbage disposal</w:t>
      </w:r>
      <w:r w:rsidR="00E17BEE">
        <w:rPr>
          <w:rFonts w:eastAsia="Times New Roman" w:cstheme="minorHAnsi"/>
          <w:color w:val="000000" w:themeColor="text1"/>
          <w:kern w:val="0"/>
          <w:lang w:eastAsia="en-CA"/>
          <w14:ligatures w14:val="none"/>
        </w:rPr>
        <w:t>.</w:t>
      </w:r>
    </w:p>
    <w:p w14:paraId="35F63A78" w14:textId="4683AE49" w:rsidR="00B947FD" w:rsidRPr="00B947FD" w:rsidRDefault="00542FF2" w:rsidP="00B947FD">
      <w:pPr>
        <w:numPr>
          <w:ilvl w:val="0"/>
          <w:numId w:val="1"/>
        </w:numPr>
        <w:shd w:val="clear" w:color="auto" w:fill="FFFFFF"/>
        <w:spacing w:before="100" w:beforeAutospacing="1" w:after="150" w:line="240" w:lineRule="auto"/>
        <w:rPr>
          <w:rFonts w:eastAsia="Times New Roman" w:cstheme="minorHAnsi"/>
          <w:color w:val="000000" w:themeColor="text1"/>
          <w:kern w:val="0"/>
          <w:lang w:eastAsia="en-CA"/>
          <w14:ligatures w14:val="none"/>
        </w:rPr>
      </w:pPr>
      <w:r>
        <w:rPr>
          <w:rFonts w:eastAsia="Times New Roman" w:cstheme="minorHAnsi"/>
          <w:color w:val="000000" w:themeColor="text1"/>
          <w:kern w:val="0"/>
          <w:lang w:eastAsia="en-CA"/>
          <w14:ligatures w14:val="none"/>
        </w:rPr>
        <w:lastRenderedPageBreak/>
        <w:t xml:space="preserve">We ask MNRF to ensure that construction and operation of </w:t>
      </w:r>
      <w:r w:rsidR="00ED383F">
        <w:rPr>
          <w:rFonts w:eastAsia="Times New Roman" w:cstheme="minorHAnsi"/>
          <w:color w:val="000000" w:themeColor="text1"/>
          <w:kern w:val="0"/>
          <w:lang w:eastAsia="en-CA"/>
          <w14:ligatures w14:val="none"/>
        </w:rPr>
        <w:t>“</w:t>
      </w:r>
      <w:r>
        <w:rPr>
          <w:rFonts w:eastAsia="Times New Roman" w:cstheme="minorHAnsi"/>
          <w:color w:val="000000" w:themeColor="text1"/>
          <w:kern w:val="0"/>
          <w:lang w:eastAsia="en-CA"/>
          <w14:ligatures w14:val="none"/>
        </w:rPr>
        <w:t>Float Homes</w:t>
      </w:r>
      <w:r w:rsidR="00ED383F">
        <w:rPr>
          <w:rFonts w:eastAsia="Times New Roman" w:cstheme="minorHAnsi"/>
          <w:color w:val="000000" w:themeColor="text1"/>
          <w:kern w:val="0"/>
          <w:lang w:eastAsia="en-CA"/>
          <w14:ligatures w14:val="none"/>
        </w:rPr>
        <w:t>”</w:t>
      </w:r>
      <w:r>
        <w:rPr>
          <w:rFonts w:eastAsia="Times New Roman" w:cstheme="minorHAnsi"/>
          <w:color w:val="000000" w:themeColor="text1"/>
          <w:kern w:val="0"/>
          <w:lang w:eastAsia="en-CA"/>
          <w14:ligatures w14:val="none"/>
        </w:rPr>
        <w:t xml:space="preserve"> meets usual municipal building codes, </w:t>
      </w:r>
      <w:r w:rsidR="00D16070">
        <w:rPr>
          <w:rFonts w:eastAsia="Times New Roman" w:cstheme="minorHAnsi"/>
          <w:color w:val="000000" w:themeColor="text1"/>
          <w:kern w:val="0"/>
          <w:lang w:eastAsia="en-CA"/>
          <w14:ligatures w14:val="none"/>
        </w:rPr>
        <w:t xml:space="preserve">easily enforced restrictions on sewage inspection and discharge, </w:t>
      </w:r>
      <w:r>
        <w:rPr>
          <w:rFonts w:eastAsia="Times New Roman" w:cstheme="minorHAnsi"/>
          <w:color w:val="000000" w:themeColor="text1"/>
          <w:kern w:val="0"/>
          <w:lang w:eastAsia="en-CA"/>
          <w14:ligatures w14:val="none"/>
        </w:rPr>
        <w:t>and c</w:t>
      </w:r>
      <w:r w:rsidR="00B947FD" w:rsidRPr="00B947FD">
        <w:rPr>
          <w:rFonts w:eastAsia="Times New Roman" w:cstheme="minorHAnsi"/>
          <w:color w:val="000000" w:themeColor="text1"/>
          <w:kern w:val="0"/>
          <w:lang w:eastAsia="en-CA"/>
          <w14:ligatures w14:val="none"/>
        </w:rPr>
        <w:t>reate</w:t>
      </w:r>
      <w:r>
        <w:rPr>
          <w:rFonts w:eastAsia="Times New Roman" w:cstheme="minorHAnsi"/>
          <w:color w:val="000000" w:themeColor="text1"/>
          <w:kern w:val="0"/>
          <w:lang w:eastAsia="en-CA"/>
          <w14:ligatures w14:val="none"/>
        </w:rPr>
        <w:t>s</w:t>
      </w:r>
      <w:r w:rsidR="00B947FD" w:rsidRPr="00B947FD">
        <w:rPr>
          <w:rFonts w:eastAsia="Times New Roman" w:cstheme="minorHAnsi"/>
          <w:color w:val="000000" w:themeColor="text1"/>
          <w:kern w:val="0"/>
          <w:lang w:eastAsia="en-CA"/>
          <w14:ligatures w14:val="none"/>
        </w:rPr>
        <w:t xml:space="preserve"> the potential for municipalities to apply taxes to </w:t>
      </w:r>
      <w:r w:rsidR="00ED383F">
        <w:rPr>
          <w:rFonts w:eastAsia="Times New Roman" w:cstheme="minorHAnsi"/>
          <w:color w:val="000000" w:themeColor="text1"/>
          <w:kern w:val="0"/>
          <w:lang w:eastAsia="en-CA"/>
          <w14:ligatures w14:val="none"/>
        </w:rPr>
        <w:t>“</w:t>
      </w:r>
      <w:r>
        <w:rPr>
          <w:rFonts w:eastAsia="Times New Roman" w:cstheme="minorHAnsi"/>
          <w:color w:val="000000" w:themeColor="text1"/>
          <w:kern w:val="0"/>
          <w:lang w:eastAsia="en-CA"/>
          <w14:ligatures w14:val="none"/>
        </w:rPr>
        <w:t>Float Homes</w:t>
      </w:r>
      <w:r w:rsidR="00ED383F">
        <w:rPr>
          <w:rFonts w:eastAsia="Times New Roman" w:cstheme="minorHAnsi"/>
          <w:color w:val="000000" w:themeColor="text1"/>
          <w:kern w:val="0"/>
          <w:lang w:eastAsia="en-CA"/>
          <w14:ligatures w14:val="none"/>
        </w:rPr>
        <w:t>”</w:t>
      </w:r>
      <w:r>
        <w:rPr>
          <w:rFonts w:eastAsia="Times New Roman" w:cstheme="minorHAnsi"/>
          <w:color w:val="000000" w:themeColor="text1"/>
          <w:kern w:val="0"/>
          <w:lang w:eastAsia="en-CA"/>
          <w14:ligatures w14:val="none"/>
        </w:rPr>
        <w:t xml:space="preserve"> </w:t>
      </w:r>
      <w:r w:rsidR="00B947FD" w:rsidRPr="00B947FD">
        <w:rPr>
          <w:rFonts w:eastAsia="Times New Roman" w:cstheme="minorHAnsi"/>
          <w:color w:val="000000" w:themeColor="text1"/>
          <w:kern w:val="0"/>
          <w:lang w:eastAsia="en-CA"/>
          <w14:ligatures w14:val="none"/>
        </w:rPr>
        <w:t>to pay for the services provided</w:t>
      </w:r>
      <w:r>
        <w:rPr>
          <w:rFonts w:eastAsia="Times New Roman" w:cstheme="minorHAnsi"/>
          <w:color w:val="000000" w:themeColor="text1"/>
          <w:kern w:val="0"/>
          <w:lang w:eastAsia="en-CA"/>
          <w14:ligatures w14:val="none"/>
        </w:rPr>
        <w:t xml:space="preserve"> in the same way that cottagers and other residents of the municipality do</w:t>
      </w:r>
      <w:r w:rsidR="00E17BEE">
        <w:rPr>
          <w:rFonts w:eastAsia="Times New Roman" w:cstheme="minorHAnsi"/>
          <w:color w:val="000000" w:themeColor="text1"/>
          <w:kern w:val="0"/>
          <w:lang w:eastAsia="en-CA"/>
          <w14:ligatures w14:val="none"/>
        </w:rPr>
        <w:t>.</w:t>
      </w:r>
    </w:p>
    <w:p w14:paraId="5D5FD3C6" w14:textId="33B62361" w:rsidR="00797D7F" w:rsidRPr="00B534BB" w:rsidRDefault="00ED383F" w:rsidP="00B534BB">
      <w:pPr>
        <w:pStyle w:val="ListParagraph"/>
        <w:rPr>
          <w:b/>
        </w:rPr>
      </w:pPr>
      <w:r w:rsidRPr="00B534BB">
        <w:rPr>
          <w:b/>
        </w:rPr>
        <w:t>In the alternative,</w:t>
      </w:r>
      <w:r w:rsidR="00797D7F" w:rsidRPr="00B534BB">
        <w:rPr>
          <w:b/>
        </w:rPr>
        <w:t xml:space="preserve"> </w:t>
      </w:r>
      <w:r w:rsidR="00D16070" w:rsidRPr="00B534BB">
        <w:rPr>
          <w:b/>
        </w:rPr>
        <w:t>if “Float Homes” are to continue to be allowed to “Camp”</w:t>
      </w:r>
    </w:p>
    <w:p w14:paraId="0AA8897A" w14:textId="009CFDDE" w:rsidR="0017380D" w:rsidRDefault="00D16070" w:rsidP="00620679">
      <w:pPr>
        <w:pStyle w:val="ListParagraph"/>
        <w:numPr>
          <w:ilvl w:val="0"/>
          <w:numId w:val="1"/>
        </w:numPr>
      </w:pPr>
      <w:r>
        <w:t xml:space="preserve"> W</w:t>
      </w:r>
      <w:r w:rsidR="0017380D">
        <w:t xml:space="preserve">e </w:t>
      </w:r>
      <w:r w:rsidR="00542FF2">
        <w:t xml:space="preserve">ask </w:t>
      </w:r>
      <w:r w:rsidR="0017380D">
        <w:t xml:space="preserve"> that the number of days for on</w:t>
      </w:r>
      <w:r w:rsidR="00542FF2">
        <w:t>-</w:t>
      </w:r>
      <w:r w:rsidR="0017380D">
        <w:t xml:space="preserve">water camping </w:t>
      </w:r>
      <w:r w:rsidR="00ED383F">
        <w:t xml:space="preserve">in one site </w:t>
      </w:r>
      <w:r>
        <w:t xml:space="preserve">without moving </w:t>
      </w:r>
      <w:r w:rsidR="0017380D">
        <w:t xml:space="preserve">be changed from 21 days to 10 days. </w:t>
      </w:r>
      <w:r w:rsidR="00542FF2">
        <w:t>We note that o</w:t>
      </w:r>
      <w:r w:rsidR="005B3F93">
        <w:t xml:space="preserve">ther provinces </w:t>
      </w:r>
      <w:r w:rsidR="00542FF2">
        <w:t xml:space="preserve">presently set limits </w:t>
      </w:r>
      <w:r w:rsidR="005B3F93">
        <w:t xml:space="preserve">from 7 to 14 </w:t>
      </w:r>
      <w:r w:rsidR="00ED383F">
        <w:t xml:space="preserve">days, </w:t>
      </w:r>
      <w:r w:rsidR="005B3F93">
        <w:t>and lowering the number of days would align with other provinces and allow for more Ontarians to camp on the water</w:t>
      </w:r>
      <w:r w:rsidR="008B429C">
        <w:t xml:space="preserve">, and should not unreasonably impact the operators of Live-Aboard Vessels. </w:t>
      </w:r>
    </w:p>
    <w:p w14:paraId="34B1BA4E" w14:textId="77777777" w:rsidR="00E17BEE" w:rsidRDefault="00E17BEE" w:rsidP="00E17BEE">
      <w:pPr>
        <w:pStyle w:val="ListParagraph"/>
      </w:pPr>
    </w:p>
    <w:p w14:paraId="438B3091" w14:textId="0A68E515" w:rsidR="00797D7F" w:rsidRDefault="0017380D" w:rsidP="00620679">
      <w:pPr>
        <w:pStyle w:val="ListParagraph"/>
        <w:numPr>
          <w:ilvl w:val="0"/>
          <w:numId w:val="1"/>
        </w:numPr>
      </w:pPr>
      <w:r>
        <w:t xml:space="preserve">We </w:t>
      </w:r>
      <w:r w:rsidR="00542FF2">
        <w:t xml:space="preserve">ask </w:t>
      </w:r>
      <w:r>
        <w:t xml:space="preserve">that the movement </w:t>
      </w:r>
      <w:r w:rsidR="00ED383F">
        <w:t xml:space="preserve">required </w:t>
      </w:r>
      <w:r>
        <w:t xml:space="preserve">of </w:t>
      </w:r>
      <w:r w:rsidR="005B3F93">
        <w:t>a</w:t>
      </w:r>
      <w:r>
        <w:t xml:space="preserve"> </w:t>
      </w:r>
      <w:r w:rsidR="00542FF2">
        <w:t>“</w:t>
      </w:r>
      <w:r w:rsidR="00ED383F">
        <w:t xml:space="preserve">Live-Aboard Vessel” / </w:t>
      </w:r>
      <w:r>
        <w:t>camping unit</w:t>
      </w:r>
      <w:r w:rsidR="00542FF2">
        <w:t>” when</w:t>
      </w:r>
      <w:r>
        <w:t xml:space="preserve"> </w:t>
      </w:r>
      <w:r w:rsidR="00ED383F">
        <w:t xml:space="preserve">not in a marina, </w:t>
      </w:r>
      <w:r>
        <w:t xml:space="preserve">be </w:t>
      </w:r>
      <w:r w:rsidR="00D16070">
        <w:t xml:space="preserve">increased </w:t>
      </w:r>
      <w:r>
        <w:t>from 100 m to 1</w:t>
      </w:r>
      <w:r w:rsidR="005B3F93">
        <w:t xml:space="preserve"> km. </w:t>
      </w:r>
    </w:p>
    <w:p w14:paraId="35CDF1B1" w14:textId="77777777" w:rsidR="00797D7F" w:rsidRDefault="00797D7F" w:rsidP="00B534BB">
      <w:pPr>
        <w:pStyle w:val="ListParagraph"/>
      </w:pPr>
    </w:p>
    <w:p w14:paraId="79516FBE" w14:textId="29D73C23" w:rsidR="0017380D" w:rsidRDefault="005B3F93" w:rsidP="00B534BB">
      <w:pPr>
        <w:pStyle w:val="ListParagraph"/>
      </w:pPr>
      <w:r>
        <w:t xml:space="preserve">In many municipalities the area around </w:t>
      </w:r>
      <w:r w:rsidR="00797D7F">
        <w:t>C</w:t>
      </w:r>
      <w:r>
        <w:t>rown land has been designated as environmental</w:t>
      </w:r>
      <w:r w:rsidR="0098765D">
        <w:t xml:space="preserve">ly </w:t>
      </w:r>
      <w:r>
        <w:t xml:space="preserve">sensitive, </w:t>
      </w:r>
      <w:r w:rsidR="00542FF2">
        <w:t xml:space="preserve">and </w:t>
      </w:r>
      <w:r>
        <w:t xml:space="preserve">moving </w:t>
      </w:r>
      <w:r w:rsidR="00542FF2">
        <w:t xml:space="preserve">only </w:t>
      </w:r>
      <w:r>
        <w:t xml:space="preserve">100 m will </w:t>
      </w:r>
      <w:r w:rsidR="00797D7F">
        <w:t xml:space="preserve">cause </w:t>
      </w:r>
      <w:r>
        <w:t xml:space="preserve">detrimental effects to the environment. Moving 1 km will reduce the </w:t>
      </w:r>
      <w:r w:rsidR="00797D7F">
        <w:t xml:space="preserve">impacts of prolonged anchoring in </w:t>
      </w:r>
      <w:r w:rsidR="00D16070">
        <w:t xml:space="preserve">one </w:t>
      </w:r>
      <w:r w:rsidR="00797D7F">
        <w:t xml:space="preserve">vicinity </w:t>
      </w:r>
      <w:r>
        <w:t>to the environment.</w:t>
      </w:r>
    </w:p>
    <w:p w14:paraId="698FE9E3" w14:textId="77777777" w:rsidR="00E17BEE" w:rsidRDefault="00E17BEE" w:rsidP="00E17BEE">
      <w:pPr>
        <w:pStyle w:val="ListParagraph"/>
      </w:pPr>
    </w:p>
    <w:p w14:paraId="30776AD5" w14:textId="247A4EF6" w:rsidR="00797D7F" w:rsidRDefault="0043163D" w:rsidP="00620679">
      <w:pPr>
        <w:pStyle w:val="ListParagraph"/>
        <w:numPr>
          <w:ilvl w:val="0"/>
          <w:numId w:val="1"/>
        </w:numPr>
      </w:pPr>
      <w:r>
        <w:t xml:space="preserve">We ask that the MNRF </w:t>
      </w:r>
      <w:r w:rsidR="005B3F93">
        <w:t>add</w:t>
      </w:r>
      <w:r w:rsidR="00797D7F">
        <w:t xml:space="preserve"> </w:t>
      </w:r>
      <w:r w:rsidR="005B3F93">
        <w:t>new condition</w:t>
      </w:r>
      <w:r>
        <w:t>s</w:t>
      </w:r>
      <w:r w:rsidR="00BE7383">
        <w:t xml:space="preserve"> that </w:t>
      </w:r>
      <w:r w:rsidR="005B3F93">
        <w:t xml:space="preserve"> prohibit camping on water within 300 meters of a developed shoreline.</w:t>
      </w:r>
      <w:r w:rsidR="00BE7383">
        <w:t xml:space="preserve"> </w:t>
      </w:r>
    </w:p>
    <w:p w14:paraId="24C128DE" w14:textId="77777777" w:rsidR="00D16070" w:rsidRDefault="00D16070" w:rsidP="00B534BB">
      <w:pPr>
        <w:pStyle w:val="ListParagraph"/>
      </w:pPr>
    </w:p>
    <w:p w14:paraId="426A5BCD" w14:textId="440A47C7" w:rsidR="00797D7F" w:rsidRDefault="00797D7F" w:rsidP="00B534BB">
      <w:pPr>
        <w:pStyle w:val="ListParagraph"/>
      </w:pPr>
      <w:r>
        <w:t xml:space="preserve">We note that members of our group have noted and often have photographic evidence of </w:t>
      </w:r>
      <w:r w:rsidR="00BE7383">
        <w:t>areas where</w:t>
      </w:r>
      <w:r>
        <w:t xml:space="preserve"> “</w:t>
      </w:r>
      <w:r w:rsidR="0043163D">
        <w:t>Flo</w:t>
      </w:r>
      <w:r>
        <w:t>a</w:t>
      </w:r>
      <w:r w:rsidR="0043163D">
        <w:t>t Homes</w:t>
      </w:r>
      <w:r>
        <w:t xml:space="preserve">” have </w:t>
      </w:r>
      <w:r w:rsidR="00BE7383">
        <w:t>gather</w:t>
      </w:r>
      <w:r>
        <w:t>ed</w:t>
      </w:r>
      <w:r w:rsidR="00BE7383">
        <w:t xml:space="preserve"> very close to developed shoreline</w:t>
      </w:r>
      <w:r w:rsidR="0043163D">
        <w:t>s</w:t>
      </w:r>
      <w:r w:rsidR="00BE7383">
        <w:t xml:space="preserve"> and we have </w:t>
      </w:r>
      <w:r w:rsidR="0043163D">
        <w:t xml:space="preserve">witnessed  such </w:t>
      </w:r>
      <w:r>
        <w:t>“</w:t>
      </w:r>
      <w:r w:rsidR="0043163D">
        <w:t>campers</w:t>
      </w:r>
      <w:r>
        <w:t>”</w:t>
      </w:r>
    </w:p>
    <w:p w14:paraId="01C96C06" w14:textId="42B0F794" w:rsidR="00797D7F" w:rsidRDefault="0043163D" w:rsidP="00B534BB">
      <w:pPr>
        <w:pStyle w:val="ListParagraph"/>
        <w:numPr>
          <w:ilvl w:val="0"/>
          <w:numId w:val="6"/>
        </w:numPr>
      </w:pPr>
      <w:r>
        <w:t xml:space="preserve">frequently </w:t>
      </w:r>
      <w:r w:rsidR="00797D7F">
        <w:t xml:space="preserve">deliberately </w:t>
      </w:r>
      <w:r w:rsidR="00BE7383">
        <w:t xml:space="preserve">depositing </w:t>
      </w:r>
      <w:r>
        <w:t xml:space="preserve">their </w:t>
      </w:r>
      <w:r w:rsidR="00BE7383">
        <w:t>garbage in the lake</w:t>
      </w:r>
      <w:r w:rsidR="00797D7F">
        <w:t xml:space="preserve"> or allowing it to fall overboard,</w:t>
      </w:r>
      <w:r w:rsidR="00BE7383">
        <w:t xml:space="preserve"> </w:t>
      </w:r>
    </w:p>
    <w:p w14:paraId="3E5D73A0" w14:textId="1A16BD96" w:rsidR="00797D7F" w:rsidRDefault="00BE7383" w:rsidP="00B534BB">
      <w:pPr>
        <w:pStyle w:val="ListParagraph"/>
        <w:numPr>
          <w:ilvl w:val="0"/>
          <w:numId w:val="6"/>
        </w:numPr>
      </w:pPr>
      <w:r>
        <w:t>violating alcohol and cannabis use</w:t>
      </w:r>
      <w:r w:rsidR="00797D7F">
        <w:t xml:space="preserve"> laws </w:t>
      </w:r>
      <w:r>
        <w:t xml:space="preserve"> </w:t>
      </w:r>
    </w:p>
    <w:p w14:paraId="31B4C132" w14:textId="77777777" w:rsidR="00797D7F" w:rsidRDefault="0043163D" w:rsidP="00B534BB">
      <w:pPr>
        <w:pStyle w:val="ListParagraph"/>
        <w:numPr>
          <w:ilvl w:val="0"/>
          <w:numId w:val="6"/>
        </w:numPr>
      </w:pPr>
      <w:r>
        <w:t xml:space="preserve">creating </w:t>
      </w:r>
      <w:r w:rsidR="00BE7383">
        <w:t xml:space="preserve">noise issues, and </w:t>
      </w:r>
    </w:p>
    <w:p w14:paraId="6DF24428" w14:textId="77777777" w:rsidR="00797D7F" w:rsidRDefault="00BE7383" w:rsidP="00B534BB">
      <w:pPr>
        <w:pStyle w:val="ListParagraph"/>
        <w:numPr>
          <w:ilvl w:val="0"/>
          <w:numId w:val="6"/>
        </w:numPr>
      </w:pPr>
      <w:r>
        <w:t xml:space="preserve">urinating from boats. </w:t>
      </w:r>
    </w:p>
    <w:p w14:paraId="75C33E51" w14:textId="7B9710E5" w:rsidR="005B3F93" w:rsidRDefault="00BE7383" w:rsidP="00B534BB">
      <w:pPr>
        <w:ind w:left="720"/>
      </w:pPr>
      <w:r>
        <w:t xml:space="preserve">We have been concerned about the physical damage that they are doing to </w:t>
      </w:r>
      <w:r w:rsidR="0043163D">
        <w:t xml:space="preserve">sensitive </w:t>
      </w:r>
      <w:r>
        <w:t xml:space="preserve"> </w:t>
      </w:r>
      <w:r w:rsidR="0043163D">
        <w:t xml:space="preserve">shorelines and shallow waters, particularly during </w:t>
      </w:r>
      <w:r w:rsidR="00797D7F">
        <w:t xml:space="preserve">the </w:t>
      </w:r>
      <w:r w:rsidR="0043163D">
        <w:t>mating and breeding seasons</w:t>
      </w:r>
      <w:r w:rsidR="00797D7F">
        <w:t xml:space="preserve"> of at risk species</w:t>
      </w:r>
      <w:r w:rsidR="0043163D">
        <w:t xml:space="preserve">, as well as other </w:t>
      </w:r>
      <w:r>
        <w:t>environment</w:t>
      </w:r>
      <w:r w:rsidR="0043163D">
        <w:t xml:space="preserve">al damage </w:t>
      </w:r>
      <w:r>
        <w:t xml:space="preserve">and  effects on the </w:t>
      </w:r>
      <w:r w:rsidR="0043163D">
        <w:t xml:space="preserve">nearby </w:t>
      </w:r>
      <w:r>
        <w:t xml:space="preserve">water quality.  </w:t>
      </w:r>
      <w:r w:rsidR="00797D7F">
        <w:t xml:space="preserve">  We urge the MNRF to significantly increase fines for “campers” who carelessly or deliberately foul the water.</w:t>
      </w:r>
    </w:p>
    <w:p w14:paraId="700777CD" w14:textId="38E0C591" w:rsidR="005B3F93" w:rsidRPr="00B534BB" w:rsidRDefault="00797D7F" w:rsidP="00B534BB">
      <w:pPr>
        <w:ind w:left="709" w:hanging="349"/>
        <w:rPr>
          <w:b/>
        </w:rPr>
      </w:pPr>
      <w:r w:rsidRPr="00B534BB">
        <w:rPr>
          <w:b/>
        </w:rPr>
        <w:t>9</w:t>
      </w:r>
      <w:r w:rsidR="0043692C">
        <w:rPr>
          <w:b/>
        </w:rPr>
        <w:t>.</w:t>
      </w:r>
      <w:r w:rsidRPr="0043692C">
        <w:rPr>
          <w:bCs/>
        </w:rPr>
        <w:tab/>
      </w:r>
      <w:r w:rsidR="00D16070" w:rsidRPr="0043692C">
        <w:rPr>
          <w:bCs/>
        </w:rPr>
        <w:t>Most importantly, w</w:t>
      </w:r>
      <w:r w:rsidRPr="0043692C">
        <w:rPr>
          <w:bCs/>
        </w:rPr>
        <w:t>e ask that the MNRF specifically ban the use of “</w:t>
      </w:r>
      <w:r w:rsidR="00247E15" w:rsidRPr="0043692C">
        <w:rPr>
          <w:bCs/>
        </w:rPr>
        <w:t>spuds” (steel posts)</w:t>
      </w:r>
      <w:r w:rsidRPr="0043692C">
        <w:rPr>
          <w:bCs/>
        </w:rPr>
        <w:t xml:space="preserve"> attached to vessels </w:t>
      </w:r>
      <w:r w:rsidR="00D16070" w:rsidRPr="0043692C">
        <w:rPr>
          <w:bCs/>
        </w:rPr>
        <w:t xml:space="preserve">being </w:t>
      </w:r>
      <w:r w:rsidRPr="0043692C">
        <w:rPr>
          <w:bCs/>
        </w:rPr>
        <w:t>lowered to the waterbed</w:t>
      </w:r>
      <w:r w:rsidR="00D16070" w:rsidRPr="0043692C">
        <w:rPr>
          <w:bCs/>
        </w:rPr>
        <w:t>,</w:t>
      </w:r>
      <w:r w:rsidRPr="0043692C">
        <w:rPr>
          <w:bCs/>
        </w:rPr>
        <w:t xml:space="preserve"> other than within a marina.</w:t>
      </w:r>
    </w:p>
    <w:sectPr w:rsidR="005B3F93" w:rsidRPr="00B53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733C"/>
    <w:multiLevelType w:val="hybridMultilevel"/>
    <w:tmpl w:val="2C6239A0"/>
    <w:lvl w:ilvl="0" w:tplc="C68A22EC">
      <w:start w:val="1"/>
      <w:numFmt w:val="decimal"/>
      <w:lvlText w:val="%1."/>
      <w:lvlJc w:val="left"/>
      <w:pPr>
        <w:ind w:left="720" w:hanging="360"/>
      </w:pPr>
      <w:rPr>
        <w:rFonts w:hint="default"/>
        <w:b w:val="0"/>
        <w:bCs w:val="0"/>
        <w:i w:val="0"/>
        <w:iCs w:val="0"/>
        <w:color w:val="484848"/>
        <w:w w:val="105"/>
        <w:sz w:val="23"/>
        <w:szCs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A75CC5"/>
    <w:multiLevelType w:val="hybridMultilevel"/>
    <w:tmpl w:val="7188F4A2"/>
    <w:lvl w:ilvl="0" w:tplc="1009000F">
      <w:start w:val="1"/>
      <w:numFmt w:val="decimal"/>
      <w:lvlText w:val="%1."/>
      <w:lvlJc w:val="left"/>
      <w:pPr>
        <w:ind w:left="632" w:hanging="272"/>
      </w:pPr>
      <w:rPr>
        <w:rFonts w:hint="default"/>
        <w:b w:val="0"/>
        <w:bCs w:val="0"/>
        <w:i w:val="0"/>
        <w:iCs w:val="0"/>
        <w:color w:val="484848"/>
        <w:w w:val="105"/>
        <w:sz w:val="23"/>
        <w:szCs w:val="23"/>
        <w:lang w:val="en-US" w:eastAsia="en-US" w:bidi="ar-SA"/>
      </w:rPr>
    </w:lvl>
    <w:lvl w:ilvl="1" w:tplc="C95C638A">
      <w:numFmt w:val="bullet"/>
      <w:lvlText w:val="-"/>
      <w:lvlJc w:val="left"/>
      <w:pPr>
        <w:ind w:left="1239" w:hanging="267"/>
      </w:pPr>
      <w:rPr>
        <w:rFonts w:ascii="Times New Roman" w:eastAsia="Times New Roman" w:hAnsi="Times New Roman" w:cs="Times New Roman" w:hint="default"/>
        <w:b w:val="0"/>
        <w:bCs w:val="0"/>
        <w:i w:val="0"/>
        <w:iCs w:val="0"/>
        <w:color w:val="464646"/>
        <w:w w:val="102"/>
        <w:sz w:val="22"/>
        <w:szCs w:val="22"/>
        <w:lang w:val="en-US" w:eastAsia="en-US" w:bidi="ar-SA"/>
      </w:rPr>
    </w:lvl>
    <w:lvl w:ilvl="2" w:tplc="0E08BB9E">
      <w:numFmt w:val="bullet"/>
      <w:lvlText w:val="•"/>
      <w:lvlJc w:val="left"/>
      <w:pPr>
        <w:ind w:left="1828" w:hanging="267"/>
      </w:pPr>
      <w:rPr>
        <w:rFonts w:hint="default"/>
        <w:lang w:val="en-US" w:eastAsia="en-US" w:bidi="ar-SA"/>
      </w:rPr>
    </w:lvl>
    <w:lvl w:ilvl="3" w:tplc="12023610">
      <w:numFmt w:val="bullet"/>
      <w:lvlText w:val="•"/>
      <w:lvlJc w:val="left"/>
      <w:pPr>
        <w:ind w:left="2424" w:hanging="267"/>
      </w:pPr>
      <w:rPr>
        <w:rFonts w:hint="default"/>
        <w:lang w:val="en-US" w:eastAsia="en-US" w:bidi="ar-SA"/>
      </w:rPr>
    </w:lvl>
    <w:lvl w:ilvl="4" w:tplc="78C4686C">
      <w:numFmt w:val="bullet"/>
      <w:lvlText w:val="•"/>
      <w:lvlJc w:val="left"/>
      <w:pPr>
        <w:ind w:left="3019" w:hanging="267"/>
      </w:pPr>
      <w:rPr>
        <w:rFonts w:hint="default"/>
        <w:lang w:val="en-US" w:eastAsia="en-US" w:bidi="ar-SA"/>
      </w:rPr>
    </w:lvl>
    <w:lvl w:ilvl="5" w:tplc="859AF2EE">
      <w:numFmt w:val="bullet"/>
      <w:lvlText w:val="•"/>
      <w:lvlJc w:val="left"/>
      <w:pPr>
        <w:ind w:left="3615" w:hanging="267"/>
      </w:pPr>
      <w:rPr>
        <w:rFonts w:hint="default"/>
        <w:lang w:val="en-US" w:eastAsia="en-US" w:bidi="ar-SA"/>
      </w:rPr>
    </w:lvl>
    <w:lvl w:ilvl="6" w:tplc="4498FFAA">
      <w:numFmt w:val="bullet"/>
      <w:lvlText w:val="•"/>
      <w:lvlJc w:val="left"/>
      <w:pPr>
        <w:ind w:left="4211" w:hanging="267"/>
      </w:pPr>
      <w:rPr>
        <w:rFonts w:hint="default"/>
        <w:lang w:val="en-US" w:eastAsia="en-US" w:bidi="ar-SA"/>
      </w:rPr>
    </w:lvl>
    <w:lvl w:ilvl="7" w:tplc="DD3C00C4">
      <w:numFmt w:val="bullet"/>
      <w:lvlText w:val="•"/>
      <w:lvlJc w:val="left"/>
      <w:pPr>
        <w:ind w:left="4806" w:hanging="267"/>
      </w:pPr>
      <w:rPr>
        <w:rFonts w:hint="default"/>
        <w:lang w:val="en-US" w:eastAsia="en-US" w:bidi="ar-SA"/>
      </w:rPr>
    </w:lvl>
    <w:lvl w:ilvl="8" w:tplc="DDA45890">
      <w:numFmt w:val="bullet"/>
      <w:lvlText w:val="•"/>
      <w:lvlJc w:val="left"/>
      <w:pPr>
        <w:ind w:left="5402" w:hanging="267"/>
      </w:pPr>
      <w:rPr>
        <w:rFonts w:hint="default"/>
        <w:lang w:val="en-US" w:eastAsia="en-US" w:bidi="ar-SA"/>
      </w:rPr>
    </w:lvl>
  </w:abstractNum>
  <w:abstractNum w:abstractNumId="2" w15:restartNumberingAfterBreak="0">
    <w:nsid w:val="41FB715F"/>
    <w:multiLevelType w:val="multilevel"/>
    <w:tmpl w:val="3296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32C5C"/>
    <w:multiLevelType w:val="hybridMultilevel"/>
    <w:tmpl w:val="A82E9F76"/>
    <w:lvl w:ilvl="0" w:tplc="FA182F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E0F3136"/>
    <w:multiLevelType w:val="multilevel"/>
    <w:tmpl w:val="59B4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E6A29"/>
    <w:multiLevelType w:val="hybridMultilevel"/>
    <w:tmpl w:val="E1CC124A"/>
    <w:lvl w:ilvl="0" w:tplc="21D2D42A">
      <w:numFmt w:val="bullet"/>
      <w:lvlText w:val="-"/>
      <w:lvlJc w:val="left"/>
      <w:pPr>
        <w:ind w:left="272" w:hanging="272"/>
      </w:pPr>
      <w:rPr>
        <w:rFonts w:ascii="Times New Roman" w:eastAsia="Times New Roman" w:hAnsi="Times New Roman" w:cs="Times New Roman" w:hint="default"/>
        <w:b w:val="0"/>
        <w:bCs w:val="0"/>
        <w:i w:val="0"/>
        <w:iCs w:val="0"/>
        <w:color w:val="484848"/>
        <w:w w:val="105"/>
        <w:sz w:val="23"/>
        <w:szCs w:val="23"/>
        <w:lang w:val="en-US" w:eastAsia="en-US" w:bidi="ar-SA"/>
      </w:rPr>
    </w:lvl>
    <w:lvl w:ilvl="1" w:tplc="C95C638A">
      <w:numFmt w:val="bullet"/>
      <w:lvlText w:val="-"/>
      <w:lvlJc w:val="left"/>
      <w:pPr>
        <w:ind w:left="879" w:hanging="267"/>
      </w:pPr>
      <w:rPr>
        <w:rFonts w:ascii="Times New Roman" w:eastAsia="Times New Roman" w:hAnsi="Times New Roman" w:cs="Times New Roman" w:hint="default"/>
        <w:b w:val="0"/>
        <w:bCs w:val="0"/>
        <w:i w:val="0"/>
        <w:iCs w:val="0"/>
        <w:color w:val="464646"/>
        <w:w w:val="102"/>
        <w:sz w:val="22"/>
        <w:szCs w:val="22"/>
        <w:lang w:val="en-US" w:eastAsia="en-US" w:bidi="ar-SA"/>
      </w:rPr>
    </w:lvl>
    <w:lvl w:ilvl="2" w:tplc="0E08BB9E">
      <w:numFmt w:val="bullet"/>
      <w:lvlText w:val="•"/>
      <w:lvlJc w:val="left"/>
      <w:pPr>
        <w:ind w:left="1468" w:hanging="267"/>
      </w:pPr>
      <w:rPr>
        <w:rFonts w:hint="default"/>
        <w:lang w:val="en-US" w:eastAsia="en-US" w:bidi="ar-SA"/>
      </w:rPr>
    </w:lvl>
    <w:lvl w:ilvl="3" w:tplc="12023610">
      <w:numFmt w:val="bullet"/>
      <w:lvlText w:val="•"/>
      <w:lvlJc w:val="left"/>
      <w:pPr>
        <w:ind w:left="2064" w:hanging="267"/>
      </w:pPr>
      <w:rPr>
        <w:rFonts w:hint="default"/>
        <w:lang w:val="en-US" w:eastAsia="en-US" w:bidi="ar-SA"/>
      </w:rPr>
    </w:lvl>
    <w:lvl w:ilvl="4" w:tplc="78C4686C">
      <w:numFmt w:val="bullet"/>
      <w:lvlText w:val="•"/>
      <w:lvlJc w:val="left"/>
      <w:pPr>
        <w:ind w:left="2659" w:hanging="267"/>
      </w:pPr>
      <w:rPr>
        <w:rFonts w:hint="default"/>
        <w:lang w:val="en-US" w:eastAsia="en-US" w:bidi="ar-SA"/>
      </w:rPr>
    </w:lvl>
    <w:lvl w:ilvl="5" w:tplc="859AF2EE">
      <w:numFmt w:val="bullet"/>
      <w:lvlText w:val="•"/>
      <w:lvlJc w:val="left"/>
      <w:pPr>
        <w:ind w:left="3255" w:hanging="267"/>
      </w:pPr>
      <w:rPr>
        <w:rFonts w:hint="default"/>
        <w:lang w:val="en-US" w:eastAsia="en-US" w:bidi="ar-SA"/>
      </w:rPr>
    </w:lvl>
    <w:lvl w:ilvl="6" w:tplc="4498FFAA">
      <w:numFmt w:val="bullet"/>
      <w:lvlText w:val="•"/>
      <w:lvlJc w:val="left"/>
      <w:pPr>
        <w:ind w:left="3851" w:hanging="267"/>
      </w:pPr>
      <w:rPr>
        <w:rFonts w:hint="default"/>
        <w:lang w:val="en-US" w:eastAsia="en-US" w:bidi="ar-SA"/>
      </w:rPr>
    </w:lvl>
    <w:lvl w:ilvl="7" w:tplc="DD3C00C4">
      <w:numFmt w:val="bullet"/>
      <w:lvlText w:val="•"/>
      <w:lvlJc w:val="left"/>
      <w:pPr>
        <w:ind w:left="4446" w:hanging="267"/>
      </w:pPr>
      <w:rPr>
        <w:rFonts w:hint="default"/>
        <w:lang w:val="en-US" w:eastAsia="en-US" w:bidi="ar-SA"/>
      </w:rPr>
    </w:lvl>
    <w:lvl w:ilvl="8" w:tplc="DDA45890">
      <w:numFmt w:val="bullet"/>
      <w:lvlText w:val="•"/>
      <w:lvlJc w:val="left"/>
      <w:pPr>
        <w:ind w:left="5042" w:hanging="267"/>
      </w:pPr>
      <w:rPr>
        <w:rFonts w:hint="default"/>
        <w:lang w:val="en-US" w:eastAsia="en-US" w:bidi="ar-SA"/>
      </w:rPr>
    </w:lvl>
  </w:abstractNum>
  <w:num w:numId="1" w16cid:durableId="1366254786">
    <w:abstractNumId w:val="0"/>
  </w:num>
  <w:num w:numId="2" w16cid:durableId="1467964214">
    <w:abstractNumId w:val="4"/>
  </w:num>
  <w:num w:numId="3" w16cid:durableId="728649710">
    <w:abstractNumId w:val="2"/>
  </w:num>
  <w:num w:numId="4" w16cid:durableId="2050908263">
    <w:abstractNumId w:val="5"/>
  </w:num>
  <w:num w:numId="5" w16cid:durableId="424544471">
    <w:abstractNumId w:val="1"/>
  </w:num>
  <w:num w:numId="6" w16cid:durableId="78493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79"/>
    <w:rsid w:val="000C08BB"/>
    <w:rsid w:val="00161398"/>
    <w:rsid w:val="0017380D"/>
    <w:rsid w:val="00247E15"/>
    <w:rsid w:val="003B30DA"/>
    <w:rsid w:val="0043163D"/>
    <w:rsid w:val="0043692C"/>
    <w:rsid w:val="00480FE4"/>
    <w:rsid w:val="004C79C4"/>
    <w:rsid w:val="004D3764"/>
    <w:rsid w:val="00542FF2"/>
    <w:rsid w:val="005B3F93"/>
    <w:rsid w:val="00620679"/>
    <w:rsid w:val="00681D05"/>
    <w:rsid w:val="00797D7F"/>
    <w:rsid w:val="008024E2"/>
    <w:rsid w:val="008559FF"/>
    <w:rsid w:val="008B429C"/>
    <w:rsid w:val="0098765D"/>
    <w:rsid w:val="00B534BB"/>
    <w:rsid w:val="00B947FD"/>
    <w:rsid w:val="00BE7383"/>
    <w:rsid w:val="00D16070"/>
    <w:rsid w:val="00E17BEE"/>
    <w:rsid w:val="00ED383F"/>
    <w:rsid w:val="00F77D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0C50"/>
  <w15:chartTrackingRefBased/>
  <w15:docId w15:val="{DFEE65B2-8321-42DE-9B6C-711E0F3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0679"/>
    <w:pPr>
      <w:ind w:left="720"/>
      <w:contextualSpacing/>
    </w:pPr>
  </w:style>
  <w:style w:type="character" w:styleId="Emphasis">
    <w:name w:val="Emphasis"/>
    <w:basedOn w:val="DefaultParagraphFont"/>
    <w:uiPriority w:val="20"/>
    <w:qFormat/>
    <w:rsid w:val="00B947FD"/>
    <w:rPr>
      <w:i/>
      <w:iCs/>
    </w:rPr>
  </w:style>
  <w:style w:type="character" w:styleId="Hyperlink">
    <w:name w:val="Hyperlink"/>
    <w:basedOn w:val="DefaultParagraphFont"/>
    <w:uiPriority w:val="99"/>
    <w:unhideWhenUsed/>
    <w:rsid w:val="004C79C4"/>
    <w:rPr>
      <w:color w:val="0563C1" w:themeColor="hyperlink"/>
      <w:u w:val="single"/>
    </w:rPr>
  </w:style>
  <w:style w:type="paragraph" w:styleId="Revision">
    <w:name w:val="Revision"/>
    <w:hidden/>
    <w:uiPriority w:val="99"/>
    <w:semiHidden/>
    <w:rsid w:val="0048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vha.ca/wp-content/uploads/2019/02/Standards-for-Float-Homes-and-Live-Aboard-Vessels-in-Victoria-Harbou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Elliot-Fraser</dc:creator>
  <cp:keywords/>
  <dc:description/>
  <cp:lastModifiedBy>Cheryl Elliot-Fraser</cp:lastModifiedBy>
  <cp:revision>5</cp:revision>
  <cp:lastPrinted>2023-04-04T15:09:00Z</cp:lastPrinted>
  <dcterms:created xsi:type="dcterms:W3CDTF">2023-04-03T13:52:00Z</dcterms:created>
  <dcterms:modified xsi:type="dcterms:W3CDTF">2023-04-06T01:02:00Z</dcterms:modified>
</cp:coreProperties>
</file>