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55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5749"/>
        <w:gridCol w:w="1800"/>
        <w:gridCol w:w="5400"/>
        <w:gridCol w:w="1620"/>
        <w:gridCol w:w="6272"/>
      </w:tblGrid>
      <w:tr w:rsidR="00E35AFF" w14:paraId="507B79C2" w14:textId="77777777" w:rsidTr="00E35AFF">
        <w:trPr>
          <w:trHeight w:val="947"/>
        </w:trPr>
        <w:tc>
          <w:tcPr>
            <w:tcW w:w="716" w:type="dxa"/>
            <w:shd w:val="clear" w:color="auto" w:fill="D9D9D9"/>
          </w:tcPr>
          <w:p w14:paraId="4DA58EA1" w14:textId="77777777" w:rsidR="00E35AFF" w:rsidRDefault="00E35AFF" w:rsidP="008B0B59">
            <w:pPr>
              <w:pStyle w:val="TableParagraph"/>
              <w:spacing w:line="292" w:lineRule="exact"/>
              <w:ind w:right="235"/>
              <w:jc w:val="right"/>
              <w:rPr>
                <w:b/>
                <w:sz w:val="24"/>
              </w:rPr>
            </w:pPr>
            <w:r>
              <w:rPr>
                <w:b/>
                <w:sz w:val="24"/>
              </w:rPr>
              <w:t>#</w:t>
            </w:r>
          </w:p>
        </w:tc>
        <w:tc>
          <w:tcPr>
            <w:tcW w:w="5749" w:type="dxa"/>
            <w:shd w:val="clear" w:color="auto" w:fill="D9D9D9"/>
          </w:tcPr>
          <w:p w14:paraId="635D9C50" w14:textId="77777777" w:rsidR="00E35AFF" w:rsidRDefault="00E35AFF" w:rsidP="008B0B59">
            <w:pPr>
              <w:pStyle w:val="TableParagraph"/>
              <w:spacing w:before="11"/>
              <w:rPr>
                <w:b/>
                <w:sz w:val="23"/>
              </w:rPr>
            </w:pPr>
          </w:p>
          <w:p w14:paraId="1942A37F" w14:textId="77777777" w:rsidR="00E35AFF" w:rsidRDefault="00E35AFF" w:rsidP="008B0B59">
            <w:pPr>
              <w:pStyle w:val="TableParagraph"/>
              <w:ind w:left="1283"/>
              <w:rPr>
                <w:b/>
                <w:sz w:val="24"/>
              </w:rPr>
            </w:pPr>
            <w:r>
              <w:rPr>
                <w:b/>
                <w:sz w:val="24"/>
              </w:rPr>
              <w:t>Current FMPM Requirements (2020)</w:t>
            </w:r>
          </w:p>
        </w:tc>
        <w:tc>
          <w:tcPr>
            <w:tcW w:w="1800" w:type="dxa"/>
            <w:shd w:val="clear" w:color="auto" w:fill="D9D9D9"/>
          </w:tcPr>
          <w:p w14:paraId="2C871156" w14:textId="77777777" w:rsidR="00E35AFF" w:rsidRDefault="00E35AFF" w:rsidP="008B0B59">
            <w:pPr>
              <w:pStyle w:val="TableParagraph"/>
              <w:spacing w:line="292" w:lineRule="exact"/>
              <w:ind w:left="491" w:hanging="92"/>
              <w:rPr>
                <w:b/>
                <w:sz w:val="24"/>
              </w:rPr>
            </w:pPr>
            <w:r>
              <w:rPr>
                <w:b/>
                <w:sz w:val="24"/>
              </w:rPr>
              <w:t>Current</w:t>
            </w:r>
          </w:p>
          <w:p w14:paraId="54B0CDAF" w14:textId="77777777" w:rsidR="00E35AFF" w:rsidRDefault="00E35AFF" w:rsidP="008B0B59">
            <w:pPr>
              <w:pStyle w:val="TableParagraph"/>
              <w:spacing w:line="290" w:lineRule="atLeast"/>
              <w:ind w:left="412" w:right="383" w:firstLine="79"/>
              <w:rPr>
                <w:b/>
                <w:sz w:val="24"/>
              </w:rPr>
            </w:pPr>
            <w:r>
              <w:rPr>
                <w:b/>
                <w:sz w:val="24"/>
              </w:rPr>
              <w:t>Part / Section</w:t>
            </w:r>
          </w:p>
        </w:tc>
        <w:tc>
          <w:tcPr>
            <w:tcW w:w="5400" w:type="dxa"/>
            <w:shd w:val="clear" w:color="auto" w:fill="D9D9D9"/>
          </w:tcPr>
          <w:p w14:paraId="1DCF8A51" w14:textId="77777777" w:rsidR="00E35AFF" w:rsidRDefault="00E35AFF" w:rsidP="008B0B59">
            <w:pPr>
              <w:pStyle w:val="TableParagraph"/>
              <w:spacing w:before="11"/>
              <w:rPr>
                <w:b/>
                <w:sz w:val="23"/>
              </w:rPr>
            </w:pPr>
          </w:p>
          <w:p w14:paraId="3DFA13CD" w14:textId="77777777" w:rsidR="00E35AFF" w:rsidRDefault="00E35AFF" w:rsidP="008B0B59">
            <w:pPr>
              <w:pStyle w:val="TableParagraph"/>
              <w:ind w:left="1833"/>
              <w:rPr>
                <w:b/>
                <w:sz w:val="24"/>
              </w:rPr>
            </w:pPr>
            <w:r>
              <w:rPr>
                <w:b/>
                <w:sz w:val="24"/>
              </w:rPr>
              <w:t>Proposed Revision and Rationale</w:t>
            </w:r>
          </w:p>
        </w:tc>
        <w:tc>
          <w:tcPr>
            <w:tcW w:w="1620" w:type="dxa"/>
            <w:shd w:val="clear" w:color="auto" w:fill="D9D9D9"/>
          </w:tcPr>
          <w:p w14:paraId="3DD6792A" w14:textId="77777777" w:rsidR="00E35AFF" w:rsidRDefault="00E35AFF" w:rsidP="008B0B59">
            <w:pPr>
              <w:pStyle w:val="TableParagraph"/>
              <w:spacing w:line="292" w:lineRule="exact"/>
              <w:ind w:left="491" w:firstLine="57"/>
              <w:rPr>
                <w:b/>
                <w:sz w:val="24"/>
              </w:rPr>
            </w:pPr>
            <w:r>
              <w:rPr>
                <w:b/>
                <w:sz w:val="24"/>
              </w:rPr>
              <w:t>New</w:t>
            </w:r>
          </w:p>
          <w:p w14:paraId="67F303FE" w14:textId="77777777" w:rsidR="00E35AFF" w:rsidRDefault="00E35AFF" w:rsidP="008B0B59">
            <w:pPr>
              <w:pStyle w:val="TableParagraph"/>
              <w:spacing w:line="290" w:lineRule="atLeast"/>
              <w:ind w:left="412" w:right="383" w:firstLine="79"/>
              <w:rPr>
                <w:b/>
                <w:sz w:val="24"/>
              </w:rPr>
            </w:pPr>
            <w:r>
              <w:rPr>
                <w:b/>
                <w:sz w:val="24"/>
              </w:rPr>
              <w:t>Part / Section</w:t>
            </w:r>
          </w:p>
        </w:tc>
        <w:tc>
          <w:tcPr>
            <w:tcW w:w="6272" w:type="dxa"/>
            <w:shd w:val="clear" w:color="auto" w:fill="D9D9D9"/>
          </w:tcPr>
          <w:p w14:paraId="70ED08E7" w14:textId="77777777" w:rsidR="00E35AFF" w:rsidRDefault="00E35AFF" w:rsidP="008B0B59">
            <w:pPr>
              <w:pStyle w:val="TableParagraph"/>
              <w:spacing w:line="292" w:lineRule="exact"/>
              <w:ind w:left="491" w:firstLine="57"/>
              <w:rPr>
                <w:b/>
                <w:sz w:val="24"/>
              </w:rPr>
            </w:pPr>
            <w:r>
              <w:rPr>
                <w:b/>
                <w:sz w:val="24"/>
              </w:rPr>
              <w:t>DFMC comments</w:t>
            </w:r>
          </w:p>
        </w:tc>
      </w:tr>
      <w:tr w:rsidR="00E35AFF" w14:paraId="06F7831E" w14:textId="77777777" w:rsidTr="00E35AFF">
        <w:trPr>
          <w:trHeight w:val="1899"/>
        </w:trPr>
        <w:tc>
          <w:tcPr>
            <w:tcW w:w="716" w:type="dxa"/>
          </w:tcPr>
          <w:p w14:paraId="2BFADA6C" w14:textId="74C0A3BA" w:rsidR="00E35AFF" w:rsidRDefault="00E35AFF" w:rsidP="00E35AFF">
            <w:pPr>
              <w:pStyle w:val="TableParagraph"/>
              <w:spacing w:before="1"/>
              <w:ind w:right="233"/>
              <w:jc w:val="right"/>
              <w:rPr>
                <w:sz w:val="24"/>
              </w:rPr>
            </w:pPr>
            <w:r>
              <w:rPr>
                <w:sz w:val="24"/>
              </w:rPr>
              <w:t>11</w:t>
            </w:r>
          </w:p>
        </w:tc>
        <w:tc>
          <w:tcPr>
            <w:tcW w:w="5749" w:type="dxa"/>
          </w:tcPr>
          <w:p w14:paraId="09168E4E" w14:textId="77777777" w:rsidR="00E35AFF" w:rsidRDefault="00E35AFF" w:rsidP="00E35AFF">
            <w:pPr>
              <w:pStyle w:val="TableParagraph"/>
              <w:spacing w:line="292" w:lineRule="exact"/>
              <w:ind w:left="107"/>
              <w:jc w:val="both"/>
              <w:rPr>
                <w:b/>
                <w:sz w:val="24"/>
              </w:rPr>
            </w:pPr>
            <w:r>
              <w:rPr>
                <w:b/>
                <w:sz w:val="24"/>
              </w:rPr>
              <w:t>Progress Checkpoints</w:t>
            </w:r>
          </w:p>
          <w:p w14:paraId="25493488" w14:textId="415DEBF3" w:rsidR="00E35AFF" w:rsidRDefault="00E35AFF" w:rsidP="00E35AFF">
            <w:pPr>
              <w:pStyle w:val="TableParagraph"/>
              <w:ind w:left="107" w:right="220"/>
              <w:rPr>
                <w:sz w:val="24"/>
              </w:rPr>
            </w:pPr>
            <w:r>
              <w:rPr>
                <w:sz w:val="24"/>
              </w:rPr>
              <w:t>Progress checkpoints are key steps in the development and preliminary endorsement of the management direction of a FMP</w:t>
            </w:r>
          </w:p>
        </w:tc>
        <w:tc>
          <w:tcPr>
            <w:tcW w:w="1800" w:type="dxa"/>
          </w:tcPr>
          <w:p w14:paraId="04711788" w14:textId="4B59BB6A" w:rsidR="00E35AFF" w:rsidRDefault="00E35AFF" w:rsidP="00E35AFF">
            <w:pPr>
              <w:pStyle w:val="TableParagraph"/>
              <w:spacing w:before="1"/>
              <w:ind w:left="150" w:right="140"/>
              <w:jc w:val="center"/>
              <w:rPr>
                <w:sz w:val="24"/>
              </w:rPr>
            </w:pPr>
            <w:r>
              <w:rPr>
                <w:sz w:val="24"/>
              </w:rPr>
              <w:t>A / 1.1.6</w:t>
            </w:r>
          </w:p>
        </w:tc>
        <w:tc>
          <w:tcPr>
            <w:tcW w:w="5400" w:type="dxa"/>
          </w:tcPr>
          <w:p w14:paraId="2E04CAF3" w14:textId="25544E40" w:rsidR="00E35AFF" w:rsidRDefault="00E35AFF" w:rsidP="00E35AFF">
            <w:pPr>
              <w:pStyle w:val="TableParagraph"/>
              <w:spacing w:line="290" w:lineRule="atLeast"/>
              <w:ind w:left="108" w:right="326"/>
              <w:rPr>
                <w:sz w:val="24"/>
              </w:rPr>
            </w:pPr>
            <w:r>
              <w:rPr>
                <w:sz w:val="24"/>
              </w:rPr>
              <w:t>Add who confirms progress towards completion of checkpoints, when progress checkpoints can be revisited, and that the support for progress checkpoints is to be documented in the analysis package.</w:t>
            </w:r>
          </w:p>
        </w:tc>
        <w:tc>
          <w:tcPr>
            <w:tcW w:w="1620" w:type="dxa"/>
          </w:tcPr>
          <w:p w14:paraId="08EA8EA0" w14:textId="000A90FD" w:rsidR="00E35AFF" w:rsidRDefault="00E35AFF" w:rsidP="00E35AFF">
            <w:pPr>
              <w:pStyle w:val="TableParagraph"/>
              <w:spacing w:before="1"/>
              <w:ind w:right="573"/>
              <w:jc w:val="right"/>
              <w:rPr>
                <w:sz w:val="24"/>
              </w:rPr>
            </w:pPr>
            <w:r>
              <w:rPr>
                <w:sz w:val="24"/>
              </w:rPr>
              <w:t>N/A</w:t>
            </w:r>
          </w:p>
        </w:tc>
        <w:tc>
          <w:tcPr>
            <w:tcW w:w="6272" w:type="dxa"/>
          </w:tcPr>
          <w:p w14:paraId="296E491C" w14:textId="676A364C" w:rsidR="00E35AFF" w:rsidRDefault="00E35AFF" w:rsidP="00E35AFF">
            <w:pPr>
              <w:pStyle w:val="TableParagraph"/>
              <w:spacing w:before="1"/>
              <w:ind w:right="573"/>
              <w:rPr>
                <w:sz w:val="24"/>
              </w:rPr>
            </w:pPr>
            <w:r>
              <w:rPr>
                <w:sz w:val="24"/>
              </w:rPr>
              <w:t xml:space="preserve">There didn’t seem to be any mention of project management for FMPs.  </w:t>
            </w:r>
            <w:r>
              <w:rPr>
                <w:sz w:val="24"/>
              </w:rPr>
              <w:t xml:space="preserve">The Project Manager is a critical </w:t>
            </w:r>
            <w:r>
              <w:rPr>
                <w:sz w:val="24"/>
              </w:rPr>
              <w:t>role in FMP prep and needs a clear definition of responsibilities.  This role should be responsible for contribution towards progress check points</w:t>
            </w:r>
            <w:r w:rsidR="00757111">
              <w:rPr>
                <w:sz w:val="24"/>
              </w:rPr>
              <w:t>, not necessarily the approver</w:t>
            </w:r>
            <w:r>
              <w:rPr>
                <w:sz w:val="24"/>
              </w:rPr>
              <w:t>.  It is also important to have a project manager that is suitable for the role.  If the project manager (or co-project manager) is a MNRF staff person, they should be tasked with confirming check points.  The project manager needs to be a person, or persons, who will see the project through from start to finish, can be authoritative to keep the project moving along the timeline appropriately.</w:t>
            </w:r>
          </w:p>
        </w:tc>
      </w:tr>
      <w:tr w:rsidR="00757111" w14:paraId="2D4E5CCE" w14:textId="77777777" w:rsidTr="00E35AFF">
        <w:trPr>
          <w:trHeight w:val="1899"/>
        </w:trPr>
        <w:tc>
          <w:tcPr>
            <w:tcW w:w="716" w:type="dxa"/>
          </w:tcPr>
          <w:p w14:paraId="47B6BB4F" w14:textId="3FF40672" w:rsidR="00757111" w:rsidRDefault="00757111" w:rsidP="00757111">
            <w:pPr>
              <w:pStyle w:val="TableParagraph"/>
              <w:spacing w:before="1"/>
              <w:ind w:right="233"/>
              <w:jc w:val="right"/>
              <w:rPr>
                <w:sz w:val="24"/>
              </w:rPr>
            </w:pPr>
            <w:r>
              <w:rPr>
                <w:sz w:val="24"/>
              </w:rPr>
              <w:t>14</w:t>
            </w:r>
            <w:r>
              <w:rPr>
                <w:sz w:val="24"/>
              </w:rPr>
              <w:t>/19/30</w:t>
            </w:r>
          </w:p>
        </w:tc>
        <w:tc>
          <w:tcPr>
            <w:tcW w:w="5749" w:type="dxa"/>
          </w:tcPr>
          <w:p w14:paraId="2A7E56AA" w14:textId="77777777" w:rsidR="00757111" w:rsidRDefault="00757111" w:rsidP="00757111">
            <w:pPr>
              <w:pStyle w:val="TableParagraph"/>
              <w:spacing w:line="292" w:lineRule="exact"/>
              <w:ind w:left="107"/>
              <w:jc w:val="both"/>
              <w:rPr>
                <w:b/>
                <w:sz w:val="24"/>
              </w:rPr>
            </w:pPr>
            <w:r>
              <w:rPr>
                <w:b/>
                <w:sz w:val="24"/>
              </w:rPr>
              <w:t>Management Unit Annual Reports</w:t>
            </w:r>
            <w:r w:rsidR="004A3460">
              <w:rPr>
                <w:b/>
                <w:sz w:val="24"/>
              </w:rPr>
              <w:t xml:space="preserve"> /</w:t>
            </w:r>
          </w:p>
          <w:p w14:paraId="4BCF76B2" w14:textId="147675E2" w:rsidR="004A3460" w:rsidRDefault="004A3460" w:rsidP="004A3460">
            <w:pPr>
              <w:pStyle w:val="TableParagraph"/>
              <w:spacing w:before="1"/>
              <w:ind w:left="107"/>
              <w:rPr>
                <w:b/>
                <w:sz w:val="24"/>
              </w:rPr>
            </w:pPr>
            <w:r w:rsidRPr="004A3460">
              <w:rPr>
                <w:b/>
                <w:sz w:val="24"/>
                <w:highlight w:val="yellow"/>
              </w:rPr>
              <w:t>Social and Economic Description and Assessment</w:t>
            </w:r>
            <w:r w:rsidRPr="004A3460">
              <w:rPr>
                <w:b/>
                <w:sz w:val="24"/>
                <w:highlight w:val="yellow"/>
              </w:rPr>
              <w:t xml:space="preserve"> /</w:t>
            </w:r>
          </w:p>
          <w:p w14:paraId="3660B925" w14:textId="4A25B20A" w:rsidR="004A3460" w:rsidRDefault="004A3460" w:rsidP="004A3460">
            <w:pPr>
              <w:pStyle w:val="TableParagraph"/>
              <w:spacing w:before="1"/>
              <w:ind w:left="107"/>
              <w:rPr>
                <w:b/>
                <w:sz w:val="24"/>
              </w:rPr>
            </w:pPr>
            <w:r>
              <w:rPr>
                <w:b/>
                <w:sz w:val="24"/>
              </w:rPr>
              <w:t>Development of the Proposed Long-Term Management Direction</w:t>
            </w:r>
          </w:p>
          <w:p w14:paraId="483C99B2" w14:textId="1F75DE42" w:rsidR="004A3460" w:rsidRDefault="004A3460" w:rsidP="00757111">
            <w:pPr>
              <w:pStyle w:val="TableParagraph"/>
              <w:spacing w:line="292" w:lineRule="exact"/>
              <w:ind w:left="107"/>
              <w:jc w:val="both"/>
              <w:rPr>
                <w:b/>
                <w:sz w:val="24"/>
              </w:rPr>
            </w:pPr>
          </w:p>
        </w:tc>
        <w:tc>
          <w:tcPr>
            <w:tcW w:w="1800" w:type="dxa"/>
          </w:tcPr>
          <w:p w14:paraId="60C154BB" w14:textId="6A1260B3" w:rsidR="00757111" w:rsidRDefault="00757111" w:rsidP="00757111">
            <w:pPr>
              <w:pStyle w:val="TableParagraph"/>
              <w:spacing w:before="1"/>
              <w:ind w:left="150" w:right="140"/>
              <w:jc w:val="center"/>
              <w:rPr>
                <w:sz w:val="24"/>
              </w:rPr>
            </w:pPr>
            <w:r>
              <w:rPr>
                <w:sz w:val="24"/>
              </w:rPr>
              <w:t>A / 1.1.8.4</w:t>
            </w:r>
            <w:r w:rsidR="004A3460">
              <w:rPr>
                <w:sz w:val="24"/>
              </w:rPr>
              <w:t>;</w:t>
            </w:r>
          </w:p>
          <w:p w14:paraId="41FB0EDC" w14:textId="77777777" w:rsidR="004A3460" w:rsidRPr="004A3460" w:rsidRDefault="004A3460" w:rsidP="004A3460">
            <w:pPr>
              <w:pStyle w:val="TableParagraph"/>
              <w:spacing w:before="1"/>
              <w:ind w:left="150" w:right="140"/>
              <w:jc w:val="center"/>
              <w:rPr>
                <w:sz w:val="24"/>
                <w:highlight w:val="yellow"/>
              </w:rPr>
            </w:pPr>
            <w:r w:rsidRPr="004A3460">
              <w:rPr>
                <w:sz w:val="24"/>
                <w:highlight w:val="yellow"/>
              </w:rPr>
              <w:t>A /</w:t>
            </w:r>
            <w:r w:rsidRPr="004A3460">
              <w:rPr>
                <w:spacing w:val="-3"/>
                <w:sz w:val="24"/>
                <w:highlight w:val="yellow"/>
              </w:rPr>
              <w:t xml:space="preserve"> </w:t>
            </w:r>
            <w:r w:rsidRPr="004A3460">
              <w:rPr>
                <w:sz w:val="24"/>
                <w:highlight w:val="yellow"/>
              </w:rPr>
              <w:t>1.1.8.11</w:t>
            </w:r>
          </w:p>
          <w:p w14:paraId="5775F433" w14:textId="77777777" w:rsidR="004A3460" w:rsidRPr="004A3460" w:rsidRDefault="004A3460" w:rsidP="004A3460">
            <w:pPr>
              <w:pStyle w:val="TableParagraph"/>
              <w:ind w:left="150" w:right="86"/>
              <w:jc w:val="center"/>
              <w:rPr>
                <w:sz w:val="24"/>
                <w:highlight w:val="yellow"/>
              </w:rPr>
            </w:pPr>
            <w:r w:rsidRPr="004A3460">
              <w:rPr>
                <w:sz w:val="24"/>
                <w:highlight w:val="yellow"/>
              </w:rPr>
              <w:t>A /</w:t>
            </w:r>
            <w:r w:rsidRPr="004A3460">
              <w:rPr>
                <w:spacing w:val="-3"/>
                <w:sz w:val="24"/>
                <w:highlight w:val="yellow"/>
              </w:rPr>
              <w:t xml:space="preserve"> </w:t>
            </w:r>
            <w:r w:rsidRPr="004A3460">
              <w:rPr>
                <w:sz w:val="24"/>
                <w:highlight w:val="yellow"/>
              </w:rPr>
              <w:t>1.2.5.2</w:t>
            </w:r>
          </w:p>
          <w:p w14:paraId="6326200B" w14:textId="77777777" w:rsidR="004A3460" w:rsidRPr="004A3460" w:rsidRDefault="004A3460" w:rsidP="004A3460">
            <w:pPr>
              <w:pStyle w:val="TableParagraph"/>
              <w:ind w:left="150" w:right="140"/>
              <w:jc w:val="center"/>
              <w:rPr>
                <w:sz w:val="24"/>
                <w:highlight w:val="yellow"/>
              </w:rPr>
            </w:pPr>
            <w:r w:rsidRPr="004A3460">
              <w:rPr>
                <w:sz w:val="24"/>
                <w:highlight w:val="yellow"/>
              </w:rPr>
              <w:t>A / 3.6.2</w:t>
            </w:r>
          </w:p>
          <w:p w14:paraId="48A825D4" w14:textId="77777777" w:rsidR="004A3460" w:rsidRPr="004A3460" w:rsidRDefault="004A3460" w:rsidP="004A3460">
            <w:pPr>
              <w:pStyle w:val="TableParagraph"/>
              <w:ind w:left="148" w:right="140"/>
              <w:jc w:val="center"/>
              <w:rPr>
                <w:sz w:val="24"/>
                <w:highlight w:val="yellow"/>
              </w:rPr>
            </w:pPr>
            <w:r w:rsidRPr="004A3460">
              <w:rPr>
                <w:sz w:val="24"/>
                <w:highlight w:val="yellow"/>
              </w:rPr>
              <w:t>B / 2.2</w:t>
            </w:r>
          </w:p>
          <w:p w14:paraId="6DD77BF4" w14:textId="1E6B93CD" w:rsidR="004A3460" w:rsidRDefault="004A3460" w:rsidP="004A3460">
            <w:pPr>
              <w:pStyle w:val="TableParagraph"/>
              <w:spacing w:before="1"/>
              <w:ind w:left="150" w:right="140"/>
              <w:jc w:val="center"/>
              <w:rPr>
                <w:sz w:val="24"/>
              </w:rPr>
            </w:pPr>
            <w:r w:rsidRPr="004A3460">
              <w:rPr>
                <w:sz w:val="24"/>
                <w:highlight w:val="yellow"/>
              </w:rPr>
              <w:t>Appendix I</w:t>
            </w:r>
            <w:r>
              <w:rPr>
                <w:sz w:val="24"/>
              </w:rPr>
              <w:t>;</w:t>
            </w:r>
          </w:p>
          <w:p w14:paraId="7031175A" w14:textId="67901B13" w:rsidR="004A3460" w:rsidRDefault="004A3460" w:rsidP="004A3460">
            <w:pPr>
              <w:pStyle w:val="TableParagraph"/>
              <w:spacing w:line="292" w:lineRule="exact"/>
              <w:ind w:left="150" w:right="140"/>
              <w:jc w:val="center"/>
              <w:rPr>
                <w:sz w:val="24"/>
              </w:rPr>
            </w:pPr>
            <w:r>
              <w:rPr>
                <w:sz w:val="24"/>
              </w:rPr>
              <w:t xml:space="preserve"> </w:t>
            </w:r>
            <w:r>
              <w:rPr>
                <w:sz w:val="24"/>
              </w:rPr>
              <w:t>A / 1.2.5.2</w:t>
            </w:r>
          </w:p>
          <w:p w14:paraId="2659C8EA" w14:textId="77777777" w:rsidR="004A3460" w:rsidRDefault="004A3460" w:rsidP="004A3460">
            <w:pPr>
              <w:pStyle w:val="TableParagraph"/>
              <w:ind w:left="149" w:right="140"/>
              <w:jc w:val="center"/>
              <w:rPr>
                <w:sz w:val="24"/>
              </w:rPr>
            </w:pPr>
            <w:r>
              <w:rPr>
                <w:sz w:val="24"/>
              </w:rPr>
              <w:t>B / 3.0</w:t>
            </w:r>
          </w:p>
          <w:p w14:paraId="57E10CE4" w14:textId="5D7D7E2A" w:rsidR="004A3460" w:rsidRDefault="004A3460" w:rsidP="004A3460">
            <w:pPr>
              <w:pStyle w:val="TableParagraph"/>
              <w:spacing w:before="1"/>
              <w:ind w:left="150" w:right="140"/>
              <w:jc w:val="center"/>
              <w:rPr>
                <w:sz w:val="24"/>
              </w:rPr>
            </w:pPr>
            <w:r>
              <w:rPr>
                <w:sz w:val="24"/>
              </w:rPr>
              <w:t>B / 4.0</w:t>
            </w:r>
          </w:p>
        </w:tc>
        <w:tc>
          <w:tcPr>
            <w:tcW w:w="5400" w:type="dxa"/>
          </w:tcPr>
          <w:p w14:paraId="40496C99" w14:textId="77777777" w:rsidR="00757111" w:rsidRDefault="00757111" w:rsidP="00757111">
            <w:pPr>
              <w:pStyle w:val="TableParagraph"/>
              <w:ind w:left="108" w:right="136"/>
              <w:rPr>
                <w:sz w:val="24"/>
              </w:rPr>
            </w:pPr>
            <w:r>
              <w:rPr>
                <w:sz w:val="24"/>
              </w:rPr>
              <w:t>Add that additional information including the conclusions and recommendations in the year six management unit annual report (e.g., the review of renewal and tending activities, review of assumptions in modelling) will provide information for confirming or</w:t>
            </w:r>
          </w:p>
          <w:p w14:paraId="6FB86EC0" w14:textId="5BD8096A" w:rsidR="00757111" w:rsidRDefault="00757111" w:rsidP="00757111">
            <w:pPr>
              <w:pStyle w:val="TableParagraph"/>
              <w:spacing w:line="290" w:lineRule="atLeast"/>
              <w:ind w:left="108" w:right="326"/>
              <w:rPr>
                <w:sz w:val="24"/>
              </w:rPr>
            </w:pPr>
            <w:r>
              <w:rPr>
                <w:sz w:val="24"/>
              </w:rPr>
              <w:t>changing the management direction for the FMP.</w:t>
            </w:r>
          </w:p>
        </w:tc>
        <w:tc>
          <w:tcPr>
            <w:tcW w:w="1620" w:type="dxa"/>
          </w:tcPr>
          <w:p w14:paraId="117DB97C" w14:textId="7E1526AD" w:rsidR="00757111" w:rsidRDefault="00757111" w:rsidP="00757111">
            <w:pPr>
              <w:pStyle w:val="TableParagraph"/>
              <w:spacing w:before="1"/>
              <w:ind w:right="573"/>
              <w:jc w:val="right"/>
              <w:rPr>
                <w:sz w:val="24"/>
              </w:rPr>
            </w:pPr>
          </w:p>
        </w:tc>
        <w:tc>
          <w:tcPr>
            <w:tcW w:w="6272" w:type="dxa"/>
          </w:tcPr>
          <w:p w14:paraId="1F4175BB" w14:textId="454DA234" w:rsidR="00757111" w:rsidRDefault="004A3460" w:rsidP="00757111">
            <w:pPr>
              <w:pStyle w:val="TableParagraph"/>
              <w:spacing w:before="1"/>
              <w:ind w:right="573"/>
              <w:rPr>
                <w:sz w:val="24"/>
              </w:rPr>
            </w:pPr>
            <w:r>
              <w:rPr>
                <w:sz w:val="24"/>
              </w:rPr>
              <w:t>There is great value and importance in the review of previous (long term) management direction in planning for the next FMP.  Continuity of management direction is essential to sustainability objectives.  there should be more emphasis placed on continuing the progression from previous plans management direction in sequential FMPs where adjustments to short term indicators are used to achieve targets of the long term instead of replacing a longer-term management direction each planning cycle.</w:t>
            </w:r>
          </w:p>
        </w:tc>
      </w:tr>
      <w:tr w:rsidR="004A3460" w14:paraId="5553BF15" w14:textId="77777777" w:rsidTr="00E35AFF">
        <w:trPr>
          <w:trHeight w:val="1899"/>
        </w:trPr>
        <w:tc>
          <w:tcPr>
            <w:tcW w:w="716" w:type="dxa"/>
          </w:tcPr>
          <w:p w14:paraId="34CDB224" w14:textId="675B60DC" w:rsidR="004A3460" w:rsidRDefault="004A3460" w:rsidP="004A3460">
            <w:pPr>
              <w:pStyle w:val="TableParagraph"/>
              <w:spacing w:before="1"/>
              <w:ind w:right="233"/>
              <w:jc w:val="right"/>
              <w:rPr>
                <w:sz w:val="24"/>
              </w:rPr>
            </w:pPr>
            <w:r>
              <w:rPr>
                <w:sz w:val="24"/>
              </w:rPr>
              <w:t>16</w:t>
            </w:r>
          </w:p>
        </w:tc>
        <w:tc>
          <w:tcPr>
            <w:tcW w:w="5749" w:type="dxa"/>
          </w:tcPr>
          <w:p w14:paraId="5237E47F" w14:textId="379FC099" w:rsidR="004A3460" w:rsidRDefault="004A3460" w:rsidP="004A3460">
            <w:pPr>
              <w:pStyle w:val="TableParagraph"/>
              <w:spacing w:line="292" w:lineRule="exact"/>
              <w:ind w:left="107"/>
              <w:jc w:val="both"/>
              <w:rPr>
                <w:b/>
                <w:sz w:val="24"/>
              </w:rPr>
            </w:pPr>
            <w:r>
              <w:rPr>
                <w:b/>
                <w:sz w:val="24"/>
              </w:rPr>
              <w:t>Values Information</w:t>
            </w:r>
          </w:p>
        </w:tc>
        <w:tc>
          <w:tcPr>
            <w:tcW w:w="1800" w:type="dxa"/>
          </w:tcPr>
          <w:p w14:paraId="06AC7DE9" w14:textId="77777777" w:rsidR="004A3460" w:rsidRDefault="004A3460" w:rsidP="004A3460">
            <w:pPr>
              <w:pStyle w:val="TableParagraph"/>
              <w:spacing w:line="292" w:lineRule="exact"/>
              <w:ind w:left="275"/>
              <w:rPr>
                <w:sz w:val="24"/>
              </w:rPr>
            </w:pPr>
            <w:r>
              <w:rPr>
                <w:sz w:val="24"/>
              </w:rPr>
              <w:t>A /</w:t>
            </w:r>
            <w:r>
              <w:rPr>
                <w:spacing w:val="-4"/>
                <w:sz w:val="24"/>
              </w:rPr>
              <w:t xml:space="preserve"> </w:t>
            </w:r>
            <w:r>
              <w:rPr>
                <w:sz w:val="24"/>
              </w:rPr>
              <w:t>1.1.8.9</w:t>
            </w:r>
          </w:p>
          <w:p w14:paraId="2266FC55" w14:textId="77777777" w:rsidR="004A3460" w:rsidRDefault="004A3460" w:rsidP="004A3460">
            <w:pPr>
              <w:pStyle w:val="TableParagraph"/>
              <w:rPr>
                <w:b/>
                <w:sz w:val="24"/>
              </w:rPr>
            </w:pPr>
          </w:p>
          <w:p w14:paraId="63EB148E" w14:textId="77777777" w:rsidR="004A3460" w:rsidRDefault="004A3460" w:rsidP="004A3460">
            <w:pPr>
              <w:pStyle w:val="TableParagraph"/>
              <w:rPr>
                <w:b/>
                <w:sz w:val="24"/>
              </w:rPr>
            </w:pPr>
          </w:p>
          <w:p w14:paraId="4C8076F5" w14:textId="77777777" w:rsidR="004A3460" w:rsidRDefault="004A3460" w:rsidP="004A3460">
            <w:pPr>
              <w:pStyle w:val="TableParagraph"/>
              <w:spacing w:before="11"/>
              <w:rPr>
                <w:b/>
                <w:sz w:val="23"/>
              </w:rPr>
            </w:pPr>
          </w:p>
          <w:p w14:paraId="4545B8AC" w14:textId="77607A01" w:rsidR="004A3460" w:rsidRDefault="004A3460" w:rsidP="004A3460">
            <w:pPr>
              <w:pStyle w:val="TableParagraph"/>
              <w:spacing w:before="1"/>
              <w:ind w:left="150" w:right="140"/>
              <w:jc w:val="center"/>
              <w:rPr>
                <w:sz w:val="24"/>
              </w:rPr>
            </w:pPr>
            <w:r>
              <w:rPr>
                <w:sz w:val="24"/>
              </w:rPr>
              <w:t>B /</w:t>
            </w:r>
            <w:r>
              <w:rPr>
                <w:spacing w:val="-3"/>
                <w:sz w:val="24"/>
              </w:rPr>
              <w:t xml:space="preserve"> </w:t>
            </w:r>
            <w:r>
              <w:rPr>
                <w:sz w:val="24"/>
              </w:rPr>
              <w:t>2.1.4.3</w:t>
            </w:r>
          </w:p>
        </w:tc>
        <w:tc>
          <w:tcPr>
            <w:tcW w:w="5400" w:type="dxa"/>
          </w:tcPr>
          <w:p w14:paraId="4B3572DF" w14:textId="77777777" w:rsidR="004A3460" w:rsidRDefault="004A3460" w:rsidP="004A3460">
            <w:pPr>
              <w:pStyle w:val="TableParagraph"/>
              <w:ind w:left="108" w:right="245"/>
              <w:rPr>
                <w:sz w:val="24"/>
              </w:rPr>
            </w:pPr>
            <w:r>
              <w:rPr>
                <w:sz w:val="24"/>
              </w:rPr>
              <w:t>Add example of value information which would not be portrayed in a FMP (i.e., classified values) and reference the section of the FIM where the requirement exists.</w:t>
            </w:r>
          </w:p>
          <w:p w14:paraId="5C84AE40" w14:textId="77777777" w:rsidR="004A3460" w:rsidRDefault="004A3460" w:rsidP="004A3460">
            <w:pPr>
              <w:pStyle w:val="TableParagraph"/>
              <w:spacing w:before="10"/>
              <w:rPr>
                <w:b/>
                <w:sz w:val="23"/>
              </w:rPr>
            </w:pPr>
          </w:p>
          <w:p w14:paraId="691DB3E6" w14:textId="77777777" w:rsidR="004A3460" w:rsidRDefault="004A3460" w:rsidP="004A3460">
            <w:pPr>
              <w:pStyle w:val="TableParagraph"/>
              <w:spacing w:before="1"/>
              <w:ind w:left="108" w:right="249"/>
              <w:rPr>
                <w:sz w:val="24"/>
              </w:rPr>
            </w:pPr>
            <w:r>
              <w:rPr>
                <w:sz w:val="24"/>
              </w:rPr>
              <w:t xml:space="preserve">Clarify that only confirmed old growth forest communities as defined in the glossary will be required to be identified. The reference to identification of old growth red and white pines forest communities being “consistent with the forest management guides related to landscape pattern and structure” to be removed due to the inconsistency and uncertainty with information contained in forest resource inventories, guide indicators, and actual site conditions. Also, clarify that this requirement will not only apply to red and white pine but all confirmed old growth forest </w:t>
            </w:r>
            <w:r>
              <w:rPr>
                <w:sz w:val="24"/>
              </w:rPr>
              <w:lastRenderedPageBreak/>
              <w:t>stands (i.e., other species).</w:t>
            </w:r>
          </w:p>
          <w:p w14:paraId="338B78EA" w14:textId="77777777" w:rsidR="004A3460" w:rsidRDefault="004A3460" w:rsidP="004A3460">
            <w:pPr>
              <w:pStyle w:val="TableParagraph"/>
              <w:rPr>
                <w:b/>
                <w:sz w:val="24"/>
              </w:rPr>
            </w:pPr>
          </w:p>
          <w:p w14:paraId="1ECA84D7" w14:textId="08AA743D" w:rsidR="004A3460" w:rsidRDefault="004A3460" w:rsidP="004A3460">
            <w:pPr>
              <w:pStyle w:val="TableParagraph"/>
              <w:ind w:left="108" w:right="136"/>
              <w:rPr>
                <w:sz w:val="24"/>
              </w:rPr>
            </w:pPr>
            <w:r>
              <w:rPr>
                <w:sz w:val="24"/>
              </w:rPr>
              <w:t>Add that the most up-to-date values information will also be available for First Nation and Métis community viewing, as well as to the public.</w:t>
            </w:r>
          </w:p>
        </w:tc>
        <w:tc>
          <w:tcPr>
            <w:tcW w:w="1620" w:type="dxa"/>
          </w:tcPr>
          <w:p w14:paraId="5A56E43A" w14:textId="0E3A09BA" w:rsidR="004A3460" w:rsidRDefault="004A3460" w:rsidP="004A3460">
            <w:pPr>
              <w:pStyle w:val="TableParagraph"/>
              <w:spacing w:before="1"/>
              <w:ind w:right="573"/>
              <w:jc w:val="right"/>
              <w:rPr>
                <w:sz w:val="24"/>
              </w:rPr>
            </w:pPr>
            <w:r>
              <w:rPr>
                <w:sz w:val="24"/>
              </w:rPr>
              <w:lastRenderedPageBreak/>
              <w:t>A / 1.1.8.10</w:t>
            </w:r>
          </w:p>
        </w:tc>
        <w:tc>
          <w:tcPr>
            <w:tcW w:w="6272" w:type="dxa"/>
          </w:tcPr>
          <w:p w14:paraId="0A2CFBC2" w14:textId="77777777" w:rsidR="004A3460" w:rsidRDefault="00027939" w:rsidP="004A3460">
            <w:pPr>
              <w:pStyle w:val="TableParagraph"/>
              <w:spacing w:before="1"/>
              <w:ind w:right="573"/>
              <w:rPr>
                <w:sz w:val="24"/>
              </w:rPr>
            </w:pPr>
            <w:r>
              <w:rPr>
                <w:sz w:val="24"/>
              </w:rPr>
              <w:t xml:space="preserve">Much of the values information in the boreal region for current red pine and white pine communities are being lost in management decision for the inventory calls to manage lower tiers in a multitier inventory.  This gives a false perception that red pine and white pine presence on the landbase is lower that actual.  </w:t>
            </w:r>
          </w:p>
          <w:p w14:paraId="2521FBF8" w14:textId="77777777" w:rsidR="00027939" w:rsidRDefault="00027939" w:rsidP="004A3460">
            <w:pPr>
              <w:pStyle w:val="TableParagraph"/>
              <w:spacing w:before="1"/>
              <w:ind w:right="573"/>
              <w:rPr>
                <w:sz w:val="24"/>
              </w:rPr>
            </w:pPr>
          </w:p>
          <w:p w14:paraId="527E60C8" w14:textId="7BD0D1FB" w:rsidR="00027939" w:rsidRDefault="00027939" w:rsidP="004A3460">
            <w:pPr>
              <w:pStyle w:val="TableParagraph"/>
              <w:spacing w:before="1"/>
              <w:ind w:right="573"/>
              <w:rPr>
                <w:sz w:val="24"/>
              </w:rPr>
            </w:pPr>
            <w:r>
              <w:rPr>
                <w:sz w:val="24"/>
              </w:rPr>
              <w:t>Will this change correct that issue</w:t>
            </w:r>
            <w:r w:rsidR="00E15A40">
              <w:rPr>
                <w:sz w:val="24"/>
              </w:rPr>
              <w:t>/eliminate it</w:t>
            </w:r>
            <w:r>
              <w:rPr>
                <w:sz w:val="24"/>
              </w:rPr>
              <w:t xml:space="preserve"> or should there be a method of splitting data for the multitiered stands to allow for tracking of overstory/understory separately?</w:t>
            </w:r>
          </w:p>
        </w:tc>
      </w:tr>
      <w:tr w:rsidR="00E15A40" w14:paraId="1952315D" w14:textId="77777777" w:rsidTr="00E35AFF">
        <w:trPr>
          <w:trHeight w:val="1899"/>
        </w:trPr>
        <w:tc>
          <w:tcPr>
            <w:tcW w:w="716" w:type="dxa"/>
          </w:tcPr>
          <w:p w14:paraId="7561DC0F" w14:textId="2D784667" w:rsidR="00E15A40" w:rsidRDefault="00E15A40" w:rsidP="00E15A40">
            <w:pPr>
              <w:pStyle w:val="TableParagraph"/>
              <w:spacing w:before="1"/>
              <w:ind w:right="233"/>
              <w:jc w:val="right"/>
              <w:rPr>
                <w:sz w:val="24"/>
              </w:rPr>
            </w:pPr>
            <w:r>
              <w:rPr>
                <w:sz w:val="24"/>
              </w:rPr>
              <w:t>17</w:t>
            </w:r>
          </w:p>
        </w:tc>
        <w:tc>
          <w:tcPr>
            <w:tcW w:w="5749" w:type="dxa"/>
          </w:tcPr>
          <w:p w14:paraId="464423B6" w14:textId="7A31BB73" w:rsidR="00E15A40" w:rsidRDefault="00E15A40" w:rsidP="00E15A40">
            <w:pPr>
              <w:pStyle w:val="TableParagraph"/>
              <w:spacing w:line="292" w:lineRule="exact"/>
              <w:ind w:left="107"/>
              <w:jc w:val="both"/>
              <w:rPr>
                <w:b/>
                <w:sz w:val="24"/>
              </w:rPr>
            </w:pPr>
            <w:r>
              <w:rPr>
                <w:b/>
                <w:sz w:val="24"/>
              </w:rPr>
              <w:t xml:space="preserve">Roads and Water Crossings Inventory </w:t>
            </w:r>
            <w:r>
              <w:rPr>
                <w:sz w:val="24"/>
              </w:rPr>
              <w:t>Requirements for existing roads and water crossing inventory for the management unit.</w:t>
            </w:r>
          </w:p>
        </w:tc>
        <w:tc>
          <w:tcPr>
            <w:tcW w:w="1800" w:type="dxa"/>
          </w:tcPr>
          <w:p w14:paraId="3F1AC520" w14:textId="60F12968" w:rsidR="00E15A40" w:rsidRDefault="00E15A40" w:rsidP="00E15A40">
            <w:pPr>
              <w:pStyle w:val="TableParagraph"/>
              <w:spacing w:line="292" w:lineRule="exact"/>
              <w:ind w:left="275"/>
              <w:rPr>
                <w:sz w:val="24"/>
              </w:rPr>
            </w:pPr>
            <w:r>
              <w:rPr>
                <w:sz w:val="24"/>
              </w:rPr>
              <w:t>A / 1.1.8.10</w:t>
            </w:r>
          </w:p>
        </w:tc>
        <w:tc>
          <w:tcPr>
            <w:tcW w:w="5400" w:type="dxa"/>
          </w:tcPr>
          <w:p w14:paraId="1ECE53B9" w14:textId="77777777" w:rsidR="00E15A40" w:rsidRDefault="00E15A40" w:rsidP="00E15A40">
            <w:pPr>
              <w:pStyle w:val="TableParagraph"/>
              <w:ind w:left="108" w:right="96"/>
              <w:rPr>
                <w:sz w:val="24"/>
              </w:rPr>
            </w:pPr>
            <w:r>
              <w:rPr>
                <w:sz w:val="24"/>
              </w:rPr>
              <w:t>Revise FMPM to distinguish between roads and water crossings inventories within Section 1.1.8.10 to support information exchange.</w:t>
            </w:r>
          </w:p>
          <w:p w14:paraId="6C6EAAFC" w14:textId="77777777" w:rsidR="00E15A40" w:rsidRDefault="00E15A40" w:rsidP="00E15A40">
            <w:pPr>
              <w:pStyle w:val="TableParagraph"/>
              <w:spacing w:before="10"/>
              <w:rPr>
                <w:b/>
                <w:sz w:val="23"/>
              </w:rPr>
            </w:pPr>
          </w:p>
          <w:p w14:paraId="6CA26A06" w14:textId="77777777" w:rsidR="00E15A40" w:rsidRDefault="00E15A40" w:rsidP="00E15A40">
            <w:pPr>
              <w:pStyle w:val="TableParagraph"/>
              <w:spacing w:before="1"/>
              <w:ind w:left="108" w:right="357"/>
              <w:rPr>
                <w:sz w:val="24"/>
              </w:rPr>
            </w:pPr>
            <w:r>
              <w:rPr>
                <w:sz w:val="24"/>
              </w:rPr>
              <w:t>Revise the definition of a road for clarity and enable the use of old roadbeds to reduce footprint on landscape (i.e., limit loss of productive land by anthropogenetic disturbances).</w:t>
            </w:r>
          </w:p>
          <w:p w14:paraId="2DCA5859" w14:textId="77777777" w:rsidR="00E15A40" w:rsidRDefault="00E15A40" w:rsidP="00E15A40">
            <w:pPr>
              <w:pStyle w:val="TableParagraph"/>
              <w:spacing w:before="1"/>
              <w:rPr>
                <w:b/>
                <w:sz w:val="24"/>
              </w:rPr>
            </w:pPr>
          </w:p>
          <w:p w14:paraId="46AC2506" w14:textId="77777777" w:rsidR="00E15A40" w:rsidRDefault="00E15A40" w:rsidP="00E15A40">
            <w:pPr>
              <w:pStyle w:val="TableParagraph"/>
              <w:ind w:left="108" w:right="646"/>
              <w:rPr>
                <w:sz w:val="24"/>
              </w:rPr>
            </w:pPr>
            <w:r>
              <w:rPr>
                <w:sz w:val="24"/>
              </w:rPr>
              <w:t>For the purposes of the FMP roads inventory, road and/or road networks will include those which:</w:t>
            </w:r>
          </w:p>
          <w:p w14:paraId="55153716" w14:textId="77777777" w:rsidR="00E15A40" w:rsidRDefault="00E15A40" w:rsidP="00E15A40">
            <w:pPr>
              <w:pStyle w:val="TableParagraph"/>
              <w:numPr>
                <w:ilvl w:val="0"/>
                <w:numId w:val="1"/>
              </w:numPr>
              <w:tabs>
                <w:tab w:val="left" w:pos="827"/>
                <w:tab w:val="left" w:pos="828"/>
              </w:tabs>
              <w:ind w:right="836"/>
              <w:rPr>
                <w:sz w:val="24"/>
              </w:rPr>
            </w:pPr>
            <w:r>
              <w:rPr>
                <w:sz w:val="24"/>
              </w:rPr>
              <w:t xml:space="preserve">fall within the </w:t>
            </w:r>
            <w:r>
              <w:rPr>
                <w:i/>
                <w:sz w:val="24"/>
              </w:rPr>
              <w:t>Public Lands Act</w:t>
            </w:r>
            <w:r>
              <w:rPr>
                <w:sz w:val="24"/>
              </w:rPr>
              <w:t>, 1990 (PLA), Section 48 definition of a</w:t>
            </w:r>
            <w:r>
              <w:rPr>
                <w:spacing w:val="-2"/>
                <w:sz w:val="24"/>
              </w:rPr>
              <w:t xml:space="preserve"> </w:t>
            </w:r>
            <w:r>
              <w:rPr>
                <w:sz w:val="24"/>
              </w:rPr>
              <w:t>road;</w:t>
            </w:r>
          </w:p>
          <w:p w14:paraId="29EF3404" w14:textId="77777777" w:rsidR="00E15A40" w:rsidRDefault="00E15A40" w:rsidP="00E15A40">
            <w:pPr>
              <w:pStyle w:val="TableParagraph"/>
              <w:numPr>
                <w:ilvl w:val="0"/>
                <w:numId w:val="1"/>
              </w:numPr>
              <w:tabs>
                <w:tab w:val="left" w:pos="827"/>
                <w:tab w:val="left" w:pos="828"/>
              </w:tabs>
              <w:spacing w:line="242" w:lineRule="auto"/>
              <w:ind w:right="112"/>
              <w:rPr>
                <w:sz w:val="24"/>
              </w:rPr>
            </w:pPr>
            <w:r>
              <w:rPr>
                <w:sz w:val="24"/>
              </w:rPr>
              <w:t>support or supported the haul of timber as defined under the Scaling</w:t>
            </w:r>
            <w:r>
              <w:rPr>
                <w:spacing w:val="-1"/>
                <w:sz w:val="24"/>
              </w:rPr>
              <w:t xml:space="preserve"> </w:t>
            </w:r>
            <w:r>
              <w:rPr>
                <w:sz w:val="24"/>
              </w:rPr>
              <w:t>Manual;</w:t>
            </w:r>
          </w:p>
          <w:p w14:paraId="58AB3BF1" w14:textId="77777777" w:rsidR="00E15A40" w:rsidRDefault="00E15A40" w:rsidP="00E15A40">
            <w:pPr>
              <w:pStyle w:val="TableParagraph"/>
              <w:numPr>
                <w:ilvl w:val="0"/>
                <w:numId w:val="1"/>
              </w:numPr>
              <w:tabs>
                <w:tab w:val="left" w:pos="827"/>
                <w:tab w:val="left" w:pos="828"/>
              </w:tabs>
              <w:ind w:left="827" w:right="266"/>
              <w:rPr>
                <w:sz w:val="24"/>
              </w:rPr>
            </w:pPr>
            <w:r>
              <w:rPr>
                <w:sz w:val="24"/>
              </w:rPr>
              <w:t>are not impassable to licensed highway vehicular traffic due to vegetation ingress; deterioration of the</w:t>
            </w:r>
            <w:r>
              <w:rPr>
                <w:spacing w:val="-7"/>
                <w:sz w:val="24"/>
              </w:rPr>
              <w:t xml:space="preserve"> </w:t>
            </w:r>
            <w:r>
              <w:rPr>
                <w:sz w:val="24"/>
              </w:rPr>
              <w:t>roadbed;</w:t>
            </w:r>
          </w:p>
          <w:p w14:paraId="3C27791F" w14:textId="77777777" w:rsidR="00E15A40" w:rsidRDefault="00E15A40" w:rsidP="00E15A40">
            <w:pPr>
              <w:pStyle w:val="TableParagraph"/>
              <w:ind w:left="827" w:right="159"/>
              <w:rPr>
                <w:sz w:val="24"/>
              </w:rPr>
            </w:pPr>
            <w:r>
              <w:rPr>
                <w:sz w:val="24"/>
              </w:rPr>
              <w:t>or decommissioning activities that have returned the road to productive forest (i.e., established regeneration).</w:t>
            </w:r>
          </w:p>
          <w:p w14:paraId="515E7BAB" w14:textId="77777777" w:rsidR="00E15A40" w:rsidRDefault="00E15A40" w:rsidP="00E15A40">
            <w:pPr>
              <w:pStyle w:val="TableParagraph"/>
              <w:spacing w:before="5"/>
              <w:rPr>
                <w:b/>
                <w:sz w:val="23"/>
              </w:rPr>
            </w:pPr>
          </w:p>
          <w:p w14:paraId="30BB2E0E" w14:textId="77777777" w:rsidR="00E15A40" w:rsidRDefault="00E15A40" w:rsidP="00E15A40">
            <w:pPr>
              <w:pStyle w:val="TableParagraph"/>
              <w:ind w:left="107" w:right="280"/>
              <w:rPr>
                <w:sz w:val="24"/>
              </w:rPr>
            </w:pPr>
            <w:r>
              <w:rPr>
                <w:sz w:val="24"/>
              </w:rPr>
              <w:t>Add that the existing roads inventory will be prepared by the sustainable forest licensee and confirmed by the Ministry and that road use management strategies will be required for existing roads and/or road networks that are:</w:t>
            </w:r>
          </w:p>
          <w:p w14:paraId="17E2AE3F" w14:textId="77777777" w:rsidR="00E15A40" w:rsidRDefault="00E15A40" w:rsidP="00E15A40">
            <w:pPr>
              <w:pStyle w:val="TableParagraph"/>
              <w:numPr>
                <w:ilvl w:val="0"/>
                <w:numId w:val="1"/>
              </w:numPr>
              <w:tabs>
                <w:tab w:val="left" w:pos="827"/>
                <w:tab w:val="left" w:pos="828"/>
              </w:tabs>
              <w:spacing w:before="1"/>
              <w:ind w:left="827" w:right="273"/>
              <w:rPr>
                <w:sz w:val="24"/>
              </w:rPr>
            </w:pPr>
            <w:r>
              <w:rPr>
                <w:sz w:val="24"/>
              </w:rPr>
              <w:t>planned to be used for forest management purposes during the period of the</w:t>
            </w:r>
            <w:r>
              <w:rPr>
                <w:spacing w:val="-3"/>
                <w:sz w:val="24"/>
              </w:rPr>
              <w:t xml:space="preserve"> </w:t>
            </w:r>
            <w:r>
              <w:rPr>
                <w:sz w:val="24"/>
              </w:rPr>
              <w:t>FMP;</w:t>
            </w:r>
          </w:p>
          <w:p w14:paraId="6E437496" w14:textId="77777777" w:rsidR="00E15A40" w:rsidRDefault="00E15A40" w:rsidP="00E15A40">
            <w:pPr>
              <w:pStyle w:val="TableParagraph"/>
              <w:numPr>
                <w:ilvl w:val="0"/>
                <w:numId w:val="1"/>
              </w:numPr>
              <w:tabs>
                <w:tab w:val="left" w:pos="827"/>
                <w:tab w:val="left" w:pos="828"/>
              </w:tabs>
              <w:ind w:left="827" w:right="150"/>
              <w:rPr>
                <w:sz w:val="24"/>
              </w:rPr>
            </w:pPr>
            <w:r>
              <w:rPr>
                <w:sz w:val="24"/>
              </w:rPr>
              <w:t xml:space="preserve">the responsibility of the sustainable forest licensee (e.g., maintenance and monitoring activities); </w:t>
            </w:r>
            <w:r>
              <w:rPr>
                <w:b/>
                <w:sz w:val="24"/>
              </w:rPr>
              <w:t xml:space="preserve">except </w:t>
            </w:r>
            <w:r>
              <w:rPr>
                <w:sz w:val="24"/>
              </w:rPr>
              <w:t>for any roads and/or road networks that have been reported as decommissioned and are not scheduled for use during the period of the FMP;</w:t>
            </w:r>
            <w:r>
              <w:rPr>
                <w:spacing w:val="-1"/>
                <w:sz w:val="24"/>
              </w:rPr>
              <w:t xml:space="preserve"> </w:t>
            </w:r>
            <w:r>
              <w:rPr>
                <w:sz w:val="24"/>
              </w:rPr>
              <w:t>and</w:t>
            </w:r>
          </w:p>
          <w:p w14:paraId="01092576" w14:textId="2CDC8632" w:rsidR="00E15A40" w:rsidRDefault="00E15A40" w:rsidP="00E15A40">
            <w:pPr>
              <w:pStyle w:val="TableParagraph"/>
              <w:ind w:left="108" w:right="245"/>
              <w:rPr>
                <w:sz w:val="24"/>
              </w:rPr>
            </w:pPr>
            <w:r>
              <w:rPr>
                <w:sz w:val="24"/>
              </w:rPr>
              <w:lastRenderedPageBreak/>
              <w:t>a shared responsibility between the sustainable forest licensee and another resource user or</w:t>
            </w:r>
            <w:r>
              <w:rPr>
                <w:spacing w:val="-6"/>
                <w:sz w:val="24"/>
              </w:rPr>
              <w:t xml:space="preserve"> </w:t>
            </w:r>
            <w:r>
              <w:rPr>
                <w:sz w:val="24"/>
              </w:rPr>
              <w:t>party</w:t>
            </w:r>
          </w:p>
        </w:tc>
        <w:tc>
          <w:tcPr>
            <w:tcW w:w="1620" w:type="dxa"/>
          </w:tcPr>
          <w:p w14:paraId="56EEC242" w14:textId="2314EEA1" w:rsidR="00E15A40" w:rsidRDefault="00E15A40" w:rsidP="00E15A40">
            <w:pPr>
              <w:pStyle w:val="TableParagraph"/>
              <w:spacing w:before="1"/>
              <w:ind w:right="573"/>
              <w:jc w:val="right"/>
              <w:rPr>
                <w:sz w:val="24"/>
              </w:rPr>
            </w:pPr>
            <w:r>
              <w:rPr>
                <w:sz w:val="24"/>
              </w:rPr>
              <w:lastRenderedPageBreak/>
              <w:t>A / 1.1.8.11</w:t>
            </w:r>
          </w:p>
        </w:tc>
        <w:tc>
          <w:tcPr>
            <w:tcW w:w="6272" w:type="dxa"/>
          </w:tcPr>
          <w:p w14:paraId="209F4621" w14:textId="51EE18FE" w:rsidR="00E15A40" w:rsidRDefault="00B04D39" w:rsidP="00E15A40">
            <w:pPr>
              <w:pStyle w:val="TableParagraph"/>
              <w:spacing w:before="1"/>
              <w:ind w:right="573"/>
              <w:rPr>
                <w:sz w:val="24"/>
              </w:rPr>
            </w:pPr>
            <w:r>
              <w:rPr>
                <w:sz w:val="24"/>
              </w:rPr>
              <w:t>The comment below more aligns with FIM data requirements.  It would be greatly beneficial to have dataset alignment between FMP and AWS to eliminate duplication of data sets.  The FMP data, roads is a good example, does not need to be different data sets with the AWS.  Managing multiple data sets for the FMP and sequential AWS’s is extremely burdensome.   The FMPM and FIM need to align data requirements to allow FMP datasets to be used in the AWS without creating separate datasets for harvest, operational road boundaries, roads, AOC’s, road corridors, etc. AOC specific data sets can still be submitted annually but FMP data sets that are used in annual operations should simply have additional fields to</w:t>
            </w:r>
            <w:r w:rsidR="00B715B2">
              <w:rPr>
                <w:sz w:val="24"/>
              </w:rPr>
              <w:t xml:space="preserve"> indicate an AWS year.  Further enhancements should consider how revisions of data and amendments of data are managed.  If a FMP data set is amended, such as harvest to add a salvage opportunity mid plan, the data should then automatically be revised through a single update.  Similarly, data sets that are updated annually through the AWS, such as roads, water crossing, etc., should automatically be considered amended.</w:t>
            </w:r>
          </w:p>
        </w:tc>
      </w:tr>
      <w:tr w:rsidR="00B715B2" w14:paraId="5C81D815" w14:textId="77777777" w:rsidTr="00E35AFF">
        <w:trPr>
          <w:trHeight w:val="1899"/>
        </w:trPr>
        <w:tc>
          <w:tcPr>
            <w:tcW w:w="716" w:type="dxa"/>
          </w:tcPr>
          <w:p w14:paraId="6D479E42" w14:textId="747A2512" w:rsidR="00B715B2" w:rsidRDefault="00B715B2" w:rsidP="00B715B2">
            <w:pPr>
              <w:pStyle w:val="TableParagraph"/>
              <w:spacing w:before="1"/>
              <w:ind w:right="233"/>
              <w:jc w:val="right"/>
              <w:rPr>
                <w:sz w:val="24"/>
              </w:rPr>
            </w:pPr>
            <w:r>
              <w:rPr>
                <w:sz w:val="24"/>
              </w:rPr>
              <w:t>20</w:t>
            </w:r>
          </w:p>
        </w:tc>
        <w:tc>
          <w:tcPr>
            <w:tcW w:w="5749" w:type="dxa"/>
          </w:tcPr>
          <w:p w14:paraId="0CED21CC" w14:textId="77777777" w:rsidR="00B715B2" w:rsidRDefault="00B715B2" w:rsidP="00B715B2">
            <w:pPr>
              <w:pStyle w:val="TableParagraph"/>
              <w:spacing w:before="1"/>
              <w:ind w:left="107"/>
              <w:rPr>
                <w:b/>
                <w:sz w:val="24"/>
              </w:rPr>
            </w:pPr>
            <w:r>
              <w:rPr>
                <w:b/>
                <w:sz w:val="24"/>
              </w:rPr>
              <w:t>Modified Fire Response</w:t>
            </w:r>
          </w:p>
          <w:p w14:paraId="6F8F2B02" w14:textId="00364523" w:rsidR="00B715B2" w:rsidRDefault="00B715B2" w:rsidP="00B715B2">
            <w:pPr>
              <w:pStyle w:val="TableParagraph"/>
              <w:spacing w:line="292" w:lineRule="exact"/>
              <w:ind w:left="107"/>
              <w:jc w:val="both"/>
              <w:rPr>
                <w:b/>
                <w:sz w:val="24"/>
              </w:rPr>
            </w:pPr>
            <w:r>
              <w:rPr>
                <w:sz w:val="24"/>
              </w:rPr>
              <w:t>Modified fire response may be identified as a management consideration in the preparation of a forest management plan.</w:t>
            </w:r>
          </w:p>
        </w:tc>
        <w:tc>
          <w:tcPr>
            <w:tcW w:w="1800" w:type="dxa"/>
          </w:tcPr>
          <w:p w14:paraId="3D0701C4" w14:textId="77777777" w:rsidR="00B715B2" w:rsidRDefault="00B715B2" w:rsidP="00B715B2">
            <w:pPr>
              <w:pStyle w:val="TableParagraph"/>
              <w:spacing w:before="1"/>
              <w:ind w:left="367"/>
              <w:rPr>
                <w:sz w:val="24"/>
              </w:rPr>
            </w:pPr>
            <w:r>
              <w:rPr>
                <w:sz w:val="24"/>
              </w:rPr>
              <w:t>A / 1.2.3</w:t>
            </w:r>
          </w:p>
          <w:p w14:paraId="50DBA2EE" w14:textId="77777777" w:rsidR="00B715B2" w:rsidRDefault="00B715B2" w:rsidP="00B715B2">
            <w:pPr>
              <w:pStyle w:val="TableParagraph"/>
              <w:ind w:left="275"/>
              <w:rPr>
                <w:sz w:val="24"/>
              </w:rPr>
            </w:pPr>
            <w:r>
              <w:rPr>
                <w:sz w:val="24"/>
              </w:rPr>
              <w:t>A / 1.2.5.1</w:t>
            </w:r>
          </w:p>
          <w:p w14:paraId="15066DD0" w14:textId="77777777" w:rsidR="00B715B2" w:rsidRDefault="00B715B2" w:rsidP="00B715B2">
            <w:pPr>
              <w:pStyle w:val="TableParagraph"/>
              <w:ind w:left="367"/>
              <w:rPr>
                <w:sz w:val="24"/>
              </w:rPr>
            </w:pPr>
            <w:r>
              <w:rPr>
                <w:sz w:val="24"/>
              </w:rPr>
              <w:t>A /</w:t>
            </w:r>
            <w:r>
              <w:rPr>
                <w:spacing w:val="-3"/>
                <w:sz w:val="24"/>
              </w:rPr>
              <w:t xml:space="preserve"> </w:t>
            </w:r>
            <w:r>
              <w:rPr>
                <w:sz w:val="24"/>
              </w:rPr>
              <w:t>1.2.7</w:t>
            </w:r>
          </w:p>
          <w:p w14:paraId="32AF86E0" w14:textId="77777777" w:rsidR="00B715B2" w:rsidRDefault="00B715B2" w:rsidP="00B715B2">
            <w:pPr>
              <w:pStyle w:val="TableParagraph"/>
              <w:ind w:left="367"/>
              <w:rPr>
                <w:sz w:val="24"/>
              </w:rPr>
            </w:pPr>
            <w:r>
              <w:rPr>
                <w:sz w:val="24"/>
              </w:rPr>
              <w:t>A /</w:t>
            </w:r>
            <w:r>
              <w:rPr>
                <w:spacing w:val="-3"/>
                <w:sz w:val="24"/>
              </w:rPr>
              <w:t xml:space="preserve"> </w:t>
            </w:r>
            <w:r>
              <w:rPr>
                <w:sz w:val="24"/>
              </w:rPr>
              <w:t>1.2.2</w:t>
            </w:r>
          </w:p>
          <w:p w14:paraId="12D60FB4" w14:textId="77777777" w:rsidR="00B715B2" w:rsidRDefault="00B715B2" w:rsidP="00B715B2">
            <w:pPr>
              <w:pStyle w:val="TableParagraph"/>
              <w:ind w:left="275"/>
              <w:rPr>
                <w:sz w:val="24"/>
              </w:rPr>
            </w:pPr>
            <w:r>
              <w:rPr>
                <w:sz w:val="24"/>
              </w:rPr>
              <w:t>A / 1.3.3.1</w:t>
            </w:r>
          </w:p>
          <w:p w14:paraId="39251514" w14:textId="77777777" w:rsidR="00B715B2" w:rsidRDefault="00B715B2" w:rsidP="00B715B2">
            <w:pPr>
              <w:pStyle w:val="TableParagraph"/>
              <w:ind w:left="460"/>
              <w:rPr>
                <w:sz w:val="24"/>
              </w:rPr>
            </w:pPr>
            <w:r>
              <w:rPr>
                <w:sz w:val="24"/>
              </w:rPr>
              <w:t>B / 3.2</w:t>
            </w:r>
          </w:p>
          <w:p w14:paraId="5EA66BF1" w14:textId="77777777" w:rsidR="00B715B2" w:rsidRDefault="00B715B2" w:rsidP="00B715B2">
            <w:pPr>
              <w:pStyle w:val="TableParagraph"/>
              <w:ind w:left="460"/>
              <w:rPr>
                <w:sz w:val="24"/>
              </w:rPr>
            </w:pPr>
            <w:r>
              <w:rPr>
                <w:sz w:val="24"/>
              </w:rPr>
              <w:t>B / 4.8</w:t>
            </w:r>
          </w:p>
          <w:p w14:paraId="6271CE41" w14:textId="3187E7ED" w:rsidR="00B715B2" w:rsidRDefault="00B715B2" w:rsidP="00B715B2">
            <w:pPr>
              <w:pStyle w:val="TableParagraph"/>
              <w:spacing w:line="292" w:lineRule="exact"/>
              <w:ind w:left="275"/>
              <w:rPr>
                <w:sz w:val="24"/>
              </w:rPr>
            </w:pPr>
            <w:r>
              <w:rPr>
                <w:sz w:val="24"/>
              </w:rPr>
              <w:t>D / 3.2.4</w:t>
            </w:r>
          </w:p>
        </w:tc>
        <w:tc>
          <w:tcPr>
            <w:tcW w:w="5400" w:type="dxa"/>
          </w:tcPr>
          <w:p w14:paraId="45D92DBD" w14:textId="77777777" w:rsidR="00B715B2" w:rsidRDefault="00B715B2" w:rsidP="00B715B2">
            <w:pPr>
              <w:pStyle w:val="TableParagraph"/>
              <w:spacing w:before="1"/>
              <w:ind w:left="108" w:right="243"/>
              <w:jc w:val="both"/>
              <w:rPr>
                <w:sz w:val="24"/>
              </w:rPr>
            </w:pPr>
            <w:r>
              <w:rPr>
                <w:sz w:val="24"/>
              </w:rPr>
              <w:t>Remove requirements associated with modified fire response areas as the approach is outdated and is no longer required to enable the ecological benefits of wildland fire.</w:t>
            </w:r>
          </w:p>
          <w:p w14:paraId="37BC7FCE" w14:textId="77777777" w:rsidR="00B715B2" w:rsidRDefault="00B715B2" w:rsidP="00B715B2">
            <w:pPr>
              <w:pStyle w:val="TableParagraph"/>
              <w:spacing w:before="12"/>
              <w:rPr>
                <w:b/>
                <w:sz w:val="23"/>
              </w:rPr>
            </w:pPr>
          </w:p>
          <w:p w14:paraId="557FDB00" w14:textId="77777777" w:rsidR="00B715B2" w:rsidRDefault="00B715B2" w:rsidP="00B715B2">
            <w:pPr>
              <w:pStyle w:val="TableParagraph"/>
              <w:ind w:left="108" w:right="162"/>
              <w:rPr>
                <w:sz w:val="24"/>
              </w:rPr>
            </w:pPr>
            <w:r>
              <w:rPr>
                <w:sz w:val="24"/>
              </w:rPr>
              <w:t>Update and modernize FMPM to reflect current wildland fire policy terminology (i.e., wildland fire opportunities, assets, and resources). Wildland fire opportunities will be provided with the annual work schedule under Wildland Fire Opportunities, Response, Prevention and Preparedness section (Part D Section 3.2.4).</w:t>
            </w:r>
          </w:p>
          <w:p w14:paraId="25016EAF" w14:textId="77777777" w:rsidR="00B715B2" w:rsidRDefault="00B715B2" w:rsidP="00B715B2">
            <w:pPr>
              <w:pStyle w:val="TableParagraph"/>
              <w:spacing w:before="11"/>
              <w:rPr>
                <w:b/>
                <w:sz w:val="23"/>
              </w:rPr>
            </w:pPr>
          </w:p>
          <w:p w14:paraId="430007B1" w14:textId="77777777" w:rsidR="00B715B2" w:rsidRDefault="00B715B2" w:rsidP="00B715B2">
            <w:pPr>
              <w:pStyle w:val="TableParagraph"/>
              <w:ind w:left="108" w:right="280"/>
              <w:rPr>
                <w:sz w:val="24"/>
              </w:rPr>
            </w:pPr>
            <w:r>
              <w:rPr>
                <w:sz w:val="24"/>
              </w:rPr>
              <w:t>Revisions are to support the Ministry’s response during escalated wildland fire circumstances and help deliver on the Ministry’s mandate to minimize risk to wildland fire within the forest (i.e., support forest sector resiliency and mitigate effects due to climate change). The revisions are consistent with the Canadian Council of Forest Ministers Wildland Fire Management Working Group Action Plan and specifically include:</w:t>
            </w:r>
          </w:p>
          <w:p w14:paraId="7333DC27" w14:textId="77777777" w:rsidR="00B715B2" w:rsidRDefault="00B715B2" w:rsidP="00B715B2">
            <w:pPr>
              <w:pStyle w:val="TableParagraph"/>
              <w:numPr>
                <w:ilvl w:val="0"/>
                <w:numId w:val="2"/>
              </w:numPr>
              <w:tabs>
                <w:tab w:val="left" w:pos="827"/>
                <w:tab w:val="left" w:pos="828"/>
              </w:tabs>
              <w:ind w:right="494"/>
              <w:rPr>
                <w:sz w:val="24"/>
              </w:rPr>
            </w:pPr>
            <w:r>
              <w:rPr>
                <w:sz w:val="24"/>
              </w:rPr>
              <w:t>wildland fire forest fuel risk as a consideration for harvest eligibility</w:t>
            </w:r>
            <w:r>
              <w:rPr>
                <w:spacing w:val="-3"/>
                <w:sz w:val="24"/>
              </w:rPr>
              <w:t xml:space="preserve"> </w:t>
            </w:r>
            <w:r>
              <w:rPr>
                <w:sz w:val="24"/>
              </w:rPr>
              <w:t>criteria.</w:t>
            </w:r>
          </w:p>
          <w:p w14:paraId="2791AF9E" w14:textId="77777777" w:rsidR="00B715B2" w:rsidRDefault="00B715B2" w:rsidP="00B715B2">
            <w:pPr>
              <w:pStyle w:val="TableParagraph"/>
              <w:numPr>
                <w:ilvl w:val="0"/>
                <w:numId w:val="2"/>
              </w:numPr>
              <w:tabs>
                <w:tab w:val="left" w:pos="827"/>
                <w:tab w:val="left" w:pos="828"/>
              </w:tabs>
              <w:ind w:right="342"/>
              <w:rPr>
                <w:sz w:val="24"/>
              </w:rPr>
            </w:pPr>
            <w:r>
              <w:rPr>
                <w:sz w:val="24"/>
              </w:rPr>
              <w:t>consideration of opportunities to mitigate wildland fire risk surrounding communities, assets, and resources in the selection of harvest</w:t>
            </w:r>
            <w:r>
              <w:rPr>
                <w:spacing w:val="-1"/>
                <w:sz w:val="24"/>
              </w:rPr>
              <w:t xml:space="preserve"> </w:t>
            </w:r>
            <w:r>
              <w:rPr>
                <w:sz w:val="24"/>
              </w:rPr>
              <w:t>areas.</w:t>
            </w:r>
          </w:p>
          <w:p w14:paraId="43028E6C" w14:textId="1B0B0629" w:rsidR="00B715B2" w:rsidRDefault="00B715B2" w:rsidP="00B715B2">
            <w:pPr>
              <w:pStyle w:val="TableParagraph"/>
              <w:ind w:left="108" w:right="96"/>
              <w:rPr>
                <w:sz w:val="24"/>
              </w:rPr>
            </w:pPr>
            <w:r>
              <w:rPr>
                <w:sz w:val="24"/>
              </w:rPr>
              <w:t>identification of the potential for wildland fire within the forest landscape urban interface as a management consideration in the preparation of a</w:t>
            </w:r>
            <w:r>
              <w:rPr>
                <w:spacing w:val="-3"/>
                <w:sz w:val="24"/>
              </w:rPr>
              <w:t xml:space="preserve"> </w:t>
            </w:r>
            <w:r>
              <w:rPr>
                <w:sz w:val="24"/>
              </w:rPr>
              <w:t>FMP.</w:t>
            </w:r>
          </w:p>
        </w:tc>
        <w:tc>
          <w:tcPr>
            <w:tcW w:w="1620" w:type="dxa"/>
          </w:tcPr>
          <w:p w14:paraId="541E93E8" w14:textId="10F80A7F" w:rsidR="00B715B2" w:rsidRDefault="00B715B2" w:rsidP="00B715B2">
            <w:pPr>
              <w:pStyle w:val="TableParagraph"/>
              <w:spacing w:before="1"/>
              <w:ind w:right="573"/>
              <w:jc w:val="right"/>
              <w:rPr>
                <w:sz w:val="24"/>
              </w:rPr>
            </w:pPr>
            <w:r>
              <w:rPr>
                <w:sz w:val="24"/>
              </w:rPr>
              <w:t>B / 3.19</w:t>
            </w:r>
          </w:p>
        </w:tc>
        <w:tc>
          <w:tcPr>
            <w:tcW w:w="6272" w:type="dxa"/>
          </w:tcPr>
          <w:p w14:paraId="341D20D8" w14:textId="4F2B4BF5" w:rsidR="00B715B2" w:rsidRDefault="00B715B2" w:rsidP="00B715B2">
            <w:pPr>
              <w:pStyle w:val="TableParagraph"/>
              <w:spacing w:before="1"/>
              <w:ind w:right="573"/>
              <w:rPr>
                <w:sz w:val="24"/>
              </w:rPr>
            </w:pPr>
            <w:r>
              <w:rPr>
                <w:sz w:val="24"/>
              </w:rPr>
              <w:t>This would be a great location/opportunity to work with the fire program to streamline approval processes for fire projects.  For example, if a forest wishes to conduct a prescribed burn, it would be great to have those components incorporated into the FMP so projects are approved and can be implemented under an AWS once conditions are favorable.  It will likely improve efficiency in completing projects and achieving desired results.</w:t>
            </w:r>
          </w:p>
        </w:tc>
      </w:tr>
      <w:tr w:rsidR="00B715B2" w14:paraId="45802842" w14:textId="77777777" w:rsidTr="00E35AFF">
        <w:trPr>
          <w:trHeight w:val="1899"/>
        </w:trPr>
        <w:tc>
          <w:tcPr>
            <w:tcW w:w="716" w:type="dxa"/>
          </w:tcPr>
          <w:p w14:paraId="7628FF2D" w14:textId="0A8E4EB3" w:rsidR="00B715B2" w:rsidRDefault="00B715B2" w:rsidP="00B715B2">
            <w:pPr>
              <w:pStyle w:val="TableParagraph"/>
              <w:spacing w:before="1"/>
              <w:ind w:right="233"/>
              <w:jc w:val="right"/>
              <w:rPr>
                <w:sz w:val="24"/>
              </w:rPr>
            </w:pPr>
            <w:r>
              <w:rPr>
                <w:sz w:val="24"/>
              </w:rPr>
              <w:lastRenderedPageBreak/>
              <w:t>27</w:t>
            </w:r>
          </w:p>
        </w:tc>
        <w:tc>
          <w:tcPr>
            <w:tcW w:w="5749" w:type="dxa"/>
          </w:tcPr>
          <w:p w14:paraId="106DDBE8" w14:textId="77777777" w:rsidR="00B715B2" w:rsidRDefault="00B715B2" w:rsidP="00B715B2">
            <w:pPr>
              <w:pStyle w:val="TableParagraph"/>
              <w:spacing w:before="1"/>
              <w:ind w:left="107"/>
              <w:rPr>
                <w:b/>
                <w:sz w:val="24"/>
              </w:rPr>
            </w:pPr>
            <w:r>
              <w:rPr>
                <w:b/>
                <w:sz w:val="24"/>
              </w:rPr>
              <w:t>Silvicultural Options</w:t>
            </w:r>
          </w:p>
          <w:p w14:paraId="1DD257A9" w14:textId="619A1391" w:rsidR="00B715B2" w:rsidRDefault="00B715B2" w:rsidP="00B715B2">
            <w:pPr>
              <w:pStyle w:val="TableParagraph"/>
              <w:spacing w:before="1"/>
              <w:ind w:left="107"/>
              <w:rPr>
                <w:b/>
                <w:sz w:val="24"/>
              </w:rPr>
            </w:pPr>
            <w:r>
              <w:rPr>
                <w:sz w:val="24"/>
              </w:rPr>
              <w:t>Silvicultural options represent broad options appropriate for the forest as described in the silvicultural ground rules and are used in the base model.</w:t>
            </w:r>
          </w:p>
        </w:tc>
        <w:tc>
          <w:tcPr>
            <w:tcW w:w="1800" w:type="dxa"/>
          </w:tcPr>
          <w:p w14:paraId="6EED9C08" w14:textId="77777777" w:rsidR="00B715B2" w:rsidRDefault="00B715B2" w:rsidP="00B715B2">
            <w:pPr>
              <w:pStyle w:val="TableParagraph"/>
              <w:spacing w:before="1"/>
              <w:ind w:left="150" w:right="140"/>
              <w:jc w:val="center"/>
              <w:rPr>
                <w:sz w:val="24"/>
              </w:rPr>
            </w:pPr>
            <w:r>
              <w:rPr>
                <w:sz w:val="24"/>
              </w:rPr>
              <w:t>A / 1.2.4.5</w:t>
            </w:r>
          </w:p>
          <w:p w14:paraId="2979C10B" w14:textId="2C87D080" w:rsidR="00B715B2" w:rsidRDefault="00B715B2" w:rsidP="00B715B2">
            <w:pPr>
              <w:pStyle w:val="TableParagraph"/>
              <w:spacing w:before="1"/>
              <w:ind w:left="367"/>
              <w:rPr>
                <w:sz w:val="24"/>
              </w:rPr>
            </w:pPr>
            <w:r>
              <w:rPr>
                <w:sz w:val="24"/>
              </w:rPr>
              <w:t>B / 4.4</w:t>
            </w:r>
          </w:p>
        </w:tc>
        <w:tc>
          <w:tcPr>
            <w:tcW w:w="5400" w:type="dxa"/>
          </w:tcPr>
          <w:p w14:paraId="7156800F" w14:textId="77777777" w:rsidR="00B715B2" w:rsidRDefault="00B715B2" w:rsidP="00B715B2">
            <w:pPr>
              <w:pStyle w:val="TableParagraph"/>
              <w:spacing w:before="1"/>
              <w:ind w:left="108" w:right="991"/>
              <w:rPr>
                <w:sz w:val="24"/>
              </w:rPr>
            </w:pPr>
            <w:r>
              <w:rPr>
                <w:sz w:val="24"/>
              </w:rPr>
              <w:t>Add new text to clarify that any commercial thinning will be identified and represented in the base model.</w:t>
            </w:r>
          </w:p>
          <w:p w14:paraId="1E7BBD2E" w14:textId="77777777" w:rsidR="00B715B2" w:rsidRDefault="00B715B2" w:rsidP="00B715B2">
            <w:pPr>
              <w:pStyle w:val="TableParagraph"/>
              <w:rPr>
                <w:b/>
                <w:sz w:val="24"/>
              </w:rPr>
            </w:pPr>
          </w:p>
          <w:p w14:paraId="0C155FC3" w14:textId="77777777" w:rsidR="00B715B2" w:rsidRDefault="00B715B2" w:rsidP="00B715B2">
            <w:pPr>
              <w:pStyle w:val="TableParagraph"/>
              <w:ind w:left="108" w:right="393"/>
              <w:rPr>
                <w:sz w:val="24"/>
              </w:rPr>
            </w:pPr>
            <w:r>
              <w:rPr>
                <w:sz w:val="24"/>
              </w:rPr>
              <w:t>Update terminology within this section by replacing the term past performance with silviculture outcomes</w:t>
            </w:r>
          </w:p>
          <w:p w14:paraId="2B076B59" w14:textId="77777777" w:rsidR="00B715B2" w:rsidRDefault="00B715B2" w:rsidP="00B715B2">
            <w:pPr>
              <w:pStyle w:val="TableParagraph"/>
              <w:spacing w:before="11"/>
              <w:rPr>
                <w:b/>
                <w:sz w:val="23"/>
              </w:rPr>
            </w:pPr>
          </w:p>
          <w:p w14:paraId="3EEF83E2" w14:textId="56ADEEF3" w:rsidR="00B715B2" w:rsidRDefault="00B715B2" w:rsidP="00B715B2">
            <w:pPr>
              <w:pStyle w:val="TableParagraph"/>
              <w:spacing w:before="1"/>
              <w:ind w:left="108" w:right="243"/>
              <w:jc w:val="both"/>
              <w:rPr>
                <w:sz w:val="24"/>
              </w:rPr>
            </w:pPr>
            <w:r>
              <w:rPr>
                <w:sz w:val="24"/>
              </w:rPr>
              <w:t>Add that silvicultural options will also specify the limits to which the option can be applied on the management unit considering ecological and economic constraints (e.g., silviculture program budgets).</w:t>
            </w:r>
          </w:p>
        </w:tc>
        <w:tc>
          <w:tcPr>
            <w:tcW w:w="1620" w:type="dxa"/>
          </w:tcPr>
          <w:p w14:paraId="69B4D444" w14:textId="77777777" w:rsidR="00B715B2" w:rsidRDefault="00B715B2" w:rsidP="00B715B2">
            <w:pPr>
              <w:pStyle w:val="TableParagraph"/>
              <w:spacing w:before="1"/>
              <w:ind w:left="150" w:right="140"/>
              <w:jc w:val="center"/>
              <w:rPr>
                <w:sz w:val="24"/>
              </w:rPr>
            </w:pPr>
            <w:r>
              <w:rPr>
                <w:sz w:val="24"/>
              </w:rPr>
              <w:t>N/A</w:t>
            </w:r>
          </w:p>
          <w:p w14:paraId="05A35A7C" w14:textId="5940156F" w:rsidR="00B715B2" w:rsidRDefault="00B715B2" w:rsidP="00B715B2">
            <w:pPr>
              <w:pStyle w:val="TableParagraph"/>
              <w:spacing w:before="1"/>
              <w:ind w:right="573"/>
              <w:jc w:val="right"/>
              <w:rPr>
                <w:sz w:val="24"/>
              </w:rPr>
            </w:pPr>
            <w:r>
              <w:rPr>
                <w:sz w:val="24"/>
              </w:rPr>
              <w:t>B / 3.15.1</w:t>
            </w:r>
          </w:p>
        </w:tc>
        <w:tc>
          <w:tcPr>
            <w:tcW w:w="6272" w:type="dxa"/>
          </w:tcPr>
          <w:p w14:paraId="66D2F14E" w14:textId="40E4C12F" w:rsidR="00B715B2" w:rsidRDefault="00B715B2" w:rsidP="00B715B2">
            <w:pPr>
              <w:pStyle w:val="TableParagraph"/>
              <w:spacing w:before="1"/>
              <w:ind w:right="573"/>
              <w:rPr>
                <w:sz w:val="24"/>
              </w:rPr>
            </w:pPr>
            <w:r>
              <w:rPr>
                <w:sz w:val="24"/>
              </w:rPr>
              <w:t>Will this limit opportunity during an FMP if CT becomes a tool that is desired</w:t>
            </w:r>
            <w:r w:rsidR="00A047A0">
              <w:rPr>
                <w:sz w:val="24"/>
              </w:rPr>
              <w:t xml:space="preserve"> during plan implementation</w:t>
            </w:r>
            <w:r>
              <w:rPr>
                <w:sz w:val="24"/>
              </w:rPr>
              <w:t>?</w:t>
            </w:r>
            <w:r w:rsidR="00A047A0">
              <w:rPr>
                <w:sz w:val="24"/>
              </w:rPr>
              <w:t xml:space="preserve">  Can CT be a silvicultural option in an SGR to allow for opportunities for trials and/or research?</w:t>
            </w:r>
          </w:p>
        </w:tc>
      </w:tr>
      <w:tr w:rsidR="00A047A0" w14:paraId="2F3E1592" w14:textId="77777777" w:rsidTr="00E35AFF">
        <w:trPr>
          <w:trHeight w:val="1899"/>
        </w:trPr>
        <w:tc>
          <w:tcPr>
            <w:tcW w:w="716" w:type="dxa"/>
          </w:tcPr>
          <w:p w14:paraId="5871737D" w14:textId="09B9BECD" w:rsidR="00A047A0" w:rsidRDefault="00A047A0" w:rsidP="00A047A0">
            <w:pPr>
              <w:pStyle w:val="TableParagraph"/>
              <w:spacing w:before="1"/>
              <w:ind w:right="233"/>
              <w:jc w:val="right"/>
              <w:rPr>
                <w:sz w:val="24"/>
              </w:rPr>
            </w:pPr>
            <w:r>
              <w:rPr>
                <w:sz w:val="24"/>
              </w:rPr>
              <w:t>41</w:t>
            </w:r>
          </w:p>
        </w:tc>
        <w:tc>
          <w:tcPr>
            <w:tcW w:w="5749" w:type="dxa"/>
          </w:tcPr>
          <w:p w14:paraId="35D961C4" w14:textId="77777777" w:rsidR="00A047A0" w:rsidRDefault="00A047A0" w:rsidP="00A047A0">
            <w:pPr>
              <w:pStyle w:val="TableParagraph"/>
              <w:spacing w:line="292" w:lineRule="exact"/>
              <w:ind w:left="107"/>
              <w:rPr>
                <w:b/>
                <w:sz w:val="24"/>
              </w:rPr>
            </w:pPr>
            <w:r>
              <w:rPr>
                <w:b/>
                <w:sz w:val="24"/>
              </w:rPr>
              <w:t>Roads</w:t>
            </w:r>
          </w:p>
          <w:p w14:paraId="136874D4" w14:textId="6F8864E2" w:rsidR="00A047A0" w:rsidRDefault="00A047A0" w:rsidP="00A047A0">
            <w:pPr>
              <w:pStyle w:val="TableParagraph"/>
              <w:spacing w:before="1"/>
              <w:ind w:left="107"/>
              <w:rPr>
                <w:b/>
                <w:sz w:val="24"/>
              </w:rPr>
            </w:pPr>
            <w:r>
              <w:rPr>
                <w:sz w:val="24"/>
              </w:rPr>
              <w:t>Planning requirements for new primary, branch, and operational roads.</w:t>
            </w:r>
          </w:p>
        </w:tc>
        <w:tc>
          <w:tcPr>
            <w:tcW w:w="1800" w:type="dxa"/>
          </w:tcPr>
          <w:p w14:paraId="5E931348" w14:textId="77777777" w:rsidR="00A047A0" w:rsidRDefault="00A047A0" w:rsidP="00A047A0">
            <w:pPr>
              <w:pStyle w:val="TableParagraph"/>
              <w:spacing w:line="292" w:lineRule="exact"/>
              <w:ind w:left="367"/>
              <w:rPr>
                <w:sz w:val="24"/>
              </w:rPr>
            </w:pPr>
            <w:r>
              <w:rPr>
                <w:sz w:val="24"/>
              </w:rPr>
              <w:t>A / 1.3.6</w:t>
            </w:r>
          </w:p>
          <w:p w14:paraId="4B57A1A0" w14:textId="77777777" w:rsidR="00A047A0" w:rsidRDefault="00A047A0" w:rsidP="00A047A0">
            <w:pPr>
              <w:pStyle w:val="TableParagraph"/>
              <w:ind w:left="460"/>
              <w:rPr>
                <w:sz w:val="24"/>
              </w:rPr>
            </w:pPr>
            <w:r>
              <w:rPr>
                <w:sz w:val="24"/>
              </w:rPr>
              <w:t>B / 4.5</w:t>
            </w:r>
          </w:p>
          <w:p w14:paraId="2956AA81" w14:textId="7BE04340" w:rsidR="00A047A0" w:rsidRDefault="00A047A0" w:rsidP="00A047A0">
            <w:pPr>
              <w:pStyle w:val="TableParagraph"/>
              <w:spacing w:before="1"/>
              <w:ind w:left="150" w:right="140"/>
              <w:jc w:val="center"/>
              <w:rPr>
                <w:sz w:val="24"/>
              </w:rPr>
            </w:pPr>
            <w:r>
              <w:rPr>
                <w:sz w:val="24"/>
              </w:rPr>
              <w:t>D / 3.2</w:t>
            </w:r>
          </w:p>
        </w:tc>
        <w:tc>
          <w:tcPr>
            <w:tcW w:w="5400" w:type="dxa"/>
          </w:tcPr>
          <w:p w14:paraId="6580DD11" w14:textId="77777777" w:rsidR="00A047A0" w:rsidRDefault="00A047A0" w:rsidP="00A047A0">
            <w:pPr>
              <w:pStyle w:val="TableParagraph"/>
              <w:ind w:left="108" w:right="156"/>
              <w:rPr>
                <w:sz w:val="24"/>
              </w:rPr>
            </w:pPr>
            <w:r>
              <w:rPr>
                <w:sz w:val="24"/>
              </w:rPr>
              <w:t>Add that in addition to be being based on public comments, primary and branch roads and their associated use management strategies will be finalized based on the spatial harvest schedule and First Nation and Métis community consultation at stage two). Planning teams will also be required to consider historical roads information when planning new roads.</w:t>
            </w:r>
          </w:p>
          <w:p w14:paraId="1BADC7E5" w14:textId="77777777" w:rsidR="00A047A0" w:rsidRDefault="00A047A0" w:rsidP="00A047A0">
            <w:pPr>
              <w:pStyle w:val="TableParagraph"/>
              <w:rPr>
                <w:b/>
                <w:sz w:val="24"/>
              </w:rPr>
            </w:pPr>
          </w:p>
          <w:p w14:paraId="74DA5330" w14:textId="77777777" w:rsidR="00A047A0" w:rsidRDefault="00A047A0" w:rsidP="00A047A0">
            <w:pPr>
              <w:pStyle w:val="TableParagraph"/>
              <w:ind w:left="107" w:right="174"/>
              <w:rPr>
                <w:sz w:val="24"/>
              </w:rPr>
            </w:pPr>
            <w:r>
              <w:rPr>
                <w:sz w:val="24"/>
              </w:rPr>
              <w:t>Add that each planned/confirmed primary/branch road corridor will be identified and the use management strategy for the road will be recorded in the FMP in accordance with FIM.</w:t>
            </w:r>
          </w:p>
          <w:p w14:paraId="76B63EB6" w14:textId="77777777" w:rsidR="00A047A0" w:rsidRDefault="00A047A0" w:rsidP="00A047A0">
            <w:pPr>
              <w:pStyle w:val="TableParagraph"/>
              <w:spacing w:before="12"/>
              <w:rPr>
                <w:b/>
                <w:sz w:val="23"/>
              </w:rPr>
            </w:pPr>
          </w:p>
          <w:p w14:paraId="4890CA12" w14:textId="77777777" w:rsidR="00A047A0" w:rsidRDefault="00A047A0" w:rsidP="00A047A0">
            <w:pPr>
              <w:pStyle w:val="TableParagraph"/>
              <w:ind w:left="107" w:right="112"/>
              <w:rPr>
                <w:sz w:val="24"/>
              </w:rPr>
            </w:pPr>
            <w:r>
              <w:rPr>
                <w:sz w:val="24"/>
              </w:rPr>
              <w:t>To reduce footprint on landscape (i.e., limit loss of productive land by anthropogenetic disturbances) and enhance the opportunity to use historical road information and the opportunity to use existing roads and/or roadbeds, add that the requirement for identifying and rationalizing new primary, branch roads and operational road boundaries will not apply in circumstances where an existing roadbed will be used. The applicable one-kilometre road corridors or operational road boundary will be portrayed in the FMP to support First Nation and Métis community, and public consultation.</w:t>
            </w:r>
          </w:p>
          <w:p w14:paraId="75A4FB6A" w14:textId="77777777" w:rsidR="00A047A0" w:rsidRDefault="00A047A0" w:rsidP="00A047A0">
            <w:pPr>
              <w:pStyle w:val="TableParagraph"/>
              <w:rPr>
                <w:b/>
                <w:sz w:val="24"/>
              </w:rPr>
            </w:pPr>
          </w:p>
          <w:p w14:paraId="554DFA68" w14:textId="77777777" w:rsidR="00A047A0" w:rsidRDefault="00A047A0" w:rsidP="00A047A0">
            <w:pPr>
              <w:pStyle w:val="TableParagraph"/>
              <w:ind w:left="107" w:right="162"/>
              <w:rPr>
                <w:sz w:val="24"/>
              </w:rPr>
            </w:pPr>
            <w:r>
              <w:rPr>
                <w:sz w:val="24"/>
              </w:rPr>
              <w:t xml:space="preserve">Add that if a new branch road or operational road and or existing road is required for forest management purposes and must traverse a railway, the Grade Crossings regulations under the federal </w:t>
            </w:r>
            <w:r>
              <w:rPr>
                <w:sz w:val="24"/>
              </w:rPr>
              <w:lastRenderedPageBreak/>
              <w:t>Railway Safety Act (1985), as amended from time to time, will apply and the rationale for such a crossing will be provided in the FMP text.</w:t>
            </w:r>
          </w:p>
          <w:p w14:paraId="2B8C4D03" w14:textId="77777777" w:rsidR="00A047A0" w:rsidRDefault="00A047A0" w:rsidP="00A047A0">
            <w:pPr>
              <w:pStyle w:val="TableParagraph"/>
              <w:spacing w:before="11"/>
              <w:rPr>
                <w:b/>
                <w:sz w:val="23"/>
              </w:rPr>
            </w:pPr>
          </w:p>
          <w:p w14:paraId="7CD7E742" w14:textId="40732EC7" w:rsidR="00A047A0" w:rsidRDefault="00A047A0" w:rsidP="00A047A0">
            <w:pPr>
              <w:pStyle w:val="TableParagraph"/>
              <w:spacing w:before="1"/>
              <w:ind w:left="108" w:right="991"/>
              <w:rPr>
                <w:sz w:val="24"/>
              </w:rPr>
            </w:pPr>
            <w:r>
              <w:rPr>
                <w:sz w:val="24"/>
              </w:rPr>
              <w:t>Revise existing road definition (consistent with roads inventory) as it relates to documentation requirements within the FMP.</w:t>
            </w:r>
          </w:p>
        </w:tc>
        <w:tc>
          <w:tcPr>
            <w:tcW w:w="1620" w:type="dxa"/>
          </w:tcPr>
          <w:p w14:paraId="1DD65519" w14:textId="77777777" w:rsidR="00A047A0" w:rsidRDefault="00A047A0" w:rsidP="00A047A0">
            <w:pPr>
              <w:pStyle w:val="TableParagraph"/>
              <w:spacing w:line="292" w:lineRule="exact"/>
              <w:ind w:left="304"/>
              <w:rPr>
                <w:sz w:val="24"/>
              </w:rPr>
            </w:pPr>
            <w:r>
              <w:rPr>
                <w:sz w:val="24"/>
              </w:rPr>
              <w:lastRenderedPageBreak/>
              <w:t>A / 1.2.10</w:t>
            </w:r>
          </w:p>
          <w:p w14:paraId="01CFCB5D" w14:textId="428B5A87" w:rsidR="00A047A0" w:rsidRDefault="00A047A0" w:rsidP="00A047A0">
            <w:pPr>
              <w:pStyle w:val="TableParagraph"/>
              <w:spacing w:before="1"/>
              <w:ind w:left="150" w:right="140"/>
              <w:jc w:val="center"/>
              <w:rPr>
                <w:sz w:val="24"/>
              </w:rPr>
            </w:pPr>
            <w:r>
              <w:rPr>
                <w:sz w:val="24"/>
              </w:rPr>
              <w:t>B / 3.16</w:t>
            </w:r>
          </w:p>
        </w:tc>
        <w:tc>
          <w:tcPr>
            <w:tcW w:w="6272" w:type="dxa"/>
          </w:tcPr>
          <w:p w14:paraId="419B03FB" w14:textId="77777777" w:rsidR="00A047A0" w:rsidRDefault="00A047A0" w:rsidP="00A047A0">
            <w:pPr>
              <w:pStyle w:val="TableParagraph"/>
              <w:spacing w:before="1"/>
              <w:ind w:right="573"/>
              <w:rPr>
                <w:sz w:val="24"/>
              </w:rPr>
            </w:pPr>
            <w:r>
              <w:rPr>
                <w:sz w:val="24"/>
              </w:rPr>
              <w:t>The direction around railway crossings should be consistent for primary roads, branch roads and operational roads.  There is no need to justify or document why existing roads need to cross railways.  This should be limited to new construction only.</w:t>
            </w:r>
          </w:p>
          <w:p w14:paraId="28922987" w14:textId="77777777" w:rsidR="00A047A0" w:rsidRDefault="00A047A0" w:rsidP="00A047A0">
            <w:pPr>
              <w:pStyle w:val="TableParagraph"/>
              <w:spacing w:before="1"/>
              <w:ind w:right="573"/>
              <w:rPr>
                <w:sz w:val="24"/>
              </w:rPr>
            </w:pPr>
          </w:p>
          <w:p w14:paraId="1BB94FFB" w14:textId="08C49311" w:rsidR="00A047A0" w:rsidRDefault="0001730E" w:rsidP="00A047A0">
            <w:pPr>
              <w:pStyle w:val="TableParagraph"/>
              <w:spacing w:before="1"/>
              <w:ind w:right="573"/>
              <w:rPr>
                <w:sz w:val="24"/>
              </w:rPr>
            </w:pPr>
            <w:r>
              <w:rPr>
                <w:sz w:val="24"/>
              </w:rPr>
              <w:t>In many cases, railway crossings are private where permits have been issued and are not necessarily held by SFL’s.  This gets messy if there is an assumed responsibility of private assets under the FMP.  There are a wide range of impacts to the public and other private business that need to be understood and considered before an SFL is tasked with justifying the existence of a rail crossing.</w:t>
            </w:r>
          </w:p>
        </w:tc>
      </w:tr>
      <w:tr w:rsidR="0001730E" w14:paraId="257EF9F3" w14:textId="77777777" w:rsidTr="00E35AFF">
        <w:trPr>
          <w:trHeight w:val="1899"/>
        </w:trPr>
        <w:tc>
          <w:tcPr>
            <w:tcW w:w="716" w:type="dxa"/>
          </w:tcPr>
          <w:p w14:paraId="6E651C90" w14:textId="6F260294" w:rsidR="0001730E" w:rsidRDefault="00E667C2" w:rsidP="00A047A0">
            <w:pPr>
              <w:pStyle w:val="TableParagraph"/>
              <w:spacing w:before="1"/>
              <w:ind w:right="233"/>
              <w:jc w:val="right"/>
              <w:rPr>
                <w:sz w:val="24"/>
              </w:rPr>
            </w:pPr>
            <w:r>
              <w:rPr>
                <w:sz w:val="24"/>
              </w:rPr>
              <w:t>FIM</w:t>
            </w:r>
          </w:p>
        </w:tc>
        <w:tc>
          <w:tcPr>
            <w:tcW w:w="5749" w:type="dxa"/>
          </w:tcPr>
          <w:p w14:paraId="3805B0B5" w14:textId="05C244A6" w:rsidR="0001730E" w:rsidRDefault="00E667C2" w:rsidP="00A047A0">
            <w:pPr>
              <w:pStyle w:val="TableParagraph"/>
              <w:spacing w:line="292" w:lineRule="exact"/>
              <w:ind w:left="107"/>
              <w:rPr>
                <w:b/>
                <w:sz w:val="24"/>
              </w:rPr>
            </w:pPr>
            <w:r>
              <w:rPr>
                <w:b/>
                <w:sz w:val="24"/>
              </w:rPr>
              <w:t>Datasets for FMP and AWS</w:t>
            </w:r>
          </w:p>
        </w:tc>
        <w:tc>
          <w:tcPr>
            <w:tcW w:w="1800" w:type="dxa"/>
          </w:tcPr>
          <w:p w14:paraId="4D58D4EA" w14:textId="77777777" w:rsidR="0001730E" w:rsidRDefault="0001730E" w:rsidP="00A047A0">
            <w:pPr>
              <w:pStyle w:val="TableParagraph"/>
              <w:spacing w:line="292" w:lineRule="exact"/>
              <w:ind w:left="367"/>
              <w:rPr>
                <w:sz w:val="24"/>
              </w:rPr>
            </w:pPr>
          </w:p>
        </w:tc>
        <w:tc>
          <w:tcPr>
            <w:tcW w:w="5400" w:type="dxa"/>
          </w:tcPr>
          <w:p w14:paraId="63ECE195" w14:textId="77777777" w:rsidR="0001730E" w:rsidRDefault="0001730E" w:rsidP="00A047A0">
            <w:pPr>
              <w:pStyle w:val="TableParagraph"/>
              <w:ind w:left="108" w:right="156"/>
              <w:rPr>
                <w:sz w:val="24"/>
              </w:rPr>
            </w:pPr>
          </w:p>
        </w:tc>
        <w:tc>
          <w:tcPr>
            <w:tcW w:w="1620" w:type="dxa"/>
          </w:tcPr>
          <w:p w14:paraId="11970366" w14:textId="77777777" w:rsidR="0001730E" w:rsidRDefault="0001730E" w:rsidP="00A047A0">
            <w:pPr>
              <w:pStyle w:val="TableParagraph"/>
              <w:spacing w:line="292" w:lineRule="exact"/>
              <w:ind w:left="304"/>
              <w:rPr>
                <w:sz w:val="24"/>
              </w:rPr>
            </w:pPr>
          </w:p>
        </w:tc>
        <w:tc>
          <w:tcPr>
            <w:tcW w:w="6272" w:type="dxa"/>
          </w:tcPr>
          <w:p w14:paraId="696A139A" w14:textId="7543EC01" w:rsidR="0001730E" w:rsidRDefault="00E667C2" w:rsidP="00A047A0">
            <w:pPr>
              <w:pStyle w:val="TableParagraph"/>
              <w:spacing w:before="1"/>
              <w:ind w:right="573"/>
              <w:rPr>
                <w:sz w:val="24"/>
              </w:rPr>
            </w:pPr>
            <w:r>
              <w:rPr>
                <w:sz w:val="24"/>
              </w:rPr>
              <w:t>See notes above on data items.  Reducing burden and data sets will ensure better service delivery and reduce red tape and errors.</w:t>
            </w:r>
          </w:p>
        </w:tc>
      </w:tr>
      <w:tr w:rsidR="00E667C2" w14:paraId="0D0A7CE8" w14:textId="77777777" w:rsidTr="00E35AFF">
        <w:trPr>
          <w:trHeight w:val="1899"/>
        </w:trPr>
        <w:tc>
          <w:tcPr>
            <w:tcW w:w="716" w:type="dxa"/>
          </w:tcPr>
          <w:p w14:paraId="0930BE2B" w14:textId="56BD0C32" w:rsidR="00E667C2" w:rsidRDefault="00E667C2" w:rsidP="00A047A0">
            <w:pPr>
              <w:pStyle w:val="TableParagraph"/>
              <w:spacing w:before="1"/>
              <w:ind w:right="233"/>
              <w:jc w:val="right"/>
              <w:rPr>
                <w:sz w:val="24"/>
              </w:rPr>
            </w:pPr>
            <w:r>
              <w:rPr>
                <w:sz w:val="24"/>
              </w:rPr>
              <w:t>SM</w:t>
            </w:r>
          </w:p>
        </w:tc>
        <w:tc>
          <w:tcPr>
            <w:tcW w:w="5749" w:type="dxa"/>
          </w:tcPr>
          <w:p w14:paraId="2DFC2CE6" w14:textId="15B62DB0" w:rsidR="00E667C2" w:rsidRDefault="00E667C2" w:rsidP="00A047A0">
            <w:pPr>
              <w:pStyle w:val="TableParagraph"/>
              <w:spacing w:line="292" w:lineRule="exact"/>
              <w:ind w:left="107"/>
              <w:rPr>
                <w:b/>
                <w:sz w:val="24"/>
              </w:rPr>
            </w:pPr>
            <w:r>
              <w:rPr>
                <w:b/>
                <w:sz w:val="24"/>
              </w:rPr>
              <w:t>Mass Scaling</w:t>
            </w:r>
          </w:p>
        </w:tc>
        <w:tc>
          <w:tcPr>
            <w:tcW w:w="1800" w:type="dxa"/>
          </w:tcPr>
          <w:p w14:paraId="3E532CA7" w14:textId="77777777" w:rsidR="00E667C2" w:rsidRDefault="00E667C2" w:rsidP="00A047A0">
            <w:pPr>
              <w:pStyle w:val="TableParagraph"/>
              <w:spacing w:line="292" w:lineRule="exact"/>
              <w:ind w:left="367"/>
              <w:rPr>
                <w:sz w:val="24"/>
              </w:rPr>
            </w:pPr>
          </w:p>
        </w:tc>
        <w:tc>
          <w:tcPr>
            <w:tcW w:w="5400" w:type="dxa"/>
          </w:tcPr>
          <w:p w14:paraId="17E4C5E2" w14:textId="77777777" w:rsidR="00E667C2" w:rsidRDefault="00E667C2" w:rsidP="00A047A0">
            <w:pPr>
              <w:pStyle w:val="TableParagraph"/>
              <w:ind w:left="108" w:right="156"/>
              <w:rPr>
                <w:sz w:val="24"/>
              </w:rPr>
            </w:pPr>
          </w:p>
        </w:tc>
        <w:tc>
          <w:tcPr>
            <w:tcW w:w="1620" w:type="dxa"/>
          </w:tcPr>
          <w:p w14:paraId="3E881FF5" w14:textId="77777777" w:rsidR="00E667C2" w:rsidRDefault="00E667C2" w:rsidP="00A047A0">
            <w:pPr>
              <w:pStyle w:val="TableParagraph"/>
              <w:spacing w:line="292" w:lineRule="exact"/>
              <w:ind w:left="304"/>
              <w:rPr>
                <w:sz w:val="24"/>
              </w:rPr>
            </w:pPr>
          </w:p>
        </w:tc>
        <w:tc>
          <w:tcPr>
            <w:tcW w:w="6272" w:type="dxa"/>
          </w:tcPr>
          <w:p w14:paraId="073EBDF8" w14:textId="0A64E804" w:rsidR="00E667C2" w:rsidRDefault="00E667C2" w:rsidP="00A047A0">
            <w:pPr>
              <w:pStyle w:val="TableParagraph"/>
              <w:spacing w:before="1"/>
              <w:ind w:right="573"/>
              <w:rPr>
                <w:sz w:val="24"/>
              </w:rPr>
            </w:pPr>
            <w:r>
              <w:rPr>
                <w:sz w:val="24"/>
              </w:rPr>
              <w:t>There should be a process to address excessive wood drying.  Some product sectors are under-sampled and excessive drying will result in lower weights which falsely under-represents volumes.</w:t>
            </w:r>
          </w:p>
        </w:tc>
      </w:tr>
    </w:tbl>
    <w:p w14:paraId="75735DA7" w14:textId="77777777" w:rsidR="008F0EA4" w:rsidRDefault="008F0EA4"/>
    <w:sectPr w:rsidR="008F0EA4" w:rsidSect="00E35AFF">
      <w:pgSz w:w="24480" w:h="15840" w:orient="landscape" w:code="3"/>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B04"/>
    <w:multiLevelType w:val="hybridMultilevel"/>
    <w:tmpl w:val="7346A40C"/>
    <w:lvl w:ilvl="0" w:tplc="F5AE9974">
      <w:numFmt w:val="bullet"/>
      <w:lvlText w:val=""/>
      <w:lvlJc w:val="left"/>
      <w:pPr>
        <w:ind w:left="828" w:hanging="360"/>
      </w:pPr>
      <w:rPr>
        <w:rFonts w:ascii="Symbol" w:eastAsia="Symbol" w:hAnsi="Symbol" w:cs="Symbol" w:hint="default"/>
        <w:w w:val="100"/>
        <w:sz w:val="24"/>
        <w:szCs w:val="24"/>
        <w:lang w:val="en-US" w:eastAsia="en-US" w:bidi="en-US"/>
      </w:rPr>
    </w:lvl>
    <w:lvl w:ilvl="1" w:tplc="A25AD18A">
      <w:numFmt w:val="bullet"/>
      <w:lvlText w:val="•"/>
      <w:lvlJc w:val="left"/>
      <w:pPr>
        <w:ind w:left="1431" w:hanging="360"/>
      </w:pPr>
      <w:rPr>
        <w:rFonts w:hint="default"/>
        <w:lang w:val="en-US" w:eastAsia="en-US" w:bidi="en-US"/>
      </w:rPr>
    </w:lvl>
    <w:lvl w:ilvl="2" w:tplc="2932E428">
      <w:numFmt w:val="bullet"/>
      <w:lvlText w:val="•"/>
      <w:lvlJc w:val="left"/>
      <w:pPr>
        <w:ind w:left="2043" w:hanging="360"/>
      </w:pPr>
      <w:rPr>
        <w:rFonts w:hint="default"/>
        <w:lang w:val="en-US" w:eastAsia="en-US" w:bidi="en-US"/>
      </w:rPr>
    </w:lvl>
    <w:lvl w:ilvl="3" w:tplc="77A0AC6C">
      <w:numFmt w:val="bullet"/>
      <w:lvlText w:val="•"/>
      <w:lvlJc w:val="left"/>
      <w:pPr>
        <w:ind w:left="2654" w:hanging="360"/>
      </w:pPr>
      <w:rPr>
        <w:rFonts w:hint="default"/>
        <w:lang w:val="en-US" w:eastAsia="en-US" w:bidi="en-US"/>
      </w:rPr>
    </w:lvl>
    <w:lvl w:ilvl="4" w:tplc="3BF0E0DA">
      <w:numFmt w:val="bullet"/>
      <w:lvlText w:val="•"/>
      <w:lvlJc w:val="left"/>
      <w:pPr>
        <w:ind w:left="3266" w:hanging="360"/>
      </w:pPr>
      <w:rPr>
        <w:rFonts w:hint="default"/>
        <w:lang w:val="en-US" w:eastAsia="en-US" w:bidi="en-US"/>
      </w:rPr>
    </w:lvl>
    <w:lvl w:ilvl="5" w:tplc="93FA5A58">
      <w:numFmt w:val="bullet"/>
      <w:lvlText w:val="•"/>
      <w:lvlJc w:val="left"/>
      <w:pPr>
        <w:ind w:left="3878" w:hanging="360"/>
      </w:pPr>
      <w:rPr>
        <w:rFonts w:hint="default"/>
        <w:lang w:val="en-US" w:eastAsia="en-US" w:bidi="en-US"/>
      </w:rPr>
    </w:lvl>
    <w:lvl w:ilvl="6" w:tplc="60A0521E">
      <w:numFmt w:val="bullet"/>
      <w:lvlText w:val="•"/>
      <w:lvlJc w:val="left"/>
      <w:pPr>
        <w:ind w:left="4489" w:hanging="360"/>
      </w:pPr>
      <w:rPr>
        <w:rFonts w:hint="default"/>
        <w:lang w:val="en-US" w:eastAsia="en-US" w:bidi="en-US"/>
      </w:rPr>
    </w:lvl>
    <w:lvl w:ilvl="7" w:tplc="A086E2C6">
      <w:numFmt w:val="bullet"/>
      <w:lvlText w:val="•"/>
      <w:lvlJc w:val="left"/>
      <w:pPr>
        <w:ind w:left="5101" w:hanging="360"/>
      </w:pPr>
      <w:rPr>
        <w:rFonts w:hint="default"/>
        <w:lang w:val="en-US" w:eastAsia="en-US" w:bidi="en-US"/>
      </w:rPr>
    </w:lvl>
    <w:lvl w:ilvl="8" w:tplc="4C04A534">
      <w:numFmt w:val="bullet"/>
      <w:lvlText w:val="•"/>
      <w:lvlJc w:val="left"/>
      <w:pPr>
        <w:ind w:left="5712" w:hanging="360"/>
      </w:pPr>
      <w:rPr>
        <w:rFonts w:hint="default"/>
        <w:lang w:val="en-US" w:eastAsia="en-US" w:bidi="en-US"/>
      </w:rPr>
    </w:lvl>
  </w:abstractNum>
  <w:abstractNum w:abstractNumId="1" w15:restartNumberingAfterBreak="0">
    <w:nsid w:val="158000CC"/>
    <w:multiLevelType w:val="hybridMultilevel"/>
    <w:tmpl w:val="5CA21572"/>
    <w:lvl w:ilvl="0" w:tplc="1EC01EFC">
      <w:numFmt w:val="bullet"/>
      <w:lvlText w:val=""/>
      <w:lvlJc w:val="left"/>
      <w:pPr>
        <w:ind w:left="828" w:hanging="360"/>
      </w:pPr>
      <w:rPr>
        <w:rFonts w:ascii="Symbol" w:eastAsia="Symbol" w:hAnsi="Symbol" w:cs="Symbol" w:hint="default"/>
        <w:w w:val="100"/>
        <w:sz w:val="24"/>
        <w:szCs w:val="24"/>
        <w:lang w:val="en-US" w:eastAsia="en-US" w:bidi="en-US"/>
      </w:rPr>
    </w:lvl>
    <w:lvl w:ilvl="1" w:tplc="0CBCFC8C">
      <w:numFmt w:val="bullet"/>
      <w:lvlText w:val="•"/>
      <w:lvlJc w:val="left"/>
      <w:pPr>
        <w:ind w:left="1431" w:hanging="360"/>
      </w:pPr>
      <w:rPr>
        <w:rFonts w:hint="default"/>
        <w:lang w:val="en-US" w:eastAsia="en-US" w:bidi="en-US"/>
      </w:rPr>
    </w:lvl>
    <w:lvl w:ilvl="2" w:tplc="42E268EA">
      <w:numFmt w:val="bullet"/>
      <w:lvlText w:val="•"/>
      <w:lvlJc w:val="left"/>
      <w:pPr>
        <w:ind w:left="2043" w:hanging="360"/>
      </w:pPr>
      <w:rPr>
        <w:rFonts w:hint="default"/>
        <w:lang w:val="en-US" w:eastAsia="en-US" w:bidi="en-US"/>
      </w:rPr>
    </w:lvl>
    <w:lvl w:ilvl="3" w:tplc="3A228F82">
      <w:numFmt w:val="bullet"/>
      <w:lvlText w:val="•"/>
      <w:lvlJc w:val="left"/>
      <w:pPr>
        <w:ind w:left="2654" w:hanging="360"/>
      </w:pPr>
      <w:rPr>
        <w:rFonts w:hint="default"/>
        <w:lang w:val="en-US" w:eastAsia="en-US" w:bidi="en-US"/>
      </w:rPr>
    </w:lvl>
    <w:lvl w:ilvl="4" w:tplc="D4205B7A">
      <w:numFmt w:val="bullet"/>
      <w:lvlText w:val="•"/>
      <w:lvlJc w:val="left"/>
      <w:pPr>
        <w:ind w:left="3266" w:hanging="360"/>
      </w:pPr>
      <w:rPr>
        <w:rFonts w:hint="default"/>
        <w:lang w:val="en-US" w:eastAsia="en-US" w:bidi="en-US"/>
      </w:rPr>
    </w:lvl>
    <w:lvl w:ilvl="5" w:tplc="D3F4E0EE">
      <w:numFmt w:val="bullet"/>
      <w:lvlText w:val="•"/>
      <w:lvlJc w:val="left"/>
      <w:pPr>
        <w:ind w:left="3878" w:hanging="360"/>
      </w:pPr>
      <w:rPr>
        <w:rFonts w:hint="default"/>
        <w:lang w:val="en-US" w:eastAsia="en-US" w:bidi="en-US"/>
      </w:rPr>
    </w:lvl>
    <w:lvl w:ilvl="6" w:tplc="A8F66388">
      <w:numFmt w:val="bullet"/>
      <w:lvlText w:val="•"/>
      <w:lvlJc w:val="left"/>
      <w:pPr>
        <w:ind w:left="4489" w:hanging="360"/>
      </w:pPr>
      <w:rPr>
        <w:rFonts w:hint="default"/>
        <w:lang w:val="en-US" w:eastAsia="en-US" w:bidi="en-US"/>
      </w:rPr>
    </w:lvl>
    <w:lvl w:ilvl="7" w:tplc="D2E2AA72">
      <w:numFmt w:val="bullet"/>
      <w:lvlText w:val="•"/>
      <w:lvlJc w:val="left"/>
      <w:pPr>
        <w:ind w:left="5101" w:hanging="360"/>
      </w:pPr>
      <w:rPr>
        <w:rFonts w:hint="default"/>
        <w:lang w:val="en-US" w:eastAsia="en-US" w:bidi="en-US"/>
      </w:rPr>
    </w:lvl>
    <w:lvl w:ilvl="8" w:tplc="62CCAB8E">
      <w:numFmt w:val="bullet"/>
      <w:lvlText w:val="•"/>
      <w:lvlJc w:val="left"/>
      <w:pPr>
        <w:ind w:left="5712" w:hanging="360"/>
      </w:pPr>
      <w:rPr>
        <w:rFonts w:hint="default"/>
        <w:lang w:val="en-US" w:eastAsia="en-US" w:bidi="en-US"/>
      </w:rPr>
    </w:lvl>
  </w:abstractNum>
  <w:num w:numId="1" w16cid:durableId="1964114098">
    <w:abstractNumId w:val="0"/>
  </w:num>
  <w:num w:numId="2" w16cid:durableId="132732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FF"/>
    <w:rsid w:val="0001730E"/>
    <w:rsid w:val="00027939"/>
    <w:rsid w:val="0003170F"/>
    <w:rsid w:val="004A3460"/>
    <w:rsid w:val="00757111"/>
    <w:rsid w:val="008F0EA4"/>
    <w:rsid w:val="00A047A0"/>
    <w:rsid w:val="00B04D39"/>
    <w:rsid w:val="00B715B2"/>
    <w:rsid w:val="00E15A40"/>
    <w:rsid w:val="00E35AFF"/>
    <w:rsid w:val="00E66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643F"/>
  <w15:chartTrackingRefBased/>
  <w15:docId w15:val="{477D71E5-2A33-4A4E-8E0D-94F04928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FF"/>
    <w:pPr>
      <w:widowControl w:val="0"/>
      <w:autoSpaceDE w:val="0"/>
      <w:autoSpaceDN w:val="0"/>
      <w:spacing w:after="0" w:line="240" w:lineRule="auto"/>
    </w:pPr>
    <w:rPr>
      <w:rFonts w:ascii="Calibri" w:eastAsia="Calibri" w:hAnsi="Calibri" w:cs="Calibri"/>
      <w:kern w:val="0"/>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5AFF"/>
  </w:style>
  <w:style w:type="paragraph" w:styleId="TOC1">
    <w:name w:val="toc 1"/>
    <w:basedOn w:val="Normal"/>
    <w:uiPriority w:val="1"/>
    <w:qFormat/>
    <w:rsid w:val="00E35AFF"/>
    <w:pPr>
      <w:spacing w:before="144"/>
      <w:ind w:left="559" w:hanging="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Young</dc:creator>
  <cp:keywords/>
  <dc:description/>
  <cp:lastModifiedBy>Steven Young</cp:lastModifiedBy>
  <cp:revision>2</cp:revision>
  <dcterms:created xsi:type="dcterms:W3CDTF">2023-08-09T14:08:00Z</dcterms:created>
  <dcterms:modified xsi:type="dcterms:W3CDTF">2023-08-09T19:42:00Z</dcterms:modified>
</cp:coreProperties>
</file>