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61077" w14:textId="77777777" w:rsidR="00B60727" w:rsidRPr="00AA426D" w:rsidRDefault="00B60727" w:rsidP="00AA426D">
      <w:pPr>
        <w:spacing w:line="276" w:lineRule="auto"/>
        <w:rPr>
          <w:rFonts w:ascii="Arial" w:hAnsi="Arial" w:cs="Arial"/>
          <w:sz w:val="22"/>
          <w:szCs w:val="22"/>
        </w:rPr>
      </w:pPr>
    </w:p>
    <w:p w14:paraId="0A4071F0" w14:textId="77777777" w:rsidR="00592CE4" w:rsidRPr="00AA426D" w:rsidRDefault="00592CE4" w:rsidP="00AA426D">
      <w:pPr>
        <w:spacing w:line="276" w:lineRule="auto"/>
        <w:rPr>
          <w:rFonts w:ascii="Arial" w:hAnsi="Arial" w:cs="Arial"/>
          <w:sz w:val="22"/>
          <w:szCs w:val="22"/>
        </w:rPr>
      </w:pPr>
    </w:p>
    <w:p w14:paraId="6FCAC42C" w14:textId="77777777" w:rsidR="00592CE4" w:rsidRPr="00AA426D" w:rsidRDefault="00592CE4" w:rsidP="00AA426D">
      <w:pPr>
        <w:rPr>
          <w:rFonts w:ascii="Arial" w:hAnsi="Arial" w:cs="Arial"/>
          <w:b/>
          <w:bCs/>
          <w:sz w:val="22"/>
          <w:szCs w:val="22"/>
        </w:rPr>
      </w:pPr>
    </w:p>
    <w:p w14:paraId="22103A0B" w14:textId="1B1EB675" w:rsidR="003F65E5" w:rsidRDefault="003F65E5" w:rsidP="003F65E5">
      <w:pPr>
        <w:jc w:val="right"/>
        <w:rPr>
          <w:rFonts w:ascii="Arial" w:hAnsi="Arial" w:cs="Arial"/>
          <w:b/>
          <w:bCs/>
          <w:sz w:val="22"/>
          <w:szCs w:val="22"/>
        </w:rPr>
      </w:pPr>
      <w:r>
        <w:rPr>
          <w:rFonts w:ascii="Arial" w:hAnsi="Arial" w:cs="Arial"/>
          <w:b/>
          <w:bCs/>
          <w:sz w:val="22"/>
          <w:szCs w:val="22"/>
        </w:rPr>
        <w:t>November 29, 2023</w:t>
      </w:r>
    </w:p>
    <w:p w14:paraId="5336D324" w14:textId="141C7063" w:rsidR="003757D3" w:rsidRPr="00AA426D" w:rsidRDefault="008968C0" w:rsidP="00AA426D">
      <w:pPr>
        <w:rPr>
          <w:rFonts w:ascii="Arial" w:hAnsi="Arial" w:cs="Arial"/>
          <w:sz w:val="22"/>
          <w:szCs w:val="22"/>
        </w:rPr>
      </w:pPr>
      <w:r w:rsidRPr="00AA426D">
        <w:rPr>
          <w:rFonts w:ascii="Arial" w:hAnsi="Arial" w:cs="Arial"/>
          <w:b/>
          <w:bCs/>
          <w:sz w:val="22"/>
          <w:szCs w:val="22"/>
        </w:rPr>
        <w:t>To:</w:t>
      </w:r>
      <w:r w:rsidRPr="00AA426D">
        <w:rPr>
          <w:rFonts w:ascii="Arial" w:hAnsi="Arial" w:cs="Arial"/>
          <w:sz w:val="22"/>
          <w:szCs w:val="22"/>
        </w:rPr>
        <w:t xml:space="preserve"> </w:t>
      </w:r>
      <w:r w:rsidR="003757D3" w:rsidRPr="00AA426D">
        <w:rPr>
          <w:rFonts w:ascii="Arial" w:eastAsia="Times New Roman" w:hAnsi="Arial" w:cs="Arial"/>
          <w:sz w:val="22"/>
          <w:szCs w:val="22"/>
          <w:lang w:val="en-US"/>
        </w:rPr>
        <w:t xml:space="preserve">Reema </w:t>
      </w:r>
      <w:proofErr w:type="spellStart"/>
      <w:r w:rsidR="003757D3" w:rsidRPr="00AA426D">
        <w:rPr>
          <w:rFonts w:ascii="Arial" w:eastAsia="Times New Roman" w:hAnsi="Arial" w:cs="Arial"/>
          <w:sz w:val="22"/>
          <w:szCs w:val="22"/>
          <w:lang w:val="en-US"/>
        </w:rPr>
        <w:t>Kureishy</w:t>
      </w:r>
      <w:proofErr w:type="spellEnd"/>
    </w:p>
    <w:p w14:paraId="794EF426" w14:textId="77777777" w:rsidR="003757D3" w:rsidRPr="00AA426D" w:rsidRDefault="003757D3" w:rsidP="00AA426D">
      <w:pPr>
        <w:shd w:val="clear" w:color="auto" w:fill="FFFFFF"/>
        <w:rPr>
          <w:rFonts w:ascii="Arial" w:eastAsia="Times New Roman" w:hAnsi="Arial" w:cs="Arial"/>
          <w:sz w:val="22"/>
          <w:szCs w:val="22"/>
          <w:lang w:val="en-US"/>
        </w:rPr>
      </w:pPr>
      <w:r w:rsidRPr="00AA426D">
        <w:rPr>
          <w:rFonts w:ascii="Arial" w:eastAsia="Times New Roman" w:hAnsi="Arial" w:cs="Arial"/>
          <w:sz w:val="22"/>
          <w:szCs w:val="22"/>
          <w:lang w:val="en-US"/>
        </w:rPr>
        <w:t>Environmental Policy Branch</w:t>
      </w:r>
    </w:p>
    <w:p w14:paraId="64F96178" w14:textId="5123A7F1" w:rsidR="003757D3" w:rsidRPr="00AA426D" w:rsidRDefault="003757D3" w:rsidP="00AA426D">
      <w:pPr>
        <w:shd w:val="clear" w:color="auto" w:fill="FFFFFF"/>
        <w:spacing w:after="60"/>
        <w:rPr>
          <w:rFonts w:ascii="Arial" w:eastAsia="Times New Roman" w:hAnsi="Arial" w:cs="Arial"/>
          <w:sz w:val="22"/>
          <w:szCs w:val="22"/>
          <w:lang w:val="en-US"/>
        </w:rPr>
      </w:pPr>
      <w:r w:rsidRPr="00AA426D">
        <w:rPr>
          <w:rFonts w:ascii="Arial" w:eastAsia="Times New Roman" w:hAnsi="Arial" w:cs="Arial"/>
          <w:sz w:val="22"/>
          <w:szCs w:val="22"/>
          <w:lang w:val="en-US"/>
        </w:rPr>
        <w:t>40 St Clair Avenue West, 10th Floor</w:t>
      </w:r>
      <w:r w:rsidRPr="00AA426D">
        <w:rPr>
          <w:rFonts w:ascii="Arial" w:eastAsia="Times New Roman" w:hAnsi="Arial" w:cs="Arial"/>
          <w:sz w:val="22"/>
          <w:szCs w:val="22"/>
          <w:lang w:val="en-US"/>
        </w:rPr>
        <w:br/>
        <w:t>Toronto, ON</w:t>
      </w:r>
      <w:r w:rsidR="00AA426D">
        <w:rPr>
          <w:rFonts w:ascii="Arial" w:eastAsia="Times New Roman" w:hAnsi="Arial" w:cs="Arial"/>
          <w:sz w:val="22"/>
          <w:szCs w:val="22"/>
          <w:lang w:val="en-US"/>
        </w:rPr>
        <w:t xml:space="preserve">, </w:t>
      </w:r>
      <w:r w:rsidRPr="00AA426D">
        <w:rPr>
          <w:rFonts w:ascii="Arial" w:eastAsia="Times New Roman" w:hAnsi="Arial" w:cs="Arial"/>
          <w:sz w:val="22"/>
          <w:szCs w:val="22"/>
          <w:lang w:val="en-US"/>
        </w:rPr>
        <w:t>M4V 1M2</w:t>
      </w:r>
    </w:p>
    <w:p w14:paraId="5B1E9FF6" w14:textId="77777777" w:rsidR="008968C0" w:rsidRPr="00AA426D" w:rsidRDefault="008968C0" w:rsidP="00AA426D">
      <w:pPr>
        <w:rPr>
          <w:rFonts w:ascii="Arial" w:hAnsi="Arial" w:cs="Arial"/>
          <w:sz w:val="22"/>
          <w:szCs w:val="22"/>
        </w:rPr>
      </w:pPr>
    </w:p>
    <w:p w14:paraId="25B349CE" w14:textId="52057781" w:rsidR="008968C0" w:rsidRPr="008B5232" w:rsidRDefault="008968C0" w:rsidP="00AA426D">
      <w:pPr>
        <w:rPr>
          <w:rFonts w:ascii="Arial" w:hAnsi="Arial" w:cs="Arial"/>
          <w:i/>
          <w:iCs/>
          <w:sz w:val="22"/>
          <w:szCs w:val="22"/>
        </w:rPr>
      </w:pPr>
      <w:r w:rsidRPr="008B5232">
        <w:rPr>
          <w:rFonts w:ascii="Arial" w:hAnsi="Arial" w:cs="Arial"/>
          <w:i/>
          <w:iCs/>
          <w:sz w:val="22"/>
          <w:szCs w:val="22"/>
        </w:rPr>
        <w:t>Sent via email:</w:t>
      </w:r>
    </w:p>
    <w:p w14:paraId="434D32CE" w14:textId="1AE49843" w:rsidR="003757D3" w:rsidRPr="00AA426D" w:rsidRDefault="00000000" w:rsidP="00AA426D">
      <w:pPr>
        <w:rPr>
          <w:rFonts w:ascii="Arial" w:hAnsi="Arial" w:cs="Arial"/>
          <w:sz w:val="22"/>
          <w:szCs w:val="22"/>
        </w:rPr>
      </w:pPr>
      <w:hyperlink r:id="rId7" w:history="1">
        <w:r w:rsidR="003757D3" w:rsidRPr="00AA426D">
          <w:rPr>
            <w:rStyle w:val="Hyperlink"/>
            <w:rFonts w:ascii="Arial" w:hAnsi="Arial" w:cs="Arial"/>
            <w:color w:val="0058AF"/>
            <w:sz w:val="22"/>
            <w:szCs w:val="22"/>
            <w:shd w:val="clear" w:color="auto" w:fill="FFFFFF"/>
          </w:rPr>
          <w:t>mecp.landpolicy@ontario.ca</w:t>
        </w:r>
      </w:hyperlink>
    </w:p>
    <w:p w14:paraId="1156BA9F" w14:textId="77777777" w:rsidR="008968C0" w:rsidRPr="00AA426D" w:rsidRDefault="008968C0" w:rsidP="00AA426D">
      <w:pPr>
        <w:rPr>
          <w:rFonts w:ascii="Arial" w:hAnsi="Arial" w:cs="Arial"/>
          <w:sz w:val="22"/>
          <w:szCs w:val="22"/>
        </w:rPr>
      </w:pPr>
    </w:p>
    <w:p w14:paraId="513043E7" w14:textId="4D239732" w:rsidR="008968C0" w:rsidRPr="00AA426D" w:rsidRDefault="008968C0" w:rsidP="00AA426D">
      <w:pPr>
        <w:rPr>
          <w:rFonts w:ascii="Arial" w:hAnsi="Arial" w:cs="Arial"/>
          <w:b/>
          <w:bCs/>
          <w:i/>
          <w:iCs/>
          <w:sz w:val="22"/>
          <w:szCs w:val="22"/>
        </w:rPr>
      </w:pPr>
      <w:r w:rsidRPr="00AA426D">
        <w:rPr>
          <w:rFonts w:ascii="Arial" w:hAnsi="Arial" w:cs="Arial"/>
          <w:b/>
          <w:bCs/>
          <w:i/>
          <w:iCs/>
          <w:sz w:val="22"/>
          <w:szCs w:val="22"/>
        </w:rPr>
        <w:t xml:space="preserve">ERO Number: </w:t>
      </w:r>
      <w:r w:rsidR="003757D3" w:rsidRPr="00AA426D">
        <w:rPr>
          <w:rFonts w:ascii="Arial" w:hAnsi="Arial" w:cs="Arial"/>
          <w:b/>
          <w:bCs/>
          <w:i/>
          <w:iCs/>
          <w:sz w:val="22"/>
          <w:szCs w:val="22"/>
        </w:rPr>
        <w:t>019-7636</w:t>
      </w:r>
    </w:p>
    <w:p w14:paraId="3FD53702" w14:textId="1FEA2838" w:rsidR="008968C0" w:rsidRPr="00AA426D" w:rsidRDefault="003757D3" w:rsidP="00AA426D">
      <w:pPr>
        <w:rPr>
          <w:rFonts w:ascii="Arial" w:hAnsi="Arial" w:cs="Arial"/>
          <w:b/>
          <w:bCs/>
          <w:i/>
          <w:iCs/>
          <w:sz w:val="22"/>
          <w:szCs w:val="22"/>
        </w:rPr>
      </w:pPr>
      <w:r w:rsidRPr="00AA426D">
        <w:rPr>
          <w:rFonts w:ascii="Arial" w:hAnsi="Arial" w:cs="Arial"/>
          <w:noProof/>
          <w:sz w:val="22"/>
          <w:szCs w:val="22"/>
        </w:rPr>
        <mc:AlternateContent>
          <mc:Choice Requires="wps">
            <w:drawing>
              <wp:anchor distT="0" distB="0" distL="0" distR="0" simplePos="0" relativeHeight="251659264" behindDoc="1" locked="0" layoutInCell="1" allowOverlap="1" wp14:anchorId="02E8011F" wp14:editId="3F9A97C6">
                <wp:simplePos x="0" y="0"/>
                <wp:positionH relativeFrom="page">
                  <wp:posOffset>687705</wp:posOffset>
                </wp:positionH>
                <wp:positionV relativeFrom="paragraph">
                  <wp:posOffset>269856</wp:posOffset>
                </wp:positionV>
                <wp:extent cx="6409690" cy="45085"/>
                <wp:effectExtent l="0" t="0" r="3810" b="5715"/>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9690" cy="45085"/>
                        </a:xfrm>
                        <a:custGeom>
                          <a:avLst/>
                          <a:gdLst/>
                          <a:ahLst/>
                          <a:cxnLst/>
                          <a:rect l="l" t="t" r="r" b="b"/>
                          <a:pathLst>
                            <a:path w="6437630" h="30480">
                              <a:moveTo>
                                <a:pt x="6437376" y="24384"/>
                              </a:moveTo>
                              <a:lnTo>
                                <a:pt x="0" y="24384"/>
                              </a:lnTo>
                              <a:lnTo>
                                <a:pt x="0" y="30480"/>
                              </a:lnTo>
                              <a:lnTo>
                                <a:pt x="6437376" y="30480"/>
                              </a:lnTo>
                              <a:lnTo>
                                <a:pt x="6437376" y="24384"/>
                              </a:lnTo>
                              <a:close/>
                            </a:path>
                            <a:path w="6437630" h="30480">
                              <a:moveTo>
                                <a:pt x="6437376" y="12192"/>
                              </a:moveTo>
                              <a:lnTo>
                                <a:pt x="0" y="12192"/>
                              </a:lnTo>
                              <a:lnTo>
                                <a:pt x="0" y="18288"/>
                              </a:lnTo>
                              <a:lnTo>
                                <a:pt x="6437376" y="18288"/>
                              </a:lnTo>
                              <a:lnTo>
                                <a:pt x="6437376" y="12192"/>
                              </a:lnTo>
                              <a:close/>
                            </a:path>
                            <a:path w="6437630" h="30480">
                              <a:moveTo>
                                <a:pt x="6437376" y="0"/>
                              </a:moveTo>
                              <a:lnTo>
                                <a:pt x="0" y="0"/>
                              </a:lnTo>
                              <a:lnTo>
                                <a:pt x="0" y="6096"/>
                              </a:lnTo>
                              <a:lnTo>
                                <a:pt x="6437376" y="6096"/>
                              </a:lnTo>
                              <a:lnTo>
                                <a:pt x="6437376"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9B882" id="Graphic 2" o:spid="_x0000_s1026" style="position:absolute;margin-left:54.15pt;margin-top:21.25pt;width:504.7pt;height:3.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437630,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" path="m6437376,24384l,24384r,6096l6437376,30480r,-6096xem6437376,12192l,12192r,6096l6437376,18288r,-6096xem6437376,l,,,6096r6437376,l6437376,xe" fillcolor="black" stroked="f">
                <v:path arrowok="t"/>
                <w10:wrap type="topAndBottom" anchorx="page"/>
              </v:shape>
            </w:pict>
          </mc:Fallback>
        </mc:AlternateContent>
      </w:r>
      <w:r w:rsidR="008968C0" w:rsidRPr="00AA426D">
        <w:rPr>
          <w:rFonts w:ascii="Arial" w:hAnsi="Arial" w:cs="Arial"/>
          <w:b/>
          <w:bCs/>
          <w:i/>
          <w:iCs/>
          <w:sz w:val="22"/>
          <w:szCs w:val="22"/>
        </w:rPr>
        <w:t xml:space="preserve">RE: </w:t>
      </w:r>
      <w:r w:rsidRPr="00AA426D">
        <w:rPr>
          <w:rFonts w:ascii="Arial" w:hAnsi="Arial" w:cs="Arial"/>
          <w:b/>
          <w:bCs/>
          <w:i/>
          <w:iCs/>
          <w:sz w:val="22"/>
          <w:szCs w:val="22"/>
        </w:rPr>
        <w:t xml:space="preserve">Proposed </w:t>
      </w:r>
      <w:r w:rsidR="003F65E5">
        <w:rPr>
          <w:rFonts w:ascii="Arial" w:hAnsi="Arial" w:cs="Arial"/>
          <w:b/>
          <w:bCs/>
          <w:i/>
          <w:iCs/>
          <w:sz w:val="22"/>
          <w:szCs w:val="22"/>
        </w:rPr>
        <w:t>R</w:t>
      </w:r>
      <w:r w:rsidRPr="00AA426D">
        <w:rPr>
          <w:rFonts w:ascii="Arial" w:hAnsi="Arial" w:cs="Arial"/>
          <w:b/>
          <w:bCs/>
          <w:i/>
          <w:iCs/>
          <w:sz w:val="22"/>
          <w:szCs w:val="22"/>
        </w:rPr>
        <w:t xml:space="preserve">egulatory </w:t>
      </w:r>
      <w:r w:rsidR="003F65E5">
        <w:rPr>
          <w:rFonts w:ascii="Arial" w:hAnsi="Arial" w:cs="Arial"/>
          <w:b/>
          <w:bCs/>
          <w:i/>
          <w:iCs/>
          <w:sz w:val="22"/>
          <w:szCs w:val="22"/>
        </w:rPr>
        <w:t>Am</w:t>
      </w:r>
      <w:r w:rsidRPr="00AA426D">
        <w:rPr>
          <w:rFonts w:ascii="Arial" w:hAnsi="Arial" w:cs="Arial"/>
          <w:b/>
          <w:bCs/>
          <w:i/>
          <w:iCs/>
          <w:sz w:val="22"/>
          <w:szCs w:val="22"/>
        </w:rPr>
        <w:t>endments to encourage greater reuse of excess soil</w:t>
      </w:r>
    </w:p>
    <w:p w14:paraId="59FBFFAF" w14:textId="48643951" w:rsidR="00245327" w:rsidRPr="00AA426D" w:rsidRDefault="00245327" w:rsidP="00AA426D">
      <w:pPr>
        <w:spacing w:line="276" w:lineRule="auto"/>
        <w:rPr>
          <w:rFonts w:ascii="Arial" w:hAnsi="Arial" w:cs="Arial"/>
          <w:sz w:val="22"/>
          <w:szCs w:val="22"/>
        </w:rPr>
      </w:pPr>
    </w:p>
    <w:p w14:paraId="06C252E5" w14:textId="041E79B2" w:rsidR="00E84797" w:rsidRPr="00AA426D" w:rsidRDefault="00E84797" w:rsidP="00AA426D">
      <w:pPr>
        <w:pStyle w:val="BodyText"/>
        <w:spacing w:line="276" w:lineRule="auto"/>
        <w:rPr>
          <w:b/>
          <w:bCs/>
        </w:rPr>
      </w:pPr>
      <w:r w:rsidRPr="00AA426D">
        <w:rPr>
          <w:b/>
          <w:bCs/>
        </w:rPr>
        <w:t>The</w:t>
      </w:r>
      <w:r w:rsidRPr="00AA426D">
        <w:rPr>
          <w:b/>
          <w:bCs/>
          <w:spacing w:val="-8"/>
        </w:rPr>
        <w:t xml:space="preserve"> </w:t>
      </w:r>
      <w:r w:rsidR="0000603F">
        <w:rPr>
          <w:b/>
          <w:bCs/>
        </w:rPr>
        <w:t>Niagara</w:t>
      </w:r>
      <w:r w:rsidRPr="00AA426D">
        <w:rPr>
          <w:b/>
          <w:bCs/>
          <w:spacing w:val="-6"/>
        </w:rPr>
        <w:t xml:space="preserve"> </w:t>
      </w:r>
      <w:r w:rsidRPr="00AA426D">
        <w:rPr>
          <w:b/>
          <w:bCs/>
        </w:rPr>
        <w:t>Home</w:t>
      </w:r>
      <w:r w:rsidRPr="00AA426D">
        <w:rPr>
          <w:b/>
          <w:bCs/>
          <w:spacing w:val="-6"/>
        </w:rPr>
        <w:t xml:space="preserve"> </w:t>
      </w:r>
      <w:r w:rsidRPr="00AA426D">
        <w:rPr>
          <w:b/>
          <w:bCs/>
        </w:rPr>
        <w:t>Builders’</w:t>
      </w:r>
      <w:r w:rsidRPr="00AA426D">
        <w:rPr>
          <w:b/>
          <w:bCs/>
          <w:spacing w:val="-5"/>
        </w:rPr>
        <w:t xml:space="preserve"> </w:t>
      </w:r>
      <w:r w:rsidRPr="00AA426D">
        <w:rPr>
          <w:b/>
          <w:bCs/>
          <w:spacing w:val="-2"/>
        </w:rPr>
        <w:t>Association</w:t>
      </w:r>
    </w:p>
    <w:p w14:paraId="5964AFAD" w14:textId="77777777" w:rsidR="003F65E5" w:rsidRDefault="003F65E5" w:rsidP="00AA426D">
      <w:pPr>
        <w:pStyle w:val="BodyText"/>
        <w:spacing w:line="276" w:lineRule="auto"/>
      </w:pPr>
    </w:p>
    <w:p w14:paraId="67F2E0CC" w14:textId="124D0FB3" w:rsidR="00E84797" w:rsidRPr="00AA426D" w:rsidRDefault="00E84797" w:rsidP="00AA426D">
      <w:pPr>
        <w:pStyle w:val="BodyText"/>
        <w:spacing w:line="276" w:lineRule="auto"/>
      </w:pPr>
      <w:r w:rsidRPr="00AA426D">
        <w:t xml:space="preserve">The </w:t>
      </w:r>
      <w:r w:rsidR="0000603F">
        <w:t>Niagara</w:t>
      </w:r>
      <w:r w:rsidRPr="00AA426D">
        <w:t xml:space="preserve"> Home Builders’ Association (</w:t>
      </w:r>
      <w:r w:rsidR="0000603F">
        <w:t>N</w:t>
      </w:r>
      <w:r w:rsidRPr="00AA426D">
        <w:t xml:space="preserve">HBA) is the voice of the residential construction industry in </w:t>
      </w:r>
      <w:r w:rsidR="0000603F">
        <w:t>Niagara</w:t>
      </w:r>
      <w:r w:rsidRPr="00AA426D">
        <w:t xml:space="preserve">, representing </w:t>
      </w:r>
      <w:r w:rsidR="0000603F">
        <w:t>150 along with the additional 4000</w:t>
      </w:r>
      <w:r w:rsidRPr="00AA426D">
        <w:t xml:space="preserve"> member companies</w:t>
      </w:r>
      <w:r w:rsidR="0000603F">
        <w:t xml:space="preserve"> within The Ontario Home Builders Association that is</w:t>
      </w:r>
      <w:r w:rsidRPr="00AA426D">
        <w:t xml:space="preserve"> organized into 27 local associations across the province. Members include builders, developers, professional renovators, trade contractors, suppliers and manufacturers serving the</w:t>
      </w:r>
      <w:r w:rsidRPr="00AA426D">
        <w:rPr>
          <w:spacing w:val="-1"/>
        </w:rPr>
        <w:t xml:space="preserve"> </w:t>
      </w:r>
      <w:r w:rsidRPr="00AA426D">
        <w:t>residential</w:t>
      </w:r>
      <w:r w:rsidRPr="00AA426D">
        <w:rPr>
          <w:spacing w:val="-1"/>
        </w:rPr>
        <w:t xml:space="preserve"> </w:t>
      </w:r>
      <w:r w:rsidRPr="00AA426D">
        <w:t>construction</w:t>
      </w:r>
      <w:r w:rsidRPr="00AA426D">
        <w:rPr>
          <w:spacing w:val="-1"/>
        </w:rPr>
        <w:t xml:space="preserve"> </w:t>
      </w:r>
      <w:r w:rsidRPr="00AA426D">
        <w:t>industry.</w:t>
      </w:r>
      <w:r w:rsidRPr="00AA426D">
        <w:rPr>
          <w:spacing w:val="-2"/>
        </w:rPr>
        <w:t xml:space="preserve"> </w:t>
      </w:r>
      <w:r w:rsidRPr="00AA426D">
        <w:t>The</w:t>
      </w:r>
      <w:r w:rsidRPr="00AA426D">
        <w:rPr>
          <w:spacing w:val="-1"/>
        </w:rPr>
        <w:t xml:space="preserve"> </w:t>
      </w:r>
      <w:r w:rsidRPr="00AA426D">
        <w:t>residential</w:t>
      </w:r>
      <w:r w:rsidRPr="00AA426D">
        <w:rPr>
          <w:spacing w:val="-1"/>
        </w:rPr>
        <w:t xml:space="preserve"> </w:t>
      </w:r>
      <w:r w:rsidRPr="00AA426D">
        <w:t>construction</w:t>
      </w:r>
      <w:r w:rsidRPr="00AA426D">
        <w:rPr>
          <w:spacing w:val="-1"/>
        </w:rPr>
        <w:t xml:space="preserve"> </w:t>
      </w:r>
      <w:r w:rsidRPr="00AA426D">
        <w:t>industry</w:t>
      </w:r>
      <w:r w:rsidRPr="00AA426D">
        <w:rPr>
          <w:spacing w:val="-1"/>
        </w:rPr>
        <w:t xml:space="preserve"> </w:t>
      </w:r>
      <w:r w:rsidRPr="00AA426D">
        <w:t>employed</w:t>
      </w:r>
      <w:r w:rsidRPr="00AA426D">
        <w:rPr>
          <w:spacing w:val="-1"/>
        </w:rPr>
        <w:t xml:space="preserve"> </w:t>
      </w:r>
      <w:r w:rsidRPr="00AA426D">
        <w:t>over 550,000</w:t>
      </w:r>
      <w:r w:rsidRPr="00AA426D">
        <w:rPr>
          <w:spacing w:val="-3"/>
        </w:rPr>
        <w:t xml:space="preserve"> </w:t>
      </w:r>
      <w:r w:rsidRPr="00AA426D">
        <w:t>workers,</w:t>
      </w:r>
      <w:r w:rsidRPr="00AA426D">
        <w:rPr>
          <w:spacing w:val="-3"/>
        </w:rPr>
        <w:t xml:space="preserve"> </w:t>
      </w:r>
      <w:r w:rsidRPr="00AA426D">
        <w:t>paying</w:t>
      </w:r>
      <w:r w:rsidRPr="00AA426D">
        <w:rPr>
          <w:spacing w:val="-3"/>
        </w:rPr>
        <w:t xml:space="preserve"> </w:t>
      </w:r>
      <w:r w:rsidRPr="00AA426D">
        <w:t>$38.8</w:t>
      </w:r>
      <w:r w:rsidRPr="00AA426D">
        <w:rPr>
          <w:spacing w:val="-3"/>
        </w:rPr>
        <w:t xml:space="preserve"> </w:t>
      </w:r>
      <w:r w:rsidRPr="00AA426D">
        <w:t>billion</w:t>
      </w:r>
      <w:r w:rsidRPr="00AA426D">
        <w:rPr>
          <w:spacing w:val="-3"/>
        </w:rPr>
        <w:t xml:space="preserve"> </w:t>
      </w:r>
      <w:r w:rsidRPr="00AA426D">
        <w:t>in</w:t>
      </w:r>
      <w:r w:rsidRPr="00AA426D">
        <w:rPr>
          <w:spacing w:val="-3"/>
        </w:rPr>
        <w:t xml:space="preserve"> </w:t>
      </w:r>
      <w:r w:rsidRPr="00AA426D">
        <w:t>wages,</w:t>
      </w:r>
      <w:r w:rsidRPr="00AA426D">
        <w:rPr>
          <w:spacing w:val="-3"/>
        </w:rPr>
        <w:t xml:space="preserve"> </w:t>
      </w:r>
      <w:r w:rsidRPr="00AA426D">
        <w:t>and</w:t>
      </w:r>
      <w:r w:rsidRPr="00AA426D">
        <w:rPr>
          <w:spacing w:val="-3"/>
        </w:rPr>
        <w:t xml:space="preserve"> </w:t>
      </w:r>
      <w:r w:rsidRPr="00AA426D">
        <w:t>contributing</w:t>
      </w:r>
      <w:r w:rsidRPr="00AA426D">
        <w:rPr>
          <w:spacing w:val="-3"/>
        </w:rPr>
        <w:t xml:space="preserve"> </w:t>
      </w:r>
      <w:r w:rsidRPr="00AA426D">
        <w:t>over</w:t>
      </w:r>
      <w:r w:rsidRPr="00AA426D">
        <w:rPr>
          <w:spacing w:val="-3"/>
        </w:rPr>
        <w:t xml:space="preserve"> </w:t>
      </w:r>
      <w:r w:rsidRPr="00AA426D">
        <w:t>$80</w:t>
      </w:r>
      <w:r w:rsidRPr="00AA426D">
        <w:rPr>
          <w:spacing w:val="-3"/>
        </w:rPr>
        <w:t xml:space="preserve"> </w:t>
      </w:r>
      <w:r w:rsidRPr="00AA426D">
        <w:t>billion</w:t>
      </w:r>
      <w:r w:rsidRPr="00AA426D">
        <w:rPr>
          <w:spacing w:val="-3"/>
        </w:rPr>
        <w:t xml:space="preserve"> </w:t>
      </w:r>
      <w:r w:rsidRPr="00AA426D">
        <w:t>in</w:t>
      </w:r>
      <w:r w:rsidRPr="00AA426D">
        <w:rPr>
          <w:spacing w:val="-3"/>
        </w:rPr>
        <w:t xml:space="preserve"> </w:t>
      </w:r>
      <w:r w:rsidRPr="00AA426D">
        <w:t>investment</w:t>
      </w:r>
      <w:r w:rsidRPr="00AA426D">
        <w:rPr>
          <w:spacing w:val="-3"/>
        </w:rPr>
        <w:t xml:space="preserve"> </w:t>
      </w:r>
      <w:r w:rsidRPr="00AA426D">
        <w:t>value</w:t>
      </w:r>
      <w:r w:rsidRPr="00AA426D">
        <w:rPr>
          <w:spacing w:val="-3"/>
        </w:rPr>
        <w:t xml:space="preserve"> </w:t>
      </w:r>
      <w:r w:rsidRPr="00AA426D">
        <w:t xml:space="preserve">to Ontario’s economy in 2022. Our members have the vital responsibility to build the housing supply that current Ontario residents are counting on at all stages of their lives and be the voice of future home buyers who want to call our province home. </w:t>
      </w:r>
    </w:p>
    <w:p w14:paraId="6BA6E87E" w14:textId="77777777" w:rsidR="00E84797" w:rsidRPr="00AA426D" w:rsidRDefault="00E84797" w:rsidP="00AA426D">
      <w:pPr>
        <w:pStyle w:val="BodyText"/>
        <w:spacing w:line="276" w:lineRule="auto"/>
      </w:pPr>
    </w:p>
    <w:p w14:paraId="7D3229AC" w14:textId="078CEED9" w:rsidR="00E84797" w:rsidRPr="00AA426D" w:rsidRDefault="00E84797" w:rsidP="00AA426D">
      <w:pPr>
        <w:pStyle w:val="BodyText"/>
        <w:spacing w:line="276" w:lineRule="auto"/>
      </w:pPr>
      <w:r w:rsidRPr="00AA426D">
        <w:t>The</w:t>
      </w:r>
      <w:r w:rsidR="0000603F">
        <w:t xml:space="preserve"> NHBA and</w:t>
      </w:r>
      <w:r w:rsidRPr="00AA426D">
        <w:t xml:space="preserve"> OHBA’s response regarding this consultation is developed through input from members and chapters across Ontario.</w:t>
      </w:r>
    </w:p>
    <w:p w14:paraId="3C4C837E" w14:textId="77777777" w:rsidR="00245327" w:rsidRPr="00AA426D" w:rsidRDefault="00245327" w:rsidP="00AA426D">
      <w:pPr>
        <w:spacing w:line="276" w:lineRule="auto"/>
        <w:rPr>
          <w:rFonts w:ascii="Arial" w:hAnsi="Arial" w:cs="Arial"/>
          <w:sz w:val="22"/>
          <w:szCs w:val="22"/>
        </w:rPr>
      </w:pPr>
    </w:p>
    <w:p w14:paraId="0AB0E7C9" w14:textId="77777777" w:rsidR="00592CE4" w:rsidRPr="00AA426D" w:rsidRDefault="00592CE4" w:rsidP="00AA426D">
      <w:pPr>
        <w:autoSpaceDE w:val="0"/>
        <w:autoSpaceDN w:val="0"/>
        <w:adjustRightInd w:val="0"/>
        <w:spacing w:line="276" w:lineRule="auto"/>
        <w:rPr>
          <w:rFonts w:ascii="Arial" w:hAnsi="Arial" w:cs="Arial"/>
          <w:b/>
          <w:bCs/>
          <w:sz w:val="22"/>
          <w:szCs w:val="22"/>
        </w:rPr>
      </w:pPr>
      <w:r w:rsidRPr="00AA426D">
        <w:rPr>
          <w:rFonts w:ascii="Arial" w:hAnsi="Arial" w:cs="Arial"/>
          <w:b/>
          <w:bCs/>
          <w:sz w:val="22"/>
          <w:szCs w:val="22"/>
        </w:rPr>
        <w:t>Environmental Registry Background</w:t>
      </w:r>
    </w:p>
    <w:p w14:paraId="3FB8B3FB" w14:textId="77777777" w:rsidR="00592CE4" w:rsidRPr="00AA426D" w:rsidRDefault="00592CE4" w:rsidP="00AA426D">
      <w:pPr>
        <w:autoSpaceDE w:val="0"/>
        <w:autoSpaceDN w:val="0"/>
        <w:adjustRightInd w:val="0"/>
        <w:spacing w:line="276" w:lineRule="auto"/>
        <w:rPr>
          <w:rFonts w:ascii="Arial" w:hAnsi="Arial" w:cs="Arial"/>
          <w:sz w:val="22"/>
          <w:szCs w:val="22"/>
        </w:rPr>
      </w:pPr>
      <w:r w:rsidRPr="00AA426D">
        <w:rPr>
          <w:rFonts w:ascii="Arial" w:hAnsi="Arial" w:cs="Arial"/>
          <w:noProof/>
          <w:sz w:val="22"/>
          <w:szCs w:val="22"/>
        </w:rPr>
        <mc:AlternateContent>
          <mc:Choice Requires="wps">
            <w:drawing>
              <wp:anchor distT="0" distB="0" distL="114300" distR="114300" simplePos="0" relativeHeight="251661312" behindDoc="0" locked="0" layoutInCell="1" allowOverlap="1" wp14:anchorId="27237676" wp14:editId="79FA5E52">
                <wp:simplePos x="0" y="0"/>
                <wp:positionH relativeFrom="column">
                  <wp:posOffset>1905</wp:posOffset>
                </wp:positionH>
                <wp:positionV relativeFrom="paragraph">
                  <wp:posOffset>33655</wp:posOffset>
                </wp:positionV>
                <wp:extent cx="6429828" cy="832919"/>
                <wp:effectExtent l="0" t="0" r="9525" b="18415"/>
                <wp:wrapNone/>
                <wp:docPr id="1914794739" name="Text Box 2"/>
                <wp:cNvGraphicFramePr/>
                <a:graphic xmlns:a="http://schemas.openxmlformats.org/drawingml/2006/main">
                  <a:graphicData uri="http://schemas.microsoft.com/office/word/2010/wordprocessingShape">
                    <wps:wsp>
                      <wps:cNvSpPr txBox="1"/>
                      <wps:spPr>
                        <a:xfrm>
                          <a:off x="0" y="0"/>
                          <a:ext cx="6429828" cy="832919"/>
                        </a:xfrm>
                        <a:prstGeom prst="rect">
                          <a:avLst/>
                        </a:prstGeom>
                        <a:noFill/>
                        <a:ln w="6350">
                          <a:solidFill>
                            <a:prstClr val="black"/>
                          </a:solidFill>
                        </a:ln>
                      </wps:spPr>
                      <wps:txbx>
                        <w:txbxContent>
                          <w:p w14:paraId="5E685096" w14:textId="79628EBE" w:rsidR="00592CE4" w:rsidRPr="003F65E5" w:rsidRDefault="00592CE4" w:rsidP="00592CE4">
                            <w:pPr>
                              <w:spacing w:line="276" w:lineRule="auto"/>
                              <w:rPr>
                                <w:rFonts w:ascii="Arial" w:hAnsi="Arial" w:cs="Arial"/>
                                <w:i/>
                                <w:iCs/>
                                <w:sz w:val="22"/>
                                <w:szCs w:val="22"/>
                              </w:rPr>
                            </w:pPr>
                            <w:r w:rsidRPr="003F65E5">
                              <w:rPr>
                                <w:rFonts w:ascii="Arial" w:hAnsi="Arial" w:cs="Arial"/>
                                <w:i/>
                                <w:iCs/>
                                <w:kern w:val="0"/>
                                <w:sz w:val="22"/>
                                <w:szCs w:val="22"/>
                                <w:lang w:val="en-US"/>
                              </w:rPr>
                              <w:t>The Ministry of the Environment, Conservation and Parks is proposing amendments to Ontario Regulation 406/19 (the excess soil regulation) and the Rules for Soil Management and Excess Soil Quality Standards to encourage greater reuse of low-risk excess soils as part of a circular economy and to prevent usable soil from being disposed of in landfill.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37676" id="_x0000_t202" coordsize="21600,21600" o:spt="202" path="m,l,21600r21600,l21600,xe">
                <v:stroke joinstyle="miter"/>
                <v:path gradientshapeok="t" o:connecttype="rect"/>
              </v:shapetype>
              <v:shape id="Text Box 2" o:spid="_x0000_s1026" type="#_x0000_t202" style="position:absolute;margin-left:.15pt;margin-top:2.65pt;width:506.3pt;height:6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" filled="f" strokeweight=".5pt">
                <v:textbox>
                  <w:txbxContent>
                    <w:p w14:paraId="5E685096" w14:textId="79628EBE" w:rsidR="00592CE4" w:rsidRPr="003F65E5" w:rsidRDefault="00592CE4" w:rsidP="00592CE4">
                      <w:pPr>
                        <w:spacing w:line="276" w:lineRule="auto"/>
                        <w:rPr>
                          <w:rFonts w:ascii="Arial" w:hAnsi="Arial" w:cs="Arial"/>
                          <w:i/>
                          <w:iCs/>
                          <w:sz w:val="22"/>
                          <w:szCs w:val="22"/>
                        </w:rPr>
                      </w:pPr>
                      <w:r w:rsidRPr="003F65E5">
                        <w:rPr>
                          <w:rFonts w:ascii="Arial" w:hAnsi="Arial" w:cs="Arial"/>
                          <w:i/>
                          <w:iCs/>
                          <w:kern w:val="0"/>
                          <w:sz w:val="22"/>
                          <w:szCs w:val="22"/>
                          <w:lang w:val="en-US"/>
                        </w:rPr>
                        <w:t>The Ministry of the Environment, Conservation and Parks is proposing amendments to Ontario Regulation 406/19 (the excess soil regulation) and the Rules for Soil Management and Excess Soil Quality Standards to encourage greater reuse of low-risk excess soils as part of a circular economy and to prevent usable soil from being disposed of in landfill.</w:t>
                      </w:r>
                    </w:p>
                  </w:txbxContent>
                </v:textbox>
              </v:shape>
            </w:pict>
          </mc:Fallback>
        </mc:AlternateContent>
      </w:r>
    </w:p>
    <w:p w14:paraId="2BDD733C" w14:textId="77777777" w:rsidR="00592CE4" w:rsidRPr="00AA426D" w:rsidRDefault="00592CE4" w:rsidP="00AA426D">
      <w:pPr>
        <w:autoSpaceDE w:val="0"/>
        <w:autoSpaceDN w:val="0"/>
        <w:adjustRightInd w:val="0"/>
        <w:spacing w:line="276" w:lineRule="auto"/>
        <w:rPr>
          <w:rFonts w:ascii="Arial" w:hAnsi="Arial" w:cs="Arial"/>
          <w:sz w:val="22"/>
          <w:szCs w:val="22"/>
        </w:rPr>
      </w:pPr>
    </w:p>
    <w:p w14:paraId="699A9079" w14:textId="77777777" w:rsidR="00592CE4" w:rsidRPr="00AA426D" w:rsidRDefault="00592CE4" w:rsidP="00AA426D">
      <w:pPr>
        <w:autoSpaceDE w:val="0"/>
        <w:autoSpaceDN w:val="0"/>
        <w:adjustRightInd w:val="0"/>
        <w:spacing w:line="276" w:lineRule="auto"/>
        <w:rPr>
          <w:rFonts w:ascii="Arial" w:hAnsi="Arial" w:cs="Arial"/>
          <w:sz w:val="22"/>
          <w:szCs w:val="22"/>
        </w:rPr>
      </w:pPr>
    </w:p>
    <w:p w14:paraId="69A55D54" w14:textId="77777777" w:rsidR="00592CE4" w:rsidRPr="00AA426D" w:rsidRDefault="00592CE4" w:rsidP="00AA426D">
      <w:pPr>
        <w:autoSpaceDE w:val="0"/>
        <w:autoSpaceDN w:val="0"/>
        <w:adjustRightInd w:val="0"/>
        <w:spacing w:line="276" w:lineRule="auto"/>
        <w:rPr>
          <w:rFonts w:ascii="Arial" w:hAnsi="Arial" w:cs="Arial"/>
          <w:sz w:val="22"/>
          <w:szCs w:val="22"/>
        </w:rPr>
      </w:pPr>
    </w:p>
    <w:p w14:paraId="07FA4486" w14:textId="77777777" w:rsidR="00592CE4" w:rsidRPr="00AA426D" w:rsidRDefault="00592CE4" w:rsidP="00AA426D">
      <w:pPr>
        <w:autoSpaceDE w:val="0"/>
        <w:autoSpaceDN w:val="0"/>
        <w:adjustRightInd w:val="0"/>
        <w:spacing w:line="276" w:lineRule="auto"/>
        <w:rPr>
          <w:rFonts w:ascii="Arial" w:hAnsi="Arial" w:cs="Arial"/>
          <w:sz w:val="22"/>
          <w:szCs w:val="22"/>
        </w:rPr>
      </w:pPr>
    </w:p>
    <w:p w14:paraId="3E6AB4DF" w14:textId="77777777" w:rsidR="00245327" w:rsidRPr="00AA426D" w:rsidRDefault="00245327" w:rsidP="00AA426D">
      <w:pPr>
        <w:spacing w:line="276" w:lineRule="auto"/>
        <w:rPr>
          <w:rFonts w:ascii="Arial" w:hAnsi="Arial" w:cs="Arial"/>
          <w:sz w:val="22"/>
          <w:szCs w:val="22"/>
        </w:rPr>
      </w:pPr>
    </w:p>
    <w:p w14:paraId="08E0B358" w14:textId="530C7B99" w:rsidR="00245327" w:rsidRPr="00AA426D" w:rsidRDefault="00592CE4" w:rsidP="00AA426D">
      <w:pPr>
        <w:spacing w:line="276" w:lineRule="auto"/>
        <w:rPr>
          <w:rFonts w:ascii="Arial" w:hAnsi="Arial" w:cs="Arial"/>
          <w:b/>
          <w:bCs/>
          <w:sz w:val="22"/>
          <w:szCs w:val="22"/>
        </w:rPr>
      </w:pPr>
      <w:r w:rsidRPr="00AA426D">
        <w:rPr>
          <w:rFonts w:ascii="Arial" w:hAnsi="Arial" w:cs="Arial"/>
          <w:b/>
          <w:bCs/>
          <w:sz w:val="22"/>
          <w:szCs w:val="22"/>
        </w:rPr>
        <w:t>Background</w:t>
      </w:r>
    </w:p>
    <w:p w14:paraId="32533DD6" w14:textId="77777777" w:rsidR="003F65E5" w:rsidRDefault="003F65E5" w:rsidP="00AA426D">
      <w:pPr>
        <w:autoSpaceDE w:val="0"/>
        <w:autoSpaceDN w:val="0"/>
        <w:adjustRightInd w:val="0"/>
        <w:spacing w:line="276" w:lineRule="auto"/>
        <w:rPr>
          <w:rFonts w:ascii="Arial" w:hAnsi="Arial" w:cs="Arial"/>
          <w:kern w:val="0"/>
          <w:sz w:val="22"/>
          <w:szCs w:val="22"/>
          <w:lang w:val="en-US"/>
        </w:rPr>
      </w:pPr>
    </w:p>
    <w:p w14:paraId="3F037010" w14:textId="7C10C939" w:rsidR="00592CE4" w:rsidRPr="00AA426D" w:rsidRDefault="0000603F" w:rsidP="00AA426D">
      <w:pPr>
        <w:autoSpaceDE w:val="0"/>
        <w:autoSpaceDN w:val="0"/>
        <w:adjustRightInd w:val="0"/>
        <w:spacing w:line="276" w:lineRule="auto"/>
        <w:rPr>
          <w:rFonts w:ascii="Arial" w:hAnsi="Arial" w:cs="Arial"/>
          <w:kern w:val="0"/>
          <w:sz w:val="22"/>
          <w:szCs w:val="22"/>
          <w:lang w:val="en-US"/>
        </w:rPr>
      </w:pPr>
      <w:r>
        <w:rPr>
          <w:rFonts w:ascii="Arial" w:hAnsi="Arial" w:cs="Arial"/>
          <w:kern w:val="0"/>
          <w:sz w:val="22"/>
          <w:szCs w:val="22"/>
          <w:lang w:val="en-US"/>
        </w:rPr>
        <w:t xml:space="preserve">The NHBA and </w:t>
      </w:r>
      <w:proofErr w:type="gramStart"/>
      <w:r w:rsidR="00592CE4" w:rsidRPr="00AA426D">
        <w:rPr>
          <w:rFonts w:ascii="Arial" w:hAnsi="Arial" w:cs="Arial"/>
          <w:kern w:val="0"/>
          <w:sz w:val="22"/>
          <w:szCs w:val="22"/>
          <w:lang w:val="en-US"/>
        </w:rPr>
        <w:t xml:space="preserve">OHBA </w:t>
      </w:r>
      <w:r>
        <w:rPr>
          <w:rFonts w:ascii="Arial" w:hAnsi="Arial" w:cs="Arial"/>
          <w:kern w:val="0"/>
          <w:sz w:val="22"/>
          <w:szCs w:val="22"/>
          <w:lang w:val="en-US"/>
        </w:rPr>
        <w:t xml:space="preserve"> are</w:t>
      </w:r>
      <w:proofErr w:type="gramEnd"/>
      <w:r w:rsidR="00592CE4" w:rsidRPr="00AA426D">
        <w:rPr>
          <w:rFonts w:ascii="Arial" w:hAnsi="Arial" w:cs="Arial"/>
          <w:kern w:val="0"/>
          <w:sz w:val="22"/>
          <w:szCs w:val="22"/>
          <w:lang w:val="en-US"/>
        </w:rPr>
        <w:t xml:space="preserve"> supportive of the Made-in-Ontario Environment Plan and the Housing Supply Action Plan. A key component of these plans is to modernize the excess soil management framework, promote the reuse of excess soils and to improve efficiencies within the RSC (Record of Site Condition) process. OHBA is also a member of the Excess Soils Engagement Group.</w:t>
      </w:r>
    </w:p>
    <w:p w14:paraId="01EEE4DE" w14:textId="77777777" w:rsidR="00592CE4" w:rsidRPr="00AA426D" w:rsidRDefault="00592CE4" w:rsidP="00AA426D">
      <w:pPr>
        <w:autoSpaceDE w:val="0"/>
        <w:autoSpaceDN w:val="0"/>
        <w:adjustRightInd w:val="0"/>
        <w:spacing w:line="276" w:lineRule="auto"/>
        <w:rPr>
          <w:rFonts w:ascii="Arial" w:hAnsi="Arial" w:cs="Arial"/>
          <w:kern w:val="0"/>
          <w:sz w:val="22"/>
          <w:szCs w:val="22"/>
          <w:lang w:val="en-US"/>
        </w:rPr>
      </w:pPr>
      <w:r w:rsidRPr="00AA426D">
        <w:rPr>
          <w:rFonts w:ascii="Arial" w:hAnsi="Arial" w:cs="Arial"/>
          <w:kern w:val="0"/>
          <w:sz w:val="22"/>
          <w:szCs w:val="22"/>
          <w:lang w:val="en-US"/>
        </w:rPr>
        <w:t> </w:t>
      </w:r>
    </w:p>
    <w:p w14:paraId="1E27FBE9" w14:textId="77777777" w:rsidR="003F65E5" w:rsidRDefault="003F65E5">
      <w:pPr>
        <w:rPr>
          <w:rFonts w:ascii="Arial" w:hAnsi="Arial" w:cs="Arial"/>
          <w:kern w:val="0"/>
          <w:sz w:val="22"/>
          <w:szCs w:val="22"/>
          <w:lang w:val="en-US"/>
        </w:rPr>
      </w:pPr>
      <w:r>
        <w:rPr>
          <w:rFonts w:ascii="Arial" w:hAnsi="Arial" w:cs="Arial"/>
          <w:kern w:val="0"/>
          <w:sz w:val="22"/>
          <w:szCs w:val="22"/>
          <w:lang w:val="en-US"/>
        </w:rPr>
        <w:br w:type="page"/>
      </w:r>
    </w:p>
    <w:p w14:paraId="4118BF08" w14:textId="3E780A17" w:rsidR="00592CE4" w:rsidRPr="00AA426D" w:rsidRDefault="00592CE4" w:rsidP="00AA426D">
      <w:pPr>
        <w:autoSpaceDE w:val="0"/>
        <w:autoSpaceDN w:val="0"/>
        <w:adjustRightInd w:val="0"/>
        <w:spacing w:line="276" w:lineRule="auto"/>
        <w:rPr>
          <w:rFonts w:ascii="Arial" w:hAnsi="Arial" w:cs="Arial"/>
          <w:kern w:val="0"/>
          <w:sz w:val="22"/>
          <w:szCs w:val="22"/>
          <w:lang w:val="en-US"/>
        </w:rPr>
      </w:pPr>
      <w:r w:rsidRPr="00AA426D">
        <w:rPr>
          <w:rFonts w:ascii="Arial" w:hAnsi="Arial" w:cs="Arial"/>
          <w:kern w:val="0"/>
          <w:sz w:val="22"/>
          <w:szCs w:val="22"/>
          <w:lang w:val="en-US"/>
        </w:rPr>
        <w:lastRenderedPageBreak/>
        <w:t>In recent years, OHBA has responded to several consultations on excess soils:</w:t>
      </w:r>
    </w:p>
    <w:p w14:paraId="1F089BC9" w14:textId="5896FC3B" w:rsidR="00592CE4" w:rsidRPr="00AA426D" w:rsidRDefault="00592CE4" w:rsidP="00AA426D">
      <w:pPr>
        <w:pStyle w:val="ListParagraph"/>
        <w:numPr>
          <w:ilvl w:val="0"/>
          <w:numId w:val="2"/>
        </w:numPr>
        <w:autoSpaceDE w:val="0"/>
        <w:autoSpaceDN w:val="0"/>
        <w:adjustRightInd w:val="0"/>
        <w:spacing w:line="276" w:lineRule="auto"/>
        <w:rPr>
          <w:rFonts w:ascii="Arial" w:hAnsi="Arial" w:cs="Arial"/>
          <w:lang w:val="en-US"/>
        </w:rPr>
      </w:pPr>
      <w:r w:rsidRPr="00AA426D">
        <w:rPr>
          <w:rFonts w:ascii="Arial" w:hAnsi="Arial" w:cs="Arial"/>
          <w:lang w:val="en-US"/>
        </w:rPr>
        <w:t xml:space="preserve">Extending Grandfathering for Infrastructure Projects and Providing Additional Flexibility for Excess Soil Reuse – November 2020 Submission </w:t>
      </w:r>
      <w:r w:rsidRPr="00AA426D">
        <w:rPr>
          <w:rFonts w:ascii="Arial" w:hAnsi="Arial" w:cs="Arial"/>
          <w:i/>
          <w:iCs/>
          <w:lang w:val="en-US"/>
        </w:rPr>
        <w:t>(ERO 019-2462)</w:t>
      </w:r>
    </w:p>
    <w:p w14:paraId="7FB38E5C" w14:textId="655FBF87" w:rsidR="00592CE4" w:rsidRPr="00AA426D" w:rsidRDefault="00592CE4" w:rsidP="00AA426D">
      <w:pPr>
        <w:pStyle w:val="ListParagraph"/>
        <w:numPr>
          <w:ilvl w:val="0"/>
          <w:numId w:val="2"/>
        </w:numPr>
        <w:autoSpaceDE w:val="0"/>
        <w:autoSpaceDN w:val="0"/>
        <w:adjustRightInd w:val="0"/>
        <w:spacing w:line="276" w:lineRule="auto"/>
        <w:rPr>
          <w:rFonts w:ascii="Arial" w:hAnsi="Arial" w:cs="Arial"/>
          <w:i/>
          <w:iCs/>
          <w:lang w:val="en-US"/>
        </w:rPr>
      </w:pPr>
      <w:r w:rsidRPr="00AA426D">
        <w:rPr>
          <w:rFonts w:ascii="Arial" w:hAnsi="Arial" w:cs="Arial"/>
          <w:lang w:val="en-US"/>
        </w:rPr>
        <w:t xml:space="preserve">Excess Soil Management Regulatory Proposal – June 2019 submission </w:t>
      </w:r>
      <w:r w:rsidRPr="00AA426D">
        <w:rPr>
          <w:rFonts w:ascii="Arial" w:hAnsi="Arial" w:cs="Arial"/>
          <w:i/>
          <w:iCs/>
          <w:lang w:val="en-US"/>
        </w:rPr>
        <w:t>(ERO 013-5000)</w:t>
      </w:r>
    </w:p>
    <w:p w14:paraId="3001CD24" w14:textId="77777777" w:rsidR="00592CE4" w:rsidRPr="00AA426D" w:rsidRDefault="00592CE4" w:rsidP="00AA426D">
      <w:pPr>
        <w:pStyle w:val="ListParagraph"/>
        <w:numPr>
          <w:ilvl w:val="0"/>
          <w:numId w:val="2"/>
        </w:numPr>
        <w:autoSpaceDE w:val="0"/>
        <w:autoSpaceDN w:val="0"/>
        <w:adjustRightInd w:val="0"/>
        <w:spacing w:line="276" w:lineRule="auto"/>
        <w:rPr>
          <w:rFonts w:ascii="Arial" w:hAnsi="Arial" w:cs="Arial"/>
          <w:lang w:val="en-US"/>
        </w:rPr>
      </w:pPr>
      <w:r w:rsidRPr="00AA426D">
        <w:rPr>
          <w:rFonts w:ascii="Arial" w:hAnsi="Arial" w:cs="Arial"/>
          <w:lang w:val="en-US"/>
        </w:rPr>
        <w:t xml:space="preserve">Excess Soils Management Framework - June 2017 submission </w:t>
      </w:r>
      <w:r w:rsidRPr="00AA426D">
        <w:rPr>
          <w:rFonts w:ascii="Arial" w:hAnsi="Arial" w:cs="Arial"/>
          <w:i/>
          <w:iCs/>
          <w:lang w:val="en-US"/>
        </w:rPr>
        <w:t>(EBR 013-0299)</w:t>
      </w:r>
      <w:r w:rsidRPr="00AA426D">
        <w:rPr>
          <w:rFonts w:ascii="Arial" w:hAnsi="Arial" w:cs="Arial"/>
          <w:lang w:val="en-US"/>
        </w:rPr>
        <w:t xml:space="preserve"> </w:t>
      </w:r>
    </w:p>
    <w:p w14:paraId="7120002F" w14:textId="77777777" w:rsidR="00592CE4" w:rsidRPr="00AA426D" w:rsidRDefault="00592CE4" w:rsidP="00AA426D">
      <w:pPr>
        <w:pStyle w:val="ListParagraph"/>
        <w:numPr>
          <w:ilvl w:val="0"/>
          <w:numId w:val="2"/>
        </w:numPr>
        <w:autoSpaceDE w:val="0"/>
        <w:autoSpaceDN w:val="0"/>
        <w:adjustRightInd w:val="0"/>
        <w:spacing w:line="276" w:lineRule="auto"/>
        <w:rPr>
          <w:rFonts w:ascii="Arial" w:hAnsi="Arial" w:cs="Arial"/>
          <w:i/>
          <w:iCs/>
          <w:lang w:val="en-US"/>
        </w:rPr>
      </w:pPr>
      <w:r w:rsidRPr="00AA426D">
        <w:rPr>
          <w:rFonts w:ascii="Arial" w:hAnsi="Arial" w:cs="Arial"/>
          <w:lang w:val="en-US"/>
        </w:rPr>
        <w:t xml:space="preserve">Excess Soils Management Framework - January 2016 submission </w:t>
      </w:r>
      <w:r w:rsidRPr="00AA426D">
        <w:rPr>
          <w:rFonts w:ascii="Arial" w:hAnsi="Arial" w:cs="Arial"/>
          <w:i/>
          <w:iCs/>
          <w:lang w:val="en-US"/>
        </w:rPr>
        <w:t>(EBR 012-6065)</w:t>
      </w:r>
    </w:p>
    <w:p w14:paraId="5475B029" w14:textId="02ECFCF3" w:rsidR="00592CE4" w:rsidRDefault="00592CE4" w:rsidP="00AA426D">
      <w:pPr>
        <w:autoSpaceDE w:val="0"/>
        <w:autoSpaceDN w:val="0"/>
        <w:adjustRightInd w:val="0"/>
        <w:spacing w:line="276" w:lineRule="auto"/>
        <w:rPr>
          <w:rFonts w:ascii="Arial" w:hAnsi="Arial" w:cs="Arial"/>
          <w:b/>
          <w:bCs/>
          <w:sz w:val="22"/>
          <w:szCs w:val="22"/>
          <w:lang w:val="en-US"/>
        </w:rPr>
      </w:pPr>
      <w:r w:rsidRPr="00AA426D">
        <w:rPr>
          <w:rFonts w:ascii="Arial" w:hAnsi="Arial" w:cs="Arial"/>
          <w:b/>
          <w:bCs/>
          <w:sz w:val="22"/>
          <w:szCs w:val="22"/>
          <w:lang w:val="en-US"/>
        </w:rPr>
        <w:t>Detailed Feedback</w:t>
      </w:r>
    </w:p>
    <w:p w14:paraId="03AD2E21" w14:textId="77777777" w:rsidR="003F65E5" w:rsidRDefault="003F65E5" w:rsidP="00AA426D">
      <w:pPr>
        <w:spacing w:line="276" w:lineRule="auto"/>
        <w:rPr>
          <w:rFonts w:ascii="Arial" w:eastAsiaTheme="minorEastAsia" w:hAnsi="Arial" w:cs="Arial"/>
          <w:sz w:val="22"/>
          <w:szCs w:val="22"/>
          <w:lang w:val="en-US"/>
        </w:rPr>
      </w:pPr>
    </w:p>
    <w:p w14:paraId="663EB2B0" w14:textId="5469A601" w:rsidR="00592CE4" w:rsidRPr="00AA426D" w:rsidRDefault="00592CE4" w:rsidP="00AA426D">
      <w:pPr>
        <w:spacing w:line="276" w:lineRule="auto"/>
        <w:rPr>
          <w:rFonts w:ascii="Arial" w:eastAsiaTheme="minorEastAsia" w:hAnsi="Arial" w:cs="Arial"/>
          <w:sz w:val="22"/>
          <w:szCs w:val="22"/>
          <w:lang w:val="en-US"/>
        </w:rPr>
      </w:pPr>
      <w:r w:rsidRPr="00AA426D">
        <w:rPr>
          <w:rFonts w:ascii="Arial" w:eastAsiaTheme="minorEastAsia" w:hAnsi="Arial" w:cs="Arial"/>
          <w:sz w:val="22"/>
          <w:szCs w:val="22"/>
          <w:lang w:val="en-US"/>
        </w:rPr>
        <w:t xml:space="preserve">OHBA continues to support provincial actions </w:t>
      </w:r>
      <w:r w:rsidR="001921C5">
        <w:rPr>
          <w:rFonts w:ascii="Arial" w:eastAsiaTheme="minorEastAsia" w:hAnsi="Arial" w:cs="Arial"/>
          <w:sz w:val="22"/>
          <w:szCs w:val="22"/>
          <w:lang w:val="en-US"/>
        </w:rPr>
        <w:t xml:space="preserve">that streamline processes and approvals to facilitate the reuse of excess soils in a transparent and predictable framework required to support an </w:t>
      </w:r>
      <w:r w:rsidRPr="00AA426D">
        <w:rPr>
          <w:rFonts w:ascii="Arial" w:eastAsiaTheme="minorEastAsia" w:hAnsi="Arial" w:cs="Arial"/>
          <w:sz w:val="22"/>
          <w:szCs w:val="22"/>
          <w:lang w:val="en-US"/>
        </w:rPr>
        <w:t xml:space="preserve">increasing housing supply. We </w:t>
      </w:r>
      <w:r w:rsidR="001921C5">
        <w:rPr>
          <w:rFonts w:ascii="Arial" w:eastAsiaTheme="minorEastAsia" w:hAnsi="Arial" w:cs="Arial"/>
          <w:sz w:val="22"/>
          <w:szCs w:val="22"/>
          <w:lang w:val="en-US"/>
        </w:rPr>
        <w:t>strongly support</w:t>
      </w:r>
      <w:r w:rsidRPr="00AA426D">
        <w:rPr>
          <w:rFonts w:ascii="Arial" w:eastAsiaTheme="minorEastAsia" w:hAnsi="Arial" w:cs="Arial"/>
          <w:sz w:val="22"/>
          <w:szCs w:val="22"/>
          <w:lang w:val="en-US"/>
        </w:rPr>
        <w:t xml:space="preserve"> the provincial goal to build 1.5 million new homes across Ontario over the next decade. Achieving such an ambitious goal will require cooperation from all three levels of government and public policy adjustments to expedite both infrastructure and housing. Through OHBA and our 27 Chapters, the residential construction industry has participated in and supported the general direction of several initiatives over the past few years to improve and modernize the excess soils framework in Ontario.</w:t>
      </w:r>
    </w:p>
    <w:p w14:paraId="0E5A0A11" w14:textId="77777777" w:rsidR="00592CE4" w:rsidRPr="00AA426D" w:rsidRDefault="00592CE4" w:rsidP="00AA426D">
      <w:pPr>
        <w:spacing w:line="276" w:lineRule="auto"/>
        <w:rPr>
          <w:rFonts w:ascii="Arial" w:eastAsiaTheme="minorEastAsia" w:hAnsi="Arial" w:cs="Arial"/>
          <w:sz w:val="22"/>
          <w:szCs w:val="22"/>
          <w:lang w:val="en-US"/>
        </w:rPr>
      </w:pPr>
    </w:p>
    <w:p w14:paraId="2F40F8E1" w14:textId="00322A27" w:rsidR="00592CE4" w:rsidRPr="00AA426D" w:rsidRDefault="00592CE4" w:rsidP="00AA426D">
      <w:pPr>
        <w:autoSpaceDE w:val="0"/>
        <w:autoSpaceDN w:val="0"/>
        <w:adjustRightInd w:val="0"/>
        <w:spacing w:line="276" w:lineRule="auto"/>
        <w:rPr>
          <w:rFonts w:ascii="Arial" w:hAnsi="Arial" w:cs="Arial"/>
          <w:sz w:val="22"/>
          <w:szCs w:val="22"/>
        </w:rPr>
      </w:pPr>
      <w:r w:rsidRPr="00AA426D">
        <w:rPr>
          <w:rFonts w:ascii="Arial" w:hAnsi="Arial" w:cs="Arial"/>
          <w:sz w:val="22"/>
          <w:szCs w:val="22"/>
        </w:rPr>
        <w:t xml:space="preserve">OHBA notes that the excess soil management framework is a complex regulatory compliance mosaic that must be carefully rolled out during the implementation phase to ensure that positive outcomes are in fact achieved given the many actors and diverse nature of sectors involved in excess soils. OHBA remains supportive of the </w:t>
      </w:r>
      <w:r w:rsidRPr="00AA426D">
        <w:rPr>
          <w:rFonts w:ascii="Arial" w:hAnsi="Arial" w:cs="Arial"/>
          <w:i/>
          <w:iCs/>
          <w:sz w:val="22"/>
          <w:szCs w:val="22"/>
        </w:rPr>
        <w:t xml:space="preserve">Made-in-Ontario Environment Plan </w:t>
      </w:r>
      <w:r w:rsidRPr="00AA426D">
        <w:rPr>
          <w:rFonts w:ascii="Arial" w:hAnsi="Arial" w:cs="Arial"/>
          <w:sz w:val="22"/>
          <w:szCs w:val="22"/>
        </w:rPr>
        <w:t>commitment to: “</w:t>
      </w:r>
      <w:bookmarkStart w:id="0" w:name="_Hlk9508574"/>
      <w:r w:rsidRPr="00AA426D">
        <w:rPr>
          <w:rFonts w:ascii="Arial" w:hAnsi="Arial" w:cs="Arial"/>
          <w:sz w:val="22"/>
          <w:szCs w:val="22"/>
        </w:rPr>
        <w:t>recognize that excess soil is often a resource that can be reused. Set clear rules to allow industry to reduce construction costs, limit soil being sent to landfill and lower greenhouse gas emissions from trucking by supporting beneficial reuses of safe soils</w:t>
      </w:r>
      <w:bookmarkEnd w:id="0"/>
      <w:r w:rsidRPr="00AA426D">
        <w:rPr>
          <w:rFonts w:ascii="Arial" w:hAnsi="Arial" w:cs="Arial"/>
          <w:sz w:val="22"/>
          <w:szCs w:val="22"/>
        </w:rPr>
        <w:t xml:space="preserve">.” The new approach will ensure that excess soils are properly traced without creating a significant new red tape and paperwork regime.  OHBA welcomes the more consistent approach under provincial guidance for soil management, which should not act as a barrier to opportunities for remediation, reuse, and intensification. </w:t>
      </w:r>
    </w:p>
    <w:p w14:paraId="6A98AD3F" w14:textId="77777777" w:rsidR="00592CE4" w:rsidRPr="00AA426D" w:rsidRDefault="00592CE4" w:rsidP="00AA426D">
      <w:pPr>
        <w:spacing w:line="276" w:lineRule="auto"/>
        <w:rPr>
          <w:rFonts w:ascii="Arial" w:hAnsi="Arial" w:cs="Arial"/>
          <w:sz w:val="22"/>
          <w:szCs w:val="22"/>
        </w:rPr>
      </w:pPr>
    </w:p>
    <w:p w14:paraId="7E3B3E19" w14:textId="7412541E" w:rsidR="00592CE4" w:rsidRPr="00AA426D" w:rsidRDefault="00592CE4" w:rsidP="00AA426D">
      <w:pPr>
        <w:spacing w:line="276" w:lineRule="auto"/>
        <w:rPr>
          <w:rFonts w:ascii="Arial" w:eastAsiaTheme="minorEastAsia" w:hAnsi="Arial" w:cs="Arial"/>
          <w:sz w:val="22"/>
          <w:szCs w:val="22"/>
          <w:lang w:val="en-US"/>
        </w:rPr>
      </w:pPr>
      <w:r w:rsidRPr="00AA426D">
        <w:rPr>
          <w:rFonts w:ascii="Arial" w:hAnsi="Arial" w:cs="Arial"/>
          <w:sz w:val="22"/>
          <w:szCs w:val="22"/>
        </w:rPr>
        <w:t>It is important to recognize that the old fractured legislative environment concerning excess soil management contributed to significant and increasing costs of residential construction. Industry regulatory compliance requirements, as well as local municipal government policies, operational procedures and contractual practices</w:t>
      </w:r>
      <w:r w:rsidR="001921C5">
        <w:rPr>
          <w:rFonts w:ascii="Arial" w:hAnsi="Arial" w:cs="Arial"/>
          <w:sz w:val="22"/>
          <w:szCs w:val="22"/>
        </w:rPr>
        <w:t>,</w:t>
      </w:r>
      <w:r w:rsidRPr="00AA426D">
        <w:rPr>
          <w:rFonts w:ascii="Arial" w:hAnsi="Arial" w:cs="Arial"/>
          <w:sz w:val="22"/>
          <w:szCs w:val="22"/>
        </w:rPr>
        <w:t xml:space="preserve"> will all have adoption complexities which is why we are appreciative of the MECP recognizing the need for provincial leadership.</w:t>
      </w:r>
    </w:p>
    <w:p w14:paraId="41CA3AB8" w14:textId="77777777" w:rsidR="00592CE4" w:rsidRPr="00AA426D" w:rsidRDefault="00592CE4" w:rsidP="00AA426D">
      <w:pPr>
        <w:spacing w:line="276" w:lineRule="auto"/>
        <w:rPr>
          <w:rFonts w:ascii="Arial" w:eastAsiaTheme="minorEastAsia" w:hAnsi="Arial" w:cs="Arial"/>
          <w:sz w:val="22"/>
          <w:szCs w:val="22"/>
          <w:lang w:val="en-US"/>
        </w:rPr>
      </w:pPr>
    </w:p>
    <w:p w14:paraId="063B856E" w14:textId="3077F401" w:rsidR="00592CE4" w:rsidRPr="00AA426D" w:rsidRDefault="00592CE4" w:rsidP="00AA426D">
      <w:pPr>
        <w:spacing w:line="276" w:lineRule="auto"/>
        <w:rPr>
          <w:rFonts w:ascii="Arial" w:hAnsi="Arial" w:cs="Arial"/>
          <w:sz w:val="22"/>
          <w:szCs w:val="22"/>
        </w:rPr>
      </w:pPr>
      <w:r w:rsidRPr="00AA426D">
        <w:rPr>
          <w:rFonts w:ascii="Arial" w:hAnsi="Arial" w:cs="Arial"/>
          <w:sz w:val="22"/>
          <w:szCs w:val="22"/>
        </w:rPr>
        <w:t xml:space="preserve">From a residential construction and land development industry perspective, the proposed content of the Environmental Registry posting is welcome and will expedite development applications and construction processes. </w:t>
      </w:r>
      <w:r w:rsidR="00423A46" w:rsidRPr="00AA426D">
        <w:rPr>
          <w:rFonts w:ascii="Arial" w:hAnsi="Arial" w:cs="Arial"/>
          <w:sz w:val="22"/>
          <w:szCs w:val="22"/>
        </w:rPr>
        <w:t>OHBA</w:t>
      </w:r>
      <w:r w:rsidRPr="00AA426D">
        <w:rPr>
          <w:rFonts w:ascii="Arial" w:hAnsi="Arial" w:cs="Arial"/>
          <w:sz w:val="22"/>
          <w:szCs w:val="22"/>
        </w:rPr>
        <w:t xml:space="preserve"> is supportive of clarifying the responsibility of a QP dewatering or solidifying liquid soil. Furthermore, we support that the Ministry has provided greater clarity on sampling and analysis requirements. </w:t>
      </w:r>
      <w:r w:rsidR="00423A46" w:rsidRPr="00AA426D">
        <w:rPr>
          <w:rFonts w:ascii="Arial" w:hAnsi="Arial" w:cs="Arial"/>
          <w:sz w:val="22"/>
          <w:szCs w:val="22"/>
        </w:rPr>
        <w:t>OHBA</w:t>
      </w:r>
      <w:r w:rsidRPr="00AA426D">
        <w:rPr>
          <w:rFonts w:ascii="Arial" w:hAnsi="Arial" w:cs="Arial"/>
          <w:sz w:val="22"/>
          <w:szCs w:val="22"/>
        </w:rPr>
        <w:t xml:space="preserve"> supports exempting specified excess soil management operations from approvals</w:t>
      </w:r>
      <w:r w:rsidR="001921C5">
        <w:rPr>
          <w:rFonts w:ascii="Arial" w:hAnsi="Arial" w:cs="Arial"/>
          <w:sz w:val="22"/>
          <w:szCs w:val="22"/>
        </w:rPr>
        <w:t>, and we encourage the Ministry to allow greater flexibility by providing standard rules rather than waste approvals for interim storage processing sites (i.e.,</w:t>
      </w:r>
      <w:r w:rsidRPr="00AA426D">
        <w:rPr>
          <w:rFonts w:ascii="Arial" w:hAnsi="Arial" w:cs="Arial"/>
          <w:sz w:val="22"/>
          <w:szCs w:val="22"/>
        </w:rPr>
        <w:t xml:space="preserve"> depots). </w:t>
      </w:r>
    </w:p>
    <w:p w14:paraId="347A859C" w14:textId="77777777" w:rsidR="00592CE4" w:rsidRPr="00AA426D" w:rsidRDefault="00592CE4" w:rsidP="00AA426D">
      <w:pPr>
        <w:spacing w:line="276" w:lineRule="auto"/>
        <w:rPr>
          <w:rFonts w:ascii="Arial" w:hAnsi="Arial" w:cs="Arial"/>
          <w:sz w:val="22"/>
          <w:szCs w:val="22"/>
        </w:rPr>
      </w:pPr>
    </w:p>
    <w:p w14:paraId="1BFDD80C" w14:textId="77777777" w:rsidR="003F65E5" w:rsidRDefault="00592CE4" w:rsidP="00AA426D">
      <w:pPr>
        <w:pStyle w:val="Default"/>
        <w:spacing w:line="276" w:lineRule="auto"/>
        <w:rPr>
          <w:sz w:val="22"/>
          <w:szCs w:val="22"/>
        </w:rPr>
      </w:pPr>
      <w:r w:rsidRPr="00AA426D">
        <w:rPr>
          <w:sz w:val="22"/>
          <w:szCs w:val="22"/>
        </w:rPr>
        <w:t>An EASR type process to replace some waste approvals for interim storage and processing sites/depots with standard rules</w:t>
      </w:r>
      <w:r w:rsidRPr="00AA426D">
        <w:rPr>
          <w:b/>
          <w:bCs/>
          <w:sz w:val="22"/>
          <w:szCs w:val="22"/>
        </w:rPr>
        <w:t xml:space="preserve"> </w:t>
      </w:r>
      <w:r w:rsidRPr="00AA426D">
        <w:rPr>
          <w:sz w:val="22"/>
          <w:szCs w:val="22"/>
        </w:rPr>
        <w:t xml:space="preserve">would be welcomed. This would be consistent with current and </w:t>
      </w:r>
      <w:r w:rsidRPr="00AA426D">
        <w:rPr>
          <w:sz w:val="22"/>
          <w:szCs w:val="22"/>
        </w:rPr>
        <w:lastRenderedPageBreak/>
        <w:t xml:space="preserve">proposed requirements for depots. The salt impacted soils clarifications are very positive. Allowance to use that soil in more circumstances is positive. </w:t>
      </w:r>
    </w:p>
    <w:p w14:paraId="3F1591D8" w14:textId="7ECDF4A1" w:rsidR="0078343E" w:rsidRDefault="001921C5" w:rsidP="00AA426D">
      <w:pPr>
        <w:pStyle w:val="Default"/>
        <w:spacing w:line="276" w:lineRule="auto"/>
        <w:rPr>
          <w:sz w:val="22"/>
          <w:szCs w:val="22"/>
        </w:rPr>
      </w:pPr>
      <w:r>
        <w:rPr>
          <w:sz w:val="22"/>
          <w:szCs w:val="22"/>
        </w:rPr>
        <w:t>Flexibility</w:t>
      </w:r>
      <w:r w:rsidR="00592CE4" w:rsidRPr="00AA426D">
        <w:rPr>
          <w:sz w:val="22"/>
          <w:szCs w:val="22"/>
        </w:rPr>
        <w:t xml:space="preserve"> is needed in order to make reuse more possible in many cases, especially in urban </w:t>
      </w:r>
      <w:r w:rsidR="0000603F" w:rsidRPr="00AA426D">
        <w:rPr>
          <w:sz w:val="22"/>
          <w:szCs w:val="22"/>
        </w:rPr>
        <w:t>environments’</w:t>
      </w:r>
      <w:r w:rsidR="0000603F">
        <w:rPr>
          <w:sz w:val="22"/>
          <w:szCs w:val="22"/>
        </w:rPr>
        <w:t xml:space="preserve"> and</w:t>
      </w:r>
      <w:r w:rsidR="00592CE4" w:rsidRPr="00AA426D">
        <w:rPr>
          <w:sz w:val="22"/>
          <w:szCs w:val="22"/>
        </w:rPr>
        <w:t xml:space="preserve"> </w:t>
      </w:r>
      <w:r w:rsidR="00423A46" w:rsidRPr="00AA426D">
        <w:rPr>
          <w:sz w:val="22"/>
          <w:szCs w:val="22"/>
        </w:rPr>
        <w:t>OHBA</w:t>
      </w:r>
      <w:r w:rsidR="00592CE4" w:rsidRPr="00AA426D">
        <w:rPr>
          <w:sz w:val="22"/>
          <w:szCs w:val="22"/>
        </w:rPr>
        <w:t xml:space="preserve"> would welcome some consideration of broadening the exemptions regarding the 100m setback from potable water use in circumstances where a hydrogeological assessment has been completed. This would allow a QP to consider the direction of groundwater flow and other factors (e.g. aquitard) when determining whether salt impacted soil could be placed without causing an adverse impact.</w:t>
      </w:r>
    </w:p>
    <w:p w14:paraId="5AFAF16C" w14:textId="77777777" w:rsidR="0078343E" w:rsidRDefault="0078343E" w:rsidP="00AA426D">
      <w:pPr>
        <w:pStyle w:val="Default"/>
        <w:spacing w:line="276" w:lineRule="auto"/>
        <w:rPr>
          <w:sz w:val="22"/>
          <w:szCs w:val="22"/>
        </w:rPr>
      </w:pPr>
    </w:p>
    <w:p w14:paraId="10CADBC8" w14:textId="13C3E26D" w:rsidR="00592CE4" w:rsidRPr="00AA426D" w:rsidRDefault="0000603F" w:rsidP="00AA426D">
      <w:pPr>
        <w:pStyle w:val="Default"/>
        <w:spacing w:line="276" w:lineRule="auto"/>
        <w:rPr>
          <w:sz w:val="22"/>
          <w:szCs w:val="22"/>
        </w:rPr>
      </w:pPr>
      <w:r>
        <w:rPr>
          <w:sz w:val="22"/>
          <w:szCs w:val="22"/>
        </w:rPr>
        <w:t xml:space="preserve">NHBA and </w:t>
      </w:r>
      <w:r w:rsidR="00423A46" w:rsidRPr="00AA426D">
        <w:rPr>
          <w:sz w:val="22"/>
          <w:szCs w:val="22"/>
        </w:rPr>
        <w:t>OHBA</w:t>
      </w:r>
      <w:r w:rsidR="00592CE4" w:rsidRPr="00AA426D">
        <w:rPr>
          <w:sz w:val="22"/>
          <w:szCs w:val="22"/>
        </w:rPr>
        <w:t xml:space="preserve"> support the exemption from the reuse planning requirements for landscaping projects at enhanced investigation sites. Most landscaping projects are typically within the top one meter, whereas the most problematic contamination from enhanced investigation sites would typically be deeper and within groundwater. </w:t>
      </w:r>
      <w:r w:rsidR="007F1456" w:rsidRPr="007F1456">
        <w:rPr>
          <w:sz w:val="22"/>
          <w:szCs w:val="22"/>
        </w:rPr>
        <w:t>We also note that</w:t>
      </w:r>
      <w:r w:rsidR="001921C5">
        <w:rPr>
          <w:sz w:val="22"/>
          <w:szCs w:val="22"/>
        </w:rPr>
        <w:t>, in general, the planning and hauling record exemptions should be applied to all landscaping projects excavating 100m3 or less, as in many cases, for small landscapers,</w:t>
      </w:r>
      <w:r w:rsidR="007F1456" w:rsidRPr="007F1456">
        <w:rPr>
          <w:sz w:val="22"/>
          <w:szCs w:val="22"/>
        </w:rPr>
        <w:t xml:space="preserve"> the project leader is the actual "homeowner</w:t>
      </w:r>
      <w:r w:rsidR="001921C5">
        <w:rPr>
          <w:sz w:val="22"/>
          <w:szCs w:val="22"/>
        </w:rPr>
        <w:t>."</w:t>
      </w:r>
      <w:r w:rsidR="007F1456" w:rsidRPr="006F1ED5">
        <w:rPr>
          <w:rFonts w:asciiTheme="minorHAnsi" w:hAnsiTheme="minorHAnsi" w:cstheme="minorHAnsi"/>
          <w:sz w:val="22"/>
          <w:szCs w:val="22"/>
        </w:rPr>
        <w:t xml:space="preserve"> </w:t>
      </w:r>
      <w:r w:rsidR="00592CE4" w:rsidRPr="00AA426D">
        <w:rPr>
          <w:sz w:val="22"/>
          <w:szCs w:val="22"/>
        </w:rPr>
        <w:t>We do note that the landscape architect certification component in relation to salt use may be an overreach.</w:t>
      </w:r>
    </w:p>
    <w:p w14:paraId="515E4698" w14:textId="77777777" w:rsidR="00592CE4" w:rsidRPr="00AA426D" w:rsidRDefault="00592CE4" w:rsidP="00AA426D">
      <w:pPr>
        <w:pStyle w:val="Default"/>
        <w:spacing w:line="276" w:lineRule="auto"/>
        <w:rPr>
          <w:sz w:val="22"/>
          <w:szCs w:val="22"/>
        </w:rPr>
      </w:pPr>
    </w:p>
    <w:p w14:paraId="21CB7FCD" w14:textId="47CCE353" w:rsidR="00AA426D" w:rsidRDefault="0000603F" w:rsidP="00AA426D">
      <w:pPr>
        <w:spacing w:line="276" w:lineRule="auto"/>
        <w:rPr>
          <w:rFonts w:ascii="Arial" w:hAnsi="Arial" w:cs="Arial"/>
          <w:sz w:val="22"/>
          <w:szCs w:val="22"/>
        </w:rPr>
      </w:pPr>
      <w:r>
        <w:rPr>
          <w:rFonts w:ascii="Arial" w:hAnsi="Arial" w:cs="Arial"/>
          <w:sz w:val="22"/>
          <w:szCs w:val="22"/>
        </w:rPr>
        <w:t xml:space="preserve">NHBA as well as </w:t>
      </w:r>
      <w:r w:rsidR="00AA426D" w:rsidRPr="00AA426D">
        <w:rPr>
          <w:rFonts w:ascii="Arial" w:hAnsi="Arial" w:cs="Arial"/>
          <w:sz w:val="22"/>
          <w:szCs w:val="22"/>
        </w:rPr>
        <w:t>OHBA</w:t>
      </w:r>
      <w:r w:rsidR="00592CE4" w:rsidRPr="00AA426D">
        <w:rPr>
          <w:rFonts w:ascii="Arial" w:hAnsi="Arial" w:cs="Arial"/>
          <w:sz w:val="22"/>
          <w:szCs w:val="22"/>
        </w:rPr>
        <w:t xml:space="preserve"> believe the intent of the Ministry was to improve opportunities for reuse of aggregates by introducing aggregate reuse depots. Specifically, the ERO posting notes for aggregate reuse depots: </w:t>
      </w:r>
      <w:r w:rsidR="00592CE4" w:rsidRPr="00AA426D">
        <w:rPr>
          <w:rFonts w:ascii="Arial" w:hAnsi="Arial" w:cs="Arial"/>
          <w:i/>
          <w:iCs/>
          <w:sz w:val="22"/>
          <w:szCs w:val="22"/>
        </w:rPr>
        <w:t>“The aggregate must be known to be of a quality that it can be reused in an infrastructure project (e.g., meets community quality standards if for road use) or if not tested, there are no indications (visual, olfactory, known history) of contaminants.”</w:t>
      </w:r>
      <w:r>
        <w:rPr>
          <w:rFonts w:ascii="Arial" w:hAnsi="Arial" w:cs="Arial"/>
          <w:i/>
          <w:iCs/>
          <w:sz w:val="22"/>
          <w:szCs w:val="22"/>
        </w:rPr>
        <w:t xml:space="preserve"> </w:t>
      </w:r>
      <w:r w:rsidR="00592CE4" w:rsidRPr="00AA426D">
        <w:rPr>
          <w:rFonts w:ascii="Arial" w:hAnsi="Arial" w:cs="Arial"/>
          <w:i/>
          <w:iCs/>
          <w:sz w:val="22"/>
          <w:szCs w:val="22"/>
        </w:rPr>
        <w:t xml:space="preserve"> </w:t>
      </w:r>
      <w:r>
        <w:rPr>
          <w:rFonts w:ascii="Arial" w:hAnsi="Arial" w:cs="Arial"/>
          <w:sz w:val="22"/>
          <w:szCs w:val="22"/>
        </w:rPr>
        <w:t>NHBA and O</w:t>
      </w:r>
      <w:r w:rsidR="00AA426D" w:rsidRPr="00AA426D">
        <w:rPr>
          <w:rFonts w:ascii="Arial" w:hAnsi="Arial" w:cs="Arial"/>
          <w:sz w:val="22"/>
          <w:szCs w:val="22"/>
        </w:rPr>
        <w:t>HBA</w:t>
      </w:r>
      <w:r w:rsidR="00592CE4" w:rsidRPr="00AA426D">
        <w:rPr>
          <w:rFonts w:ascii="Arial" w:hAnsi="Arial" w:cs="Arial"/>
          <w:sz w:val="22"/>
          <w:szCs w:val="22"/>
        </w:rPr>
        <w:t xml:space="preserve"> </w:t>
      </w:r>
      <w:r>
        <w:rPr>
          <w:rFonts w:ascii="Arial" w:hAnsi="Arial" w:cs="Arial"/>
          <w:sz w:val="22"/>
          <w:szCs w:val="22"/>
        </w:rPr>
        <w:t>are</w:t>
      </w:r>
      <w:r w:rsidR="00592CE4" w:rsidRPr="00AA426D">
        <w:rPr>
          <w:rFonts w:ascii="Arial" w:hAnsi="Arial" w:cs="Arial"/>
          <w:sz w:val="22"/>
          <w:szCs w:val="22"/>
        </w:rPr>
        <w:t xml:space="preserve"> concerned by some language (and clarified in a recent Q&amp;A opportunity) in the ERO proposal that will </w:t>
      </w:r>
      <w:r w:rsidR="003F65E5" w:rsidRPr="00AA426D">
        <w:rPr>
          <w:rFonts w:ascii="Arial" w:hAnsi="Arial" w:cs="Arial"/>
          <w:sz w:val="22"/>
          <w:szCs w:val="22"/>
        </w:rPr>
        <w:t>cause</w:t>
      </w:r>
      <w:r w:rsidR="00592CE4" w:rsidRPr="00AA426D">
        <w:rPr>
          <w:rFonts w:ascii="Arial" w:hAnsi="Arial" w:cs="Arial"/>
          <w:sz w:val="22"/>
          <w:szCs w:val="22"/>
        </w:rPr>
        <w:t xml:space="preserve"> significant compliance risk to companies that reuse aggregates. We note for Ministry consideration:</w:t>
      </w:r>
    </w:p>
    <w:p w14:paraId="58D8E249" w14:textId="22C594CB" w:rsidR="00592CE4" w:rsidRPr="007F1456" w:rsidRDefault="00592CE4" w:rsidP="00AA426D">
      <w:pPr>
        <w:pStyle w:val="ListParagraph"/>
        <w:numPr>
          <w:ilvl w:val="0"/>
          <w:numId w:val="6"/>
        </w:numPr>
        <w:spacing w:line="276" w:lineRule="auto"/>
        <w:rPr>
          <w:rFonts w:ascii="Arial" w:hAnsi="Arial" w:cs="Arial"/>
        </w:rPr>
      </w:pPr>
      <w:r w:rsidRPr="00AA426D">
        <w:rPr>
          <w:rFonts w:ascii="Arial" w:eastAsia="Times New Roman" w:hAnsi="Arial" w:cs="Arial"/>
        </w:rPr>
        <w:t xml:space="preserve">Practically, most aggregate for reuse will not meet the “site condition standards” set by the Ministry.  Either due to </w:t>
      </w:r>
      <w:r w:rsidR="003F65E5" w:rsidRPr="00AA426D">
        <w:rPr>
          <w:rFonts w:ascii="Arial" w:eastAsia="Times New Roman" w:hAnsi="Arial" w:cs="Arial"/>
        </w:rPr>
        <w:t>naturally occurring</w:t>
      </w:r>
      <w:r w:rsidRPr="00AA426D">
        <w:rPr>
          <w:rFonts w:ascii="Arial" w:eastAsia="Times New Roman" w:hAnsi="Arial" w:cs="Arial"/>
        </w:rPr>
        <w:t xml:space="preserve"> metals in rock, or inherent nature of concrete or asphalt that will often “contaminate” the aggregates when placed under a road, or the integration of crushed concrete or recycled asphalt products into the granular itself.  None of these conditions make the aggregate less appropriate for reuse under similar conditions (e.g. under a new roadway), and these are existing and important circular economies that should be encouraged.</w:t>
      </w:r>
    </w:p>
    <w:p w14:paraId="6543C81E" w14:textId="77777777" w:rsidR="007F1456" w:rsidRPr="007F1456" w:rsidRDefault="007F1456" w:rsidP="007F1456">
      <w:pPr>
        <w:pStyle w:val="ListParagraph"/>
        <w:numPr>
          <w:ilvl w:val="0"/>
          <w:numId w:val="6"/>
        </w:numPr>
        <w:spacing w:after="0" w:line="240" w:lineRule="auto"/>
        <w:rPr>
          <w:rFonts w:ascii="Arial" w:hAnsi="Arial" w:cs="Arial"/>
          <w:lang w:eastAsia="en-CA"/>
        </w:rPr>
      </w:pPr>
      <w:r w:rsidRPr="007F1456">
        <w:rPr>
          <w:rFonts w:ascii="Arial" w:hAnsi="Arial" w:cs="Arial"/>
          <w:lang w:eastAsia="en-CA"/>
        </w:rPr>
        <w:t>Per proposed amendment, recycled aggregate does not include glass, concrete, asphalt, etc. Concrete is an aggregate, which does not align with OPSS.PROV 1010. Why is it excluded from Aggregate Reuse Depots? Can Granular A or B be composed of recycled concrete? Further clarification is needed.</w:t>
      </w:r>
    </w:p>
    <w:p w14:paraId="64C14368" w14:textId="0564F403" w:rsidR="007F1456" w:rsidRPr="007F1456" w:rsidRDefault="007F1456" w:rsidP="007F1456">
      <w:pPr>
        <w:pStyle w:val="ListParagraph"/>
        <w:numPr>
          <w:ilvl w:val="0"/>
          <w:numId w:val="6"/>
        </w:numPr>
        <w:spacing w:after="0" w:line="240" w:lineRule="auto"/>
        <w:rPr>
          <w:rFonts w:ascii="Arial" w:hAnsi="Arial" w:cs="Arial"/>
          <w:lang w:eastAsia="en-CA"/>
        </w:rPr>
      </w:pPr>
      <w:r w:rsidRPr="007F1456">
        <w:rPr>
          <w:rFonts w:ascii="Arial" w:hAnsi="Arial" w:cs="Arial"/>
          <w:lang w:eastAsia="en-CA"/>
        </w:rPr>
        <w:t>The prohibition on asphalt and concrete could prohibit the receipt of aggregate that incorporates recycled materials per OPSS.PROV 1010. This would require discussion for alignment with the aggregate/recycled aggregate industry.</w:t>
      </w:r>
    </w:p>
    <w:p w14:paraId="136DFAFD" w14:textId="77777777" w:rsidR="00592CE4" w:rsidRPr="00AA426D" w:rsidRDefault="00592CE4" w:rsidP="00AA426D">
      <w:pPr>
        <w:pStyle w:val="ListParagraph"/>
        <w:numPr>
          <w:ilvl w:val="0"/>
          <w:numId w:val="4"/>
        </w:numPr>
        <w:spacing w:after="0" w:line="276" w:lineRule="auto"/>
        <w:contextualSpacing w:val="0"/>
        <w:rPr>
          <w:rFonts w:ascii="Arial" w:eastAsia="Times New Roman" w:hAnsi="Arial" w:cs="Arial"/>
        </w:rPr>
      </w:pPr>
      <w:r w:rsidRPr="00AA426D">
        <w:rPr>
          <w:rFonts w:ascii="Arial" w:eastAsia="Times New Roman" w:hAnsi="Arial" w:cs="Arial"/>
        </w:rPr>
        <w:t xml:space="preserve">Any compliance scenario that involves testing of aggregates (whether reused or from a pit) and comparison to soil standards should be avoided at all costs, because the results will consistently not meet environmental standards.  </w:t>
      </w:r>
    </w:p>
    <w:p w14:paraId="7D428809" w14:textId="77777777" w:rsidR="00592CE4" w:rsidRPr="00AA426D" w:rsidRDefault="00592CE4" w:rsidP="00AA426D">
      <w:pPr>
        <w:spacing w:line="276" w:lineRule="auto"/>
        <w:rPr>
          <w:rFonts w:ascii="Arial" w:hAnsi="Arial" w:cs="Arial"/>
          <w:sz w:val="22"/>
          <w:szCs w:val="22"/>
        </w:rPr>
      </w:pPr>
    </w:p>
    <w:p w14:paraId="7F7E710E" w14:textId="0C03E012" w:rsidR="003F65E5" w:rsidRDefault="00592CE4" w:rsidP="00AA426D">
      <w:pPr>
        <w:spacing w:line="276" w:lineRule="auto"/>
        <w:rPr>
          <w:rFonts w:ascii="Arial" w:eastAsia="Times New Roman" w:hAnsi="Arial" w:cs="Arial"/>
          <w:sz w:val="22"/>
          <w:szCs w:val="22"/>
        </w:rPr>
      </w:pPr>
      <w:r w:rsidRPr="00AA426D">
        <w:rPr>
          <w:rFonts w:ascii="Arial" w:hAnsi="Arial" w:cs="Arial"/>
          <w:sz w:val="22"/>
          <w:szCs w:val="22"/>
        </w:rPr>
        <w:t>There is an ongoing</w:t>
      </w:r>
      <w:r w:rsidRPr="00AA426D">
        <w:rPr>
          <w:rFonts w:ascii="Arial" w:eastAsia="Times New Roman" w:hAnsi="Arial" w:cs="Arial"/>
          <w:sz w:val="22"/>
          <w:szCs w:val="22"/>
        </w:rPr>
        <w:t xml:space="preserve"> need for greater dialogue between industry and the MECP to provide feedback on how the Regulations are </w:t>
      </w:r>
      <w:r w:rsidR="003F65E5" w:rsidRPr="00AA426D">
        <w:rPr>
          <w:rFonts w:ascii="Arial" w:eastAsia="Times New Roman" w:hAnsi="Arial" w:cs="Arial"/>
          <w:sz w:val="22"/>
          <w:szCs w:val="22"/>
        </w:rPr>
        <w:t>working</w:t>
      </w:r>
      <w:r w:rsidRPr="00AA426D">
        <w:rPr>
          <w:rFonts w:ascii="Arial" w:eastAsia="Times New Roman" w:hAnsi="Arial" w:cs="Arial"/>
          <w:sz w:val="22"/>
          <w:szCs w:val="22"/>
        </w:rPr>
        <w:t xml:space="preserve"> and can be improved over time. The Ministry should recognize and support the world leading legislative and industry expertise in this sector and continue to seek advice to further improve the regulatory framework. Lastly</w:t>
      </w:r>
      <w:r w:rsidR="001921C5">
        <w:rPr>
          <w:rFonts w:ascii="Arial" w:eastAsia="Times New Roman" w:hAnsi="Arial" w:cs="Arial"/>
          <w:sz w:val="22"/>
          <w:szCs w:val="22"/>
        </w:rPr>
        <w:t>,</w:t>
      </w:r>
      <w:r w:rsidRPr="00AA426D">
        <w:rPr>
          <w:rFonts w:ascii="Arial" w:eastAsia="Times New Roman" w:hAnsi="Arial" w:cs="Arial"/>
          <w:sz w:val="22"/>
          <w:szCs w:val="22"/>
        </w:rPr>
        <w:t xml:space="preserve"> the Ministry needs to recognize and fully appreciate </w:t>
      </w:r>
      <w:r w:rsidRPr="00AA426D">
        <w:rPr>
          <w:rFonts w:ascii="Arial" w:eastAsia="Times New Roman" w:hAnsi="Arial" w:cs="Arial"/>
          <w:sz w:val="22"/>
          <w:szCs w:val="22"/>
        </w:rPr>
        <w:lastRenderedPageBreak/>
        <w:t xml:space="preserve">the huge shift that will occur with the January 1, </w:t>
      </w:r>
      <w:r w:rsidR="00AA426D" w:rsidRPr="00AA426D">
        <w:rPr>
          <w:rFonts w:ascii="Arial" w:eastAsia="Times New Roman" w:hAnsi="Arial" w:cs="Arial"/>
          <w:sz w:val="22"/>
          <w:szCs w:val="22"/>
        </w:rPr>
        <w:t>2025,</w:t>
      </w:r>
      <w:r w:rsidRPr="00AA426D">
        <w:rPr>
          <w:rFonts w:ascii="Arial" w:eastAsia="Times New Roman" w:hAnsi="Arial" w:cs="Arial"/>
          <w:sz w:val="22"/>
          <w:szCs w:val="22"/>
        </w:rPr>
        <w:t xml:space="preserve"> deadline for acceptance of many kinds of soils at landfills comes into effect. </w:t>
      </w:r>
    </w:p>
    <w:p w14:paraId="721FDE0E" w14:textId="77777777" w:rsidR="003F65E5" w:rsidRDefault="003F65E5" w:rsidP="00AA426D">
      <w:pPr>
        <w:spacing w:line="276" w:lineRule="auto"/>
        <w:rPr>
          <w:rFonts w:ascii="Arial" w:eastAsia="Times New Roman" w:hAnsi="Arial" w:cs="Arial"/>
          <w:sz w:val="22"/>
          <w:szCs w:val="22"/>
        </w:rPr>
      </w:pPr>
    </w:p>
    <w:p w14:paraId="53ADA776" w14:textId="30C43487" w:rsidR="00AA426D" w:rsidRDefault="00592CE4" w:rsidP="00AA426D">
      <w:pPr>
        <w:spacing w:line="276" w:lineRule="auto"/>
        <w:rPr>
          <w:rFonts w:ascii="Arial" w:eastAsia="Times New Roman" w:hAnsi="Arial" w:cs="Arial"/>
          <w:sz w:val="22"/>
          <w:szCs w:val="22"/>
        </w:rPr>
      </w:pPr>
      <w:r w:rsidRPr="00AA426D">
        <w:rPr>
          <w:rFonts w:ascii="Arial" w:eastAsia="Times New Roman" w:hAnsi="Arial" w:cs="Arial"/>
          <w:sz w:val="22"/>
          <w:szCs w:val="22"/>
        </w:rPr>
        <w:t>With this looming deadline, the Ministry should</w:t>
      </w:r>
      <w:r w:rsidR="00AA426D">
        <w:rPr>
          <w:rFonts w:ascii="Arial" w:eastAsia="Times New Roman" w:hAnsi="Arial" w:cs="Arial"/>
          <w:sz w:val="22"/>
          <w:szCs w:val="22"/>
        </w:rPr>
        <w:t>:</w:t>
      </w:r>
    </w:p>
    <w:p w14:paraId="3866F211" w14:textId="77777777" w:rsidR="00AA426D" w:rsidRDefault="00592CE4" w:rsidP="00AA426D">
      <w:pPr>
        <w:pStyle w:val="ListParagraph"/>
        <w:numPr>
          <w:ilvl w:val="0"/>
          <w:numId w:val="5"/>
        </w:numPr>
        <w:spacing w:line="276" w:lineRule="auto"/>
        <w:rPr>
          <w:rFonts w:ascii="Arial" w:eastAsia="Times New Roman" w:hAnsi="Arial" w:cs="Arial"/>
        </w:rPr>
      </w:pPr>
      <w:r w:rsidRPr="00AA426D">
        <w:rPr>
          <w:rFonts w:ascii="Arial" w:eastAsia="Times New Roman" w:hAnsi="Arial" w:cs="Arial"/>
        </w:rPr>
        <w:t xml:space="preserve">Be engaging with stakeholders to identify issues and prepare plans, especially as in some areas of the </w:t>
      </w:r>
      <w:proofErr w:type="gramStart"/>
      <w:r w:rsidRPr="00AA426D">
        <w:rPr>
          <w:rFonts w:ascii="Arial" w:eastAsia="Times New Roman" w:hAnsi="Arial" w:cs="Arial"/>
        </w:rPr>
        <w:t>Province</w:t>
      </w:r>
      <w:proofErr w:type="gramEnd"/>
      <w:r w:rsidRPr="00AA426D">
        <w:rPr>
          <w:rFonts w:ascii="Arial" w:eastAsia="Times New Roman" w:hAnsi="Arial" w:cs="Arial"/>
        </w:rPr>
        <w:t>, there are few deposit sites available other than landfills</w:t>
      </w:r>
      <w:r w:rsidR="00AA426D">
        <w:rPr>
          <w:rFonts w:ascii="Arial" w:eastAsia="Times New Roman" w:hAnsi="Arial" w:cs="Arial"/>
        </w:rPr>
        <w:t>.</w:t>
      </w:r>
    </w:p>
    <w:p w14:paraId="20C0ED6C" w14:textId="77777777" w:rsidR="00AA426D" w:rsidRDefault="00592CE4" w:rsidP="00AA426D">
      <w:pPr>
        <w:pStyle w:val="ListParagraph"/>
        <w:numPr>
          <w:ilvl w:val="0"/>
          <w:numId w:val="5"/>
        </w:numPr>
        <w:spacing w:line="276" w:lineRule="auto"/>
        <w:rPr>
          <w:rFonts w:ascii="Arial" w:eastAsia="Times New Roman" w:hAnsi="Arial" w:cs="Arial"/>
        </w:rPr>
      </w:pPr>
      <w:r w:rsidRPr="00AA426D">
        <w:rPr>
          <w:rFonts w:ascii="Arial" w:eastAsia="Times New Roman" w:hAnsi="Arial" w:cs="Arial"/>
        </w:rPr>
        <w:t>Increase compliance as there may be an increase in those opting to illegally deposit soils at landfills despite the ban.</w:t>
      </w:r>
    </w:p>
    <w:p w14:paraId="3DFE7373" w14:textId="3F718379" w:rsidR="007F1456" w:rsidRPr="003F65E5" w:rsidRDefault="00592CE4" w:rsidP="00AA426D">
      <w:pPr>
        <w:pStyle w:val="ListParagraph"/>
        <w:numPr>
          <w:ilvl w:val="0"/>
          <w:numId w:val="5"/>
        </w:numPr>
        <w:spacing w:line="276" w:lineRule="auto"/>
        <w:rPr>
          <w:rFonts w:ascii="Arial" w:eastAsia="Times New Roman" w:hAnsi="Arial" w:cs="Arial"/>
        </w:rPr>
      </w:pPr>
      <w:r w:rsidRPr="00AA426D">
        <w:rPr>
          <w:rFonts w:ascii="Arial" w:eastAsia="Times New Roman" w:hAnsi="Arial" w:cs="Arial"/>
        </w:rPr>
        <w:t>Increase educational outreach to prepare stakeholders for these changes.</w:t>
      </w:r>
    </w:p>
    <w:p w14:paraId="4B1737AA" w14:textId="216F1828" w:rsidR="00AA426D" w:rsidRDefault="00AA426D" w:rsidP="00AA426D">
      <w:pPr>
        <w:spacing w:line="276" w:lineRule="auto"/>
        <w:rPr>
          <w:rFonts w:ascii="Arial" w:eastAsia="Times New Roman" w:hAnsi="Arial" w:cs="Arial"/>
          <w:b/>
          <w:bCs/>
          <w:sz w:val="22"/>
          <w:szCs w:val="22"/>
        </w:rPr>
      </w:pPr>
      <w:r w:rsidRPr="00AA426D">
        <w:rPr>
          <w:rFonts w:ascii="Arial" w:eastAsia="Times New Roman" w:hAnsi="Arial" w:cs="Arial"/>
          <w:b/>
          <w:bCs/>
          <w:sz w:val="22"/>
          <w:szCs w:val="22"/>
        </w:rPr>
        <w:t>Conclusion</w:t>
      </w:r>
    </w:p>
    <w:p w14:paraId="31BFA882" w14:textId="77777777" w:rsidR="003F65E5" w:rsidRDefault="003F65E5" w:rsidP="00AA426D">
      <w:pPr>
        <w:spacing w:line="276" w:lineRule="auto"/>
        <w:rPr>
          <w:rFonts w:ascii="Arial" w:hAnsi="Arial" w:cs="Arial"/>
          <w:kern w:val="0"/>
          <w:sz w:val="22"/>
          <w:szCs w:val="22"/>
          <w:lang w:val="en-US"/>
        </w:rPr>
      </w:pPr>
    </w:p>
    <w:p w14:paraId="66865E0C" w14:textId="0AE5FD01" w:rsidR="00AA426D" w:rsidRDefault="00AA426D" w:rsidP="00AA426D">
      <w:pPr>
        <w:spacing w:line="276" w:lineRule="auto"/>
        <w:rPr>
          <w:rFonts w:ascii="Arial" w:hAnsi="Arial" w:cs="Arial"/>
          <w:kern w:val="0"/>
          <w:sz w:val="22"/>
          <w:szCs w:val="22"/>
          <w:lang w:val="en-US"/>
        </w:rPr>
      </w:pPr>
      <w:r w:rsidRPr="00AA426D">
        <w:rPr>
          <w:rFonts w:ascii="Arial" w:hAnsi="Arial" w:cs="Arial"/>
          <w:kern w:val="0"/>
          <w:sz w:val="22"/>
          <w:szCs w:val="22"/>
          <w:lang w:val="en-US"/>
        </w:rPr>
        <w:t>In closing,</w:t>
      </w:r>
      <w:r w:rsidR="0000603F">
        <w:rPr>
          <w:rFonts w:ascii="Arial" w:hAnsi="Arial" w:cs="Arial"/>
          <w:kern w:val="0"/>
          <w:sz w:val="22"/>
          <w:szCs w:val="22"/>
          <w:lang w:val="en-US"/>
        </w:rPr>
        <w:t xml:space="preserve"> NHBA along with</w:t>
      </w:r>
      <w:r w:rsidRPr="00AA426D">
        <w:rPr>
          <w:rFonts w:ascii="Arial" w:hAnsi="Arial" w:cs="Arial"/>
          <w:kern w:val="0"/>
          <w:sz w:val="22"/>
          <w:szCs w:val="22"/>
          <w:lang w:val="en-US"/>
        </w:rPr>
        <w:t xml:space="preserve"> </w:t>
      </w:r>
      <w:r>
        <w:rPr>
          <w:rFonts w:ascii="Arial" w:hAnsi="Arial" w:cs="Arial"/>
          <w:kern w:val="0"/>
          <w:sz w:val="22"/>
          <w:szCs w:val="22"/>
          <w:lang w:val="en-US"/>
        </w:rPr>
        <w:t>OHBA</w:t>
      </w:r>
      <w:r w:rsidRPr="00AA426D">
        <w:rPr>
          <w:rFonts w:ascii="Arial" w:hAnsi="Arial" w:cs="Arial"/>
          <w:kern w:val="0"/>
          <w:sz w:val="22"/>
          <w:szCs w:val="22"/>
          <w:lang w:val="en-US"/>
        </w:rPr>
        <w:t xml:space="preserve"> strongly believes that there continue to be opportunities for the province to streamline Ontario’s environmental approvals processe</w:t>
      </w:r>
      <w:r w:rsidR="001921C5">
        <w:rPr>
          <w:rFonts w:ascii="Arial" w:hAnsi="Arial" w:cs="Arial"/>
          <w:kern w:val="0"/>
          <w:sz w:val="22"/>
          <w:szCs w:val="22"/>
          <w:lang w:val="en-US"/>
        </w:rPr>
        <w:t>s</w:t>
      </w:r>
      <w:r w:rsidRPr="00AA426D">
        <w:rPr>
          <w:rFonts w:ascii="Arial" w:hAnsi="Arial" w:cs="Arial"/>
          <w:kern w:val="0"/>
          <w:sz w:val="22"/>
          <w:szCs w:val="22"/>
          <w:lang w:val="en-US"/>
        </w:rPr>
        <w:t xml:space="preserve"> to ensure that Ontario is open for business while balancing environmental protections. Overall,</w:t>
      </w:r>
      <w:r w:rsidR="0000603F">
        <w:rPr>
          <w:rFonts w:ascii="Arial" w:hAnsi="Arial" w:cs="Arial"/>
          <w:kern w:val="0"/>
          <w:sz w:val="22"/>
          <w:szCs w:val="22"/>
          <w:lang w:val="en-US"/>
        </w:rPr>
        <w:t xml:space="preserve"> NHBA and</w:t>
      </w:r>
      <w:r w:rsidRPr="00AA426D">
        <w:rPr>
          <w:rFonts w:ascii="Arial" w:hAnsi="Arial" w:cs="Arial"/>
          <w:kern w:val="0"/>
          <w:sz w:val="22"/>
          <w:szCs w:val="22"/>
          <w:lang w:val="en-US"/>
        </w:rPr>
        <w:t xml:space="preserve"> </w:t>
      </w:r>
      <w:r>
        <w:rPr>
          <w:rFonts w:ascii="Arial" w:hAnsi="Arial" w:cs="Arial"/>
          <w:kern w:val="0"/>
          <w:sz w:val="22"/>
          <w:szCs w:val="22"/>
          <w:lang w:val="en-US"/>
        </w:rPr>
        <w:t>OHBA</w:t>
      </w:r>
      <w:r w:rsidRPr="00AA426D">
        <w:rPr>
          <w:rFonts w:ascii="Arial" w:hAnsi="Arial" w:cs="Arial"/>
          <w:kern w:val="0"/>
          <w:sz w:val="22"/>
          <w:szCs w:val="22"/>
          <w:lang w:val="en-US"/>
        </w:rPr>
        <w:t xml:space="preserve"> </w:t>
      </w:r>
      <w:r w:rsidR="0000603F">
        <w:rPr>
          <w:rFonts w:ascii="Arial" w:hAnsi="Arial" w:cs="Arial"/>
          <w:kern w:val="0"/>
          <w:sz w:val="22"/>
          <w:szCs w:val="22"/>
          <w:lang w:val="en-US"/>
        </w:rPr>
        <w:t>are</w:t>
      </w:r>
      <w:r w:rsidRPr="00AA426D">
        <w:rPr>
          <w:rFonts w:ascii="Arial" w:hAnsi="Arial" w:cs="Arial"/>
          <w:kern w:val="0"/>
          <w:sz w:val="22"/>
          <w:szCs w:val="22"/>
          <w:lang w:val="en-US"/>
        </w:rPr>
        <w:t xml:space="preserve"> supportive of the regulatory proposal with a few caveats</w:t>
      </w:r>
      <w:r w:rsidR="001921C5">
        <w:rPr>
          <w:rFonts w:ascii="Arial" w:hAnsi="Arial" w:cs="Arial"/>
          <w:kern w:val="0"/>
          <w:sz w:val="22"/>
          <w:szCs w:val="22"/>
          <w:lang w:val="en-US"/>
        </w:rPr>
        <w:t>,</w:t>
      </w:r>
      <w:r w:rsidRPr="00AA426D">
        <w:rPr>
          <w:rFonts w:ascii="Arial" w:hAnsi="Arial" w:cs="Arial"/>
          <w:kern w:val="0"/>
          <w:sz w:val="22"/>
          <w:szCs w:val="22"/>
          <w:lang w:val="en-US"/>
        </w:rPr>
        <w:t xml:space="preserve"> as articulated in our submission above. We support the provincial government’s objective to continuously improve the protection of health and the environment while facilitating the safe and appropriate relocation of soil. It is important that the government have a strong framework for excess soils management without overburdening the sector with significant additional red tape. </w:t>
      </w:r>
    </w:p>
    <w:p w14:paraId="484FA496" w14:textId="0F985191" w:rsidR="00AA426D" w:rsidRPr="00AA426D" w:rsidRDefault="00AA426D" w:rsidP="00AA426D">
      <w:pPr>
        <w:spacing w:before="100" w:beforeAutospacing="1" w:after="100" w:afterAutospacing="1" w:line="276" w:lineRule="auto"/>
        <w:rPr>
          <w:rFonts w:ascii="Arial" w:eastAsia="Times New Roman" w:hAnsi="Arial" w:cs="Arial"/>
          <w:sz w:val="22"/>
          <w:szCs w:val="22"/>
        </w:rPr>
      </w:pPr>
      <w:r>
        <w:rPr>
          <w:rFonts w:ascii="Arial" w:hAnsi="Arial" w:cs="Arial"/>
          <w:kern w:val="0"/>
          <w:sz w:val="22"/>
          <w:szCs w:val="22"/>
          <w:lang w:val="en-US"/>
        </w:rPr>
        <w:t xml:space="preserve">We </w:t>
      </w:r>
      <w:r w:rsidRPr="00AA426D">
        <w:rPr>
          <w:rFonts w:ascii="Arial" w:hAnsi="Arial" w:cs="Arial"/>
          <w:kern w:val="0"/>
          <w:sz w:val="22"/>
          <w:szCs w:val="22"/>
          <w:lang w:val="en-US"/>
        </w:rPr>
        <w:t xml:space="preserve">believe we can maintain the integrity of the </w:t>
      </w:r>
      <w:r w:rsidR="001921C5">
        <w:rPr>
          <w:rFonts w:ascii="Arial" w:hAnsi="Arial" w:cs="Arial"/>
          <w:kern w:val="0"/>
          <w:sz w:val="22"/>
          <w:szCs w:val="22"/>
          <w:lang w:val="en-US"/>
        </w:rPr>
        <w:t>approval process</w:t>
      </w:r>
      <w:r w:rsidRPr="00AA426D">
        <w:rPr>
          <w:rFonts w:ascii="Arial" w:hAnsi="Arial" w:cs="Arial"/>
          <w:kern w:val="0"/>
          <w:sz w:val="22"/>
          <w:szCs w:val="22"/>
          <w:lang w:val="en-US"/>
        </w:rPr>
        <w:t xml:space="preserve"> while finding efficiencies</w:t>
      </w:r>
      <w:r w:rsidR="001921C5">
        <w:rPr>
          <w:rFonts w:ascii="Arial" w:hAnsi="Arial" w:cs="Arial"/>
          <w:kern w:val="0"/>
          <w:sz w:val="22"/>
          <w:szCs w:val="22"/>
          <w:lang w:val="en-US"/>
        </w:rPr>
        <w:t xml:space="preserve"> </w:t>
      </w:r>
      <w:r>
        <w:rPr>
          <w:rFonts w:ascii="Arial" w:hAnsi="Arial" w:cs="Arial"/>
          <w:kern w:val="0"/>
          <w:sz w:val="22"/>
          <w:szCs w:val="22"/>
          <w:lang w:val="en-US"/>
        </w:rPr>
        <w:t xml:space="preserve">and that </w:t>
      </w:r>
      <w:r w:rsidRPr="00AA426D">
        <w:rPr>
          <w:rFonts w:ascii="Arial" w:hAnsi="Arial" w:cs="Arial"/>
          <w:kern w:val="0"/>
          <w:sz w:val="22"/>
          <w:szCs w:val="22"/>
          <w:lang w:val="en-US"/>
        </w:rPr>
        <w:t xml:space="preserve">the current proposal by the MECP is another positive step to modernize the excess soils regulatory framework. </w:t>
      </w:r>
    </w:p>
    <w:p w14:paraId="10EA6CA5" w14:textId="503875A1" w:rsidR="00AA426D" w:rsidRDefault="00AA426D" w:rsidP="00AA426D">
      <w:pPr>
        <w:spacing w:line="276" w:lineRule="auto"/>
        <w:rPr>
          <w:rFonts w:ascii="Arial" w:hAnsi="Arial" w:cs="Arial"/>
          <w:kern w:val="0"/>
          <w:sz w:val="22"/>
          <w:szCs w:val="22"/>
          <w:lang w:val="en-US"/>
        </w:rPr>
      </w:pPr>
      <w:r w:rsidRPr="00AA426D">
        <w:rPr>
          <w:rFonts w:ascii="Arial" w:hAnsi="Arial" w:cs="Arial"/>
          <w:kern w:val="0"/>
          <w:sz w:val="22"/>
          <w:szCs w:val="22"/>
          <w:lang w:val="en-US"/>
        </w:rPr>
        <w:t xml:space="preserve">On behalf of our </w:t>
      </w:r>
      <w:r>
        <w:rPr>
          <w:rFonts w:ascii="Arial" w:hAnsi="Arial" w:cs="Arial"/>
          <w:kern w:val="0"/>
          <w:sz w:val="22"/>
          <w:szCs w:val="22"/>
          <w:lang w:val="en-US"/>
        </w:rPr>
        <w:t xml:space="preserve">4000+ </w:t>
      </w:r>
      <w:r w:rsidRPr="00AA426D">
        <w:rPr>
          <w:rFonts w:ascii="Arial" w:hAnsi="Arial" w:cs="Arial"/>
          <w:kern w:val="0"/>
          <w:sz w:val="22"/>
          <w:szCs w:val="22"/>
          <w:lang w:val="en-US"/>
        </w:rPr>
        <w:t>member companies</w:t>
      </w:r>
      <w:r w:rsidR="0000603F">
        <w:rPr>
          <w:rFonts w:ascii="Arial" w:hAnsi="Arial" w:cs="Arial"/>
          <w:kern w:val="0"/>
          <w:sz w:val="22"/>
          <w:szCs w:val="22"/>
          <w:lang w:val="en-US"/>
        </w:rPr>
        <w:t xml:space="preserve"> province wide</w:t>
      </w:r>
      <w:r w:rsidR="001921C5">
        <w:rPr>
          <w:rFonts w:ascii="Arial" w:hAnsi="Arial" w:cs="Arial"/>
          <w:kern w:val="0"/>
          <w:sz w:val="22"/>
          <w:szCs w:val="22"/>
          <w:lang w:val="en-US"/>
        </w:rPr>
        <w:t>,</w:t>
      </w:r>
      <w:r w:rsidRPr="00AA426D">
        <w:rPr>
          <w:rFonts w:ascii="Arial" w:hAnsi="Arial" w:cs="Arial"/>
          <w:kern w:val="0"/>
          <w:sz w:val="22"/>
          <w:szCs w:val="22"/>
          <w:lang w:val="en-US"/>
        </w:rPr>
        <w:t xml:space="preserve"> we appreciate the opportunity to provide the provincial government with our feedback and recommendations. In coordination with </w:t>
      </w:r>
      <w:r>
        <w:rPr>
          <w:rFonts w:ascii="Arial" w:hAnsi="Arial" w:cs="Arial"/>
          <w:kern w:val="0"/>
          <w:sz w:val="22"/>
          <w:szCs w:val="22"/>
          <w:lang w:val="en-US"/>
        </w:rPr>
        <w:t>our 27 Chapter HBAs, we would be pleased to meet directly with MECP officials to discuss further.</w:t>
      </w:r>
    </w:p>
    <w:p w14:paraId="19355CBB" w14:textId="77777777" w:rsidR="00245327" w:rsidRPr="00AA426D" w:rsidRDefault="00245327" w:rsidP="00AA426D">
      <w:pPr>
        <w:spacing w:line="276" w:lineRule="auto"/>
        <w:rPr>
          <w:rFonts w:ascii="Arial" w:eastAsia="Calibri" w:hAnsi="Arial" w:cs="Arial"/>
          <w:color w:val="000000" w:themeColor="text1"/>
          <w:sz w:val="22"/>
          <w:szCs w:val="22"/>
        </w:rPr>
      </w:pPr>
    </w:p>
    <w:p w14:paraId="5427C05E" w14:textId="453AE093" w:rsidR="003C0D14" w:rsidRPr="00AA426D" w:rsidRDefault="003C0D14" w:rsidP="00AA426D">
      <w:pPr>
        <w:spacing w:line="276" w:lineRule="auto"/>
        <w:rPr>
          <w:rFonts w:ascii="Arial" w:eastAsia="Calibri" w:hAnsi="Arial" w:cs="Arial"/>
          <w:color w:val="000000" w:themeColor="text1"/>
          <w:sz w:val="22"/>
          <w:szCs w:val="22"/>
        </w:rPr>
      </w:pPr>
      <w:r w:rsidRPr="00AA426D">
        <w:rPr>
          <w:rFonts w:ascii="Arial" w:eastAsia="Calibri" w:hAnsi="Arial" w:cs="Arial"/>
          <w:color w:val="000000" w:themeColor="text1"/>
          <w:sz w:val="22"/>
          <w:szCs w:val="22"/>
        </w:rPr>
        <w:t>Sincerely,</w:t>
      </w:r>
    </w:p>
    <w:p w14:paraId="3067D023" w14:textId="77777777" w:rsidR="00977BBD" w:rsidRPr="00AA426D" w:rsidRDefault="00977BBD" w:rsidP="00AA426D">
      <w:pPr>
        <w:spacing w:line="276" w:lineRule="auto"/>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4760"/>
      </w:tblGrid>
      <w:tr w:rsidR="00245327" w:rsidRPr="00AA426D" w14:paraId="501DCC67" w14:textId="77777777" w:rsidTr="00245327">
        <w:tc>
          <w:tcPr>
            <w:tcW w:w="5310" w:type="dxa"/>
          </w:tcPr>
          <w:p w14:paraId="572C4A74" w14:textId="4B9AE811" w:rsidR="00245327" w:rsidRPr="00AA426D" w:rsidRDefault="00977BBD" w:rsidP="00AA426D">
            <w:pPr>
              <w:spacing w:line="276" w:lineRule="auto"/>
              <w:rPr>
                <w:rFonts w:ascii="Arial" w:hAnsi="Arial" w:cs="Arial"/>
              </w:rPr>
            </w:pPr>
            <w:r>
              <w:rPr>
                <w:rFonts w:ascii="Arial" w:hAnsi="Arial" w:cs="Arial"/>
                <w:noProof/>
              </w:rPr>
              <w:drawing>
                <wp:inline distT="0" distB="0" distL="0" distR="0" wp14:anchorId="10C5A6C0" wp14:editId="29B13E81">
                  <wp:extent cx="791570" cy="753144"/>
                  <wp:effectExtent l="0" t="0" r="8890" b="8890"/>
                  <wp:docPr id="4" name="Picture 4"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signature on a white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96335" cy="757678"/>
                          </a:xfrm>
                          <a:prstGeom prst="rect">
                            <a:avLst/>
                          </a:prstGeom>
                        </pic:spPr>
                      </pic:pic>
                    </a:graphicData>
                  </a:graphic>
                </wp:inline>
              </w:drawing>
            </w:r>
          </w:p>
        </w:tc>
        <w:tc>
          <w:tcPr>
            <w:tcW w:w="4760" w:type="dxa"/>
          </w:tcPr>
          <w:p w14:paraId="59313728" w14:textId="7D32EE98" w:rsidR="00245327" w:rsidRPr="00AA426D" w:rsidRDefault="00977BBD" w:rsidP="00AA426D">
            <w:pPr>
              <w:spacing w:line="276" w:lineRule="auto"/>
              <w:rPr>
                <w:rFonts w:ascii="Arial" w:hAnsi="Arial" w:cs="Arial"/>
              </w:rPr>
            </w:pPr>
            <w:r>
              <w:rPr>
                <w:rFonts w:ascii="Arial" w:hAnsi="Arial" w:cs="Arial"/>
                <w:noProof/>
              </w:rPr>
              <w:drawing>
                <wp:inline distT="0" distB="0" distL="0" distR="0" wp14:anchorId="25F82B5E" wp14:editId="1F237083">
                  <wp:extent cx="1242753" cy="353291"/>
                  <wp:effectExtent l="0" t="0" r="0" b="8890"/>
                  <wp:docPr id="5" name="Picture 5" descr="A close up of a wri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writing&#10;&#10;Description automatically generated"/>
                          <pic:cNvPicPr/>
                        </pic:nvPicPr>
                        <pic:blipFill>
                          <a:blip r:embed="rId9">
                            <a:alphaModFix/>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242753" cy="353291"/>
                          </a:xfrm>
                          <a:prstGeom prst="rect">
                            <a:avLst/>
                          </a:prstGeom>
                        </pic:spPr>
                      </pic:pic>
                    </a:graphicData>
                  </a:graphic>
                </wp:inline>
              </w:drawing>
            </w:r>
          </w:p>
        </w:tc>
      </w:tr>
      <w:tr w:rsidR="00245327" w:rsidRPr="00AA426D" w14:paraId="6C9E19A7" w14:textId="77777777" w:rsidTr="00245327">
        <w:tc>
          <w:tcPr>
            <w:tcW w:w="5310" w:type="dxa"/>
          </w:tcPr>
          <w:p w14:paraId="3417E093" w14:textId="6EFFDA15" w:rsidR="00245327" w:rsidRPr="00AA426D" w:rsidRDefault="00977BBD" w:rsidP="00AA426D">
            <w:pPr>
              <w:spacing w:line="276" w:lineRule="auto"/>
              <w:rPr>
                <w:rFonts w:ascii="Arial" w:hAnsi="Arial" w:cs="Arial"/>
                <w:b/>
                <w:bCs/>
              </w:rPr>
            </w:pPr>
            <w:r>
              <w:rPr>
                <w:rFonts w:ascii="Arial" w:hAnsi="Arial" w:cs="Arial"/>
                <w:b/>
                <w:bCs/>
              </w:rPr>
              <w:t>Paul Savoia</w:t>
            </w:r>
          </w:p>
          <w:p w14:paraId="41992DA2" w14:textId="5BC9E6FA" w:rsidR="00245327" w:rsidRPr="00AA426D" w:rsidRDefault="00977BBD" w:rsidP="00AA426D">
            <w:pPr>
              <w:spacing w:line="276" w:lineRule="auto"/>
              <w:rPr>
                <w:rFonts w:ascii="Arial" w:hAnsi="Arial" w:cs="Arial"/>
              </w:rPr>
            </w:pPr>
            <w:r>
              <w:rPr>
                <w:rFonts w:ascii="Arial" w:hAnsi="Arial" w:cs="Arial"/>
              </w:rPr>
              <w:t>President</w:t>
            </w:r>
            <w:r w:rsidR="00245327" w:rsidRPr="00AA426D">
              <w:rPr>
                <w:rFonts w:ascii="Arial" w:hAnsi="Arial" w:cs="Arial"/>
              </w:rPr>
              <w:t xml:space="preserve">, </w:t>
            </w:r>
            <w:r>
              <w:rPr>
                <w:rFonts w:ascii="Arial" w:hAnsi="Arial" w:cs="Arial"/>
              </w:rPr>
              <w:t>Niagara</w:t>
            </w:r>
            <w:r w:rsidR="00245327" w:rsidRPr="00AA426D">
              <w:rPr>
                <w:rFonts w:ascii="Arial" w:hAnsi="Arial" w:cs="Arial"/>
              </w:rPr>
              <w:t xml:space="preserve"> Home Builders’ Association</w:t>
            </w:r>
          </w:p>
        </w:tc>
        <w:tc>
          <w:tcPr>
            <w:tcW w:w="4760" w:type="dxa"/>
          </w:tcPr>
          <w:p w14:paraId="423E3408" w14:textId="0600B4D4" w:rsidR="00245327" w:rsidRPr="00AA426D" w:rsidRDefault="00977BBD" w:rsidP="00AA426D">
            <w:pPr>
              <w:spacing w:line="276" w:lineRule="auto"/>
              <w:rPr>
                <w:rFonts w:ascii="Arial" w:hAnsi="Arial" w:cs="Arial"/>
                <w:b/>
                <w:bCs/>
              </w:rPr>
            </w:pPr>
            <w:r>
              <w:rPr>
                <w:rFonts w:ascii="Arial" w:hAnsi="Arial" w:cs="Arial"/>
                <w:b/>
                <w:bCs/>
              </w:rPr>
              <w:t>Chuck McShane</w:t>
            </w:r>
          </w:p>
          <w:p w14:paraId="23AADAF1" w14:textId="675A52F2" w:rsidR="00245327" w:rsidRPr="00AA426D" w:rsidRDefault="00977BBD" w:rsidP="00AA426D">
            <w:pPr>
              <w:spacing w:line="276" w:lineRule="auto"/>
              <w:rPr>
                <w:rFonts w:ascii="Arial" w:hAnsi="Arial" w:cs="Arial"/>
              </w:rPr>
            </w:pPr>
            <w:r>
              <w:rPr>
                <w:rFonts w:ascii="Arial" w:hAnsi="Arial" w:cs="Arial"/>
              </w:rPr>
              <w:t>CEO, Niagara</w:t>
            </w:r>
            <w:r w:rsidR="00245327" w:rsidRPr="00AA426D">
              <w:rPr>
                <w:rFonts w:ascii="Arial" w:hAnsi="Arial" w:cs="Arial"/>
              </w:rPr>
              <w:t xml:space="preserve"> Home Builders’ Association</w:t>
            </w:r>
          </w:p>
        </w:tc>
      </w:tr>
    </w:tbl>
    <w:p w14:paraId="084B0E2A" w14:textId="77777777" w:rsidR="00245327" w:rsidRPr="00AA426D" w:rsidRDefault="00245327" w:rsidP="00AA426D">
      <w:pPr>
        <w:spacing w:line="276" w:lineRule="auto"/>
        <w:rPr>
          <w:rFonts w:ascii="Arial" w:hAnsi="Arial" w:cs="Arial"/>
          <w:sz w:val="22"/>
          <w:szCs w:val="22"/>
        </w:rPr>
      </w:pPr>
    </w:p>
    <w:p w14:paraId="74631BFB" w14:textId="77777777" w:rsidR="00245327" w:rsidRPr="00AA426D" w:rsidRDefault="00245327" w:rsidP="00AA426D">
      <w:pPr>
        <w:tabs>
          <w:tab w:val="left" w:pos="1183"/>
        </w:tabs>
        <w:spacing w:line="276" w:lineRule="auto"/>
        <w:rPr>
          <w:rFonts w:ascii="Arial" w:hAnsi="Arial" w:cs="Arial"/>
          <w:sz w:val="22"/>
          <w:szCs w:val="22"/>
        </w:rPr>
      </w:pPr>
    </w:p>
    <w:p w14:paraId="7161CC1F" w14:textId="77777777" w:rsidR="00245327" w:rsidRPr="00AA426D" w:rsidRDefault="00245327" w:rsidP="00AA426D">
      <w:pPr>
        <w:spacing w:line="276" w:lineRule="auto"/>
        <w:rPr>
          <w:rFonts w:ascii="Arial" w:hAnsi="Arial" w:cs="Arial"/>
          <w:sz w:val="22"/>
          <w:szCs w:val="22"/>
        </w:rPr>
      </w:pPr>
    </w:p>
    <w:sectPr w:rsidR="00245327" w:rsidRPr="00AA426D" w:rsidSect="0078343E">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6AD77" w14:textId="77777777" w:rsidR="00FA5407" w:rsidRDefault="00FA5407" w:rsidP="00B60727">
      <w:r>
        <w:separator/>
      </w:r>
    </w:p>
  </w:endnote>
  <w:endnote w:type="continuationSeparator" w:id="0">
    <w:p w14:paraId="0537BCB3" w14:textId="77777777" w:rsidR="00FA5407" w:rsidRDefault="00FA5407" w:rsidP="00B6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5367906"/>
      <w:docPartObj>
        <w:docPartGallery w:val="Page Numbers (Bottom of Page)"/>
        <w:docPartUnique/>
      </w:docPartObj>
    </w:sdtPr>
    <w:sdtContent>
      <w:p w14:paraId="4D6CA44A" w14:textId="5A3D9180" w:rsidR="0078343E" w:rsidRDefault="0078343E" w:rsidP="00B608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C19873" w14:textId="77777777" w:rsidR="0078343E" w:rsidRDefault="0078343E" w:rsidP="007834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b/>
        <w:bCs/>
        <w:color w:val="000000" w:themeColor="text1"/>
        <w:sz w:val="16"/>
        <w:szCs w:val="16"/>
      </w:rPr>
      <w:id w:val="1855760812"/>
      <w:docPartObj>
        <w:docPartGallery w:val="Page Numbers (Bottom of Page)"/>
        <w:docPartUnique/>
      </w:docPartObj>
    </w:sdtPr>
    <w:sdtContent>
      <w:p w14:paraId="65B63811" w14:textId="3C47DEDD" w:rsidR="0078343E" w:rsidRPr="0078343E" w:rsidRDefault="0078343E" w:rsidP="0078343E">
        <w:pPr>
          <w:pStyle w:val="Footer"/>
          <w:framePr w:wrap="none" w:vAnchor="text" w:hAnchor="margin" w:xAlign="right" w:y="41"/>
          <w:rPr>
            <w:rStyle w:val="PageNumber"/>
            <w:rFonts w:ascii="Arial" w:hAnsi="Arial" w:cs="Arial"/>
            <w:b/>
            <w:bCs/>
            <w:color w:val="000000" w:themeColor="text1"/>
            <w:sz w:val="16"/>
            <w:szCs w:val="16"/>
          </w:rPr>
        </w:pPr>
        <w:r w:rsidRPr="0078343E">
          <w:rPr>
            <w:rStyle w:val="PageNumber"/>
            <w:rFonts w:ascii="Arial" w:hAnsi="Arial" w:cs="Arial"/>
            <w:b/>
            <w:bCs/>
            <w:color w:val="000000" w:themeColor="text1"/>
            <w:sz w:val="16"/>
            <w:szCs w:val="16"/>
          </w:rPr>
          <w:fldChar w:fldCharType="begin"/>
        </w:r>
        <w:r w:rsidRPr="0078343E">
          <w:rPr>
            <w:rStyle w:val="PageNumber"/>
            <w:rFonts w:ascii="Arial" w:hAnsi="Arial" w:cs="Arial"/>
            <w:b/>
            <w:bCs/>
            <w:color w:val="000000" w:themeColor="text1"/>
            <w:sz w:val="16"/>
            <w:szCs w:val="16"/>
          </w:rPr>
          <w:instrText xml:space="preserve"> PAGE </w:instrText>
        </w:r>
        <w:r w:rsidRPr="0078343E">
          <w:rPr>
            <w:rStyle w:val="PageNumber"/>
            <w:rFonts w:ascii="Arial" w:hAnsi="Arial" w:cs="Arial"/>
            <w:b/>
            <w:bCs/>
            <w:color w:val="000000" w:themeColor="text1"/>
            <w:sz w:val="16"/>
            <w:szCs w:val="16"/>
          </w:rPr>
          <w:fldChar w:fldCharType="separate"/>
        </w:r>
        <w:r w:rsidRPr="0078343E">
          <w:rPr>
            <w:rStyle w:val="PageNumber"/>
            <w:rFonts w:ascii="Arial" w:hAnsi="Arial" w:cs="Arial"/>
            <w:b/>
            <w:bCs/>
            <w:noProof/>
            <w:color w:val="000000" w:themeColor="text1"/>
            <w:sz w:val="16"/>
            <w:szCs w:val="16"/>
          </w:rPr>
          <w:t>2</w:t>
        </w:r>
        <w:r w:rsidRPr="0078343E">
          <w:rPr>
            <w:rStyle w:val="PageNumber"/>
            <w:rFonts w:ascii="Arial" w:hAnsi="Arial" w:cs="Arial"/>
            <w:b/>
            <w:bCs/>
            <w:color w:val="000000" w:themeColor="text1"/>
            <w:sz w:val="16"/>
            <w:szCs w:val="16"/>
          </w:rPr>
          <w:fldChar w:fldCharType="end"/>
        </w:r>
      </w:p>
    </w:sdtContent>
  </w:sdt>
  <w:p w14:paraId="70AA0972" w14:textId="012A859D" w:rsidR="00AA426D" w:rsidRPr="0078343E" w:rsidRDefault="00AA426D" w:rsidP="0078343E">
    <w:pPr>
      <w:pStyle w:val="Footer"/>
      <w:ind w:right="360"/>
      <w:rPr>
        <w:rFonts w:ascii="Arial" w:hAnsi="Arial" w:cs="Arial"/>
        <w:i/>
        <w:iCs/>
        <w:sz w:val="16"/>
        <w:szCs w:val="16"/>
      </w:rPr>
    </w:pPr>
  </w:p>
  <w:p w14:paraId="51FB5AE4" w14:textId="14BE052B" w:rsidR="00AA426D" w:rsidRDefault="00B53C88">
    <w:pPr>
      <w:pStyle w:val="Footer"/>
      <w:rPr>
        <w:rFonts w:ascii="Arial" w:hAnsi="Arial" w:cs="Arial"/>
        <w:i/>
        <w:iCs/>
        <w:sz w:val="16"/>
        <w:szCs w:val="16"/>
      </w:rPr>
    </w:pPr>
    <w:r>
      <w:rPr>
        <w:rFonts w:ascii="Arial" w:hAnsi="Arial" w:cs="Arial"/>
        <w:i/>
        <w:iCs/>
        <w:sz w:val="16"/>
        <w:szCs w:val="16"/>
      </w:rPr>
      <w:t xml:space="preserve">P.O. Box 28 </w:t>
    </w:r>
  </w:p>
  <w:p w14:paraId="0EAFF1B0" w14:textId="19EF9DA2" w:rsidR="00B53C88" w:rsidRDefault="00B53C88">
    <w:pPr>
      <w:pStyle w:val="Footer"/>
      <w:rPr>
        <w:rFonts w:ascii="Arial" w:hAnsi="Arial" w:cs="Arial"/>
        <w:i/>
        <w:iCs/>
        <w:sz w:val="16"/>
        <w:szCs w:val="16"/>
      </w:rPr>
    </w:pPr>
    <w:proofErr w:type="gramStart"/>
    <w:r>
      <w:rPr>
        <w:rFonts w:ascii="Arial" w:hAnsi="Arial" w:cs="Arial"/>
        <w:i/>
        <w:iCs/>
        <w:sz w:val="16"/>
        <w:szCs w:val="16"/>
      </w:rPr>
      <w:t>Ridgeway ,</w:t>
    </w:r>
    <w:proofErr w:type="gramEnd"/>
    <w:r>
      <w:rPr>
        <w:rFonts w:ascii="Arial" w:hAnsi="Arial" w:cs="Arial"/>
        <w:i/>
        <w:iCs/>
        <w:sz w:val="16"/>
        <w:szCs w:val="16"/>
      </w:rPr>
      <w:t xml:space="preserve"> Ontario</w:t>
    </w:r>
  </w:p>
  <w:p w14:paraId="12FF60F7" w14:textId="12B945F5" w:rsidR="00B53C88" w:rsidRPr="0078343E" w:rsidRDefault="00B53C88">
    <w:pPr>
      <w:pStyle w:val="Footer"/>
      <w:rPr>
        <w:rFonts w:ascii="Arial" w:hAnsi="Arial" w:cs="Arial"/>
        <w:i/>
        <w:iCs/>
        <w:sz w:val="16"/>
        <w:szCs w:val="16"/>
      </w:rPr>
    </w:pPr>
    <w:r>
      <w:rPr>
        <w:rFonts w:ascii="Arial" w:hAnsi="Arial" w:cs="Arial"/>
        <w:i/>
        <w:iCs/>
        <w:sz w:val="16"/>
        <w:szCs w:val="16"/>
      </w:rPr>
      <w:t>L0S 1N0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640DB" w14:textId="70C4F46F" w:rsidR="0078343E" w:rsidRDefault="0078343E" w:rsidP="00B60836">
    <w:pPr>
      <w:pStyle w:val="Footer"/>
      <w:framePr w:wrap="none" w:vAnchor="text" w:hAnchor="margin" w:xAlign="right" w:y="1"/>
      <w:rPr>
        <w:rStyle w:val="PageNumber"/>
      </w:rPr>
    </w:pPr>
  </w:p>
  <w:p w14:paraId="6659C3FB" w14:textId="77777777" w:rsidR="00B53C88" w:rsidRDefault="00B53C88" w:rsidP="00B53C88">
    <w:pPr>
      <w:pStyle w:val="Footer"/>
      <w:rPr>
        <w:rFonts w:ascii="Arial" w:hAnsi="Arial" w:cs="Arial"/>
        <w:i/>
        <w:iCs/>
        <w:sz w:val="16"/>
        <w:szCs w:val="16"/>
      </w:rPr>
    </w:pPr>
    <w:r>
      <w:rPr>
        <w:rFonts w:ascii="Arial" w:hAnsi="Arial" w:cs="Arial"/>
        <w:i/>
        <w:iCs/>
        <w:sz w:val="16"/>
        <w:szCs w:val="16"/>
      </w:rPr>
      <w:t xml:space="preserve">P.O. Box 28 </w:t>
    </w:r>
  </w:p>
  <w:p w14:paraId="1CC0645B" w14:textId="77777777" w:rsidR="00B53C88" w:rsidRDefault="00B53C88" w:rsidP="00B53C88">
    <w:pPr>
      <w:pStyle w:val="Footer"/>
      <w:rPr>
        <w:rFonts w:ascii="Arial" w:hAnsi="Arial" w:cs="Arial"/>
        <w:i/>
        <w:iCs/>
        <w:sz w:val="16"/>
        <w:szCs w:val="16"/>
      </w:rPr>
    </w:pPr>
    <w:proofErr w:type="gramStart"/>
    <w:r>
      <w:rPr>
        <w:rFonts w:ascii="Arial" w:hAnsi="Arial" w:cs="Arial"/>
        <w:i/>
        <w:iCs/>
        <w:sz w:val="16"/>
        <w:szCs w:val="16"/>
      </w:rPr>
      <w:t>Ridgeway ,</w:t>
    </w:r>
    <w:proofErr w:type="gramEnd"/>
    <w:r>
      <w:rPr>
        <w:rFonts w:ascii="Arial" w:hAnsi="Arial" w:cs="Arial"/>
        <w:i/>
        <w:iCs/>
        <w:sz w:val="16"/>
        <w:szCs w:val="16"/>
      </w:rPr>
      <w:t xml:space="preserve"> Ontario</w:t>
    </w:r>
  </w:p>
  <w:p w14:paraId="1BD6A751" w14:textId="77777777" w:rsidR="00B53C88" w:rsidRPr="0078343E" w:rsidRDefault="00B53C88" w:rsidP="00B53C88">
    <w:pPr>
      <w:pStyle w:val="Footer"/>
      <w:rPr>
        <w:rFonts w:ascii="Arial" w:hAnsi="Arial" w:cs="Arial"/>
        <w:i/>
        <w:iCs/>
        <w:sz w:val="16"/>
        <w:szCs w:val="16"/>
      </w:rPr>
    </w:pPr>
    <w:r>
      <w:rPr>
        <w:rFonts w:ascii="Arial" w:hAnsi="Arial" w:cs="Arial"/>
        <w:i/>
        <w:iCs/>
        <w:sz w:val="16"/>
        <w:szCs w:val="16"/>
      </w:rPr>
      <w:t>L0S 1N0</w:t>
    </w:r>
  </w:p>
  <w:p w14:paraId="1DD8D7C6" w14:textId="72846587" w:rsidR="008968C0" w:rsidRPr="0078343E" w:rsidRDefault="008968C0" w:rsidP="00B53C88">
    <w:pPr>
      <w:pStyle w:val="Footer"/>
      <w:rPr>
        <w:rFonts w:ascii="Arial" w:hAnsi="Arial" w:cs="Arial"/>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0AF3F" w14:textId="77777777" w:rsidR="00FA5407" w:rsidRDefault="00FA5407" w:rsidP="00B60727">
      <w:r>
        <w:separator/>
      </w:r>
    </w:p>
  </w:footnote>
  <w:footnote w:type="continuationSeparator" w:id="0">
    <w:p w14:paraId="10649BED" w14:textId="77777777" w:rsidR="00FA5407" w:rsidRDefault="00FA5407" w:rsidP="00B60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09E6" w14:textId="77777777" w:rsidR="00B53C88" w:rsidRDefault="00B53C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1CAA1" w14:textId="5E400680" w:rsidR="00B60727" w:rsidRDefault="00B60727" w:rsidP="00B60727">
    <w:pPr>
      <w:tabs>
        <w:tab w:val="left" w:pos="720"/>
        <w:tab w:val="left" w:pos="2700"/>
        <w:tab w:val="left" w:pos="4680"/>
      </w:tabs>
      <w:ind w:rightChars="1650" w:right="3960"/>
      <w:rPr>
        <w:sz w:val="16"/>
        <w:szCs w:val="16"/>
      </w:rPr>
    </w:pPr>
  </w:p>
  <w:p w14:paraId="49975B48" w14:textId="1CC295FB" w:rsidR="00B60727" w:rsidRDefault="00B60727" w:rsidP="00B60727">
    <w:pPr>
      <w:tabs>
        <w:tab w:val="left" w:pos="720"/>
        <w:tab w:val="left" w:pos="2700"/>
        <w:tab w:val="left" w:pos="4680"/>
      </w:tabs>
      <w:ind w:rightChars="1650" w:right="3960"/>
      <w:rPr>
        <w:sz w:val="16"/>
        <w:szCs w:val="16"/>
      </w:rPr>
    </w:pPr>
  </w:p>
  <w:p w14:paraId="4E95AD00" w14:textId="77777777" w:rsidR="00B60727" w:rsidRDefault="00B60727" w:rsidP="00B60727">
    <w:pPr>
      <w:tabs>
        <w:tab w:val="left" w:pos="720"/>
        <w:tab w:val="left" w:pos="2700"/>
        <w:tab w:val="left" w:pos="4680"/>
      </w:tabs>
      <w:ind w:rightChars="1650" w:right="3960"/>
      <w:rPr>
        <w:sz w:val="16"/>
        <w:szCs w:val="16"/>
      </w:rPr>
    </w:pPr>
  </w:p>
  <w:p w14:paraId="5F1ABCA7" w14:textId="77777777" w:rsidR="00B60727" w:rsidRDefault="00B60727" w:rsidP="00B60727">
    <w:pPr>
      <w:tabs>
        <w:tab w:val="left" w:pos="720"/>
        <w:tab w:val="left" w:pos="2700"/>
        <w:tab w:val="left" w:pos="4680"/>
      </w:tabs>
      <w:ind w:rightChars="1650" w:right="3960"/>
      <w:rPr>
        <w:sz w:val="16"/>
        <w:szCs w:val="16"/>
      </w:rPr>
    </w:pPr>
  </w:p>
  <w:p w14:paraId="1FC442D7" w14:textId="77777777" w:rsidR="00B60727" w:rsidRDefault="00B60727" w:rsidP="00B60727">
    <w:pPr>
      <w:tabs>
        <w:tab w:val="left" w:pos="720"/>
        <w:tab w:val="left" w:pos="2700"/>
        <w:tab w:val="left" w:pos="4680"/>
      </w:tabs>
      <w:ind w:rightChars="1650" w:right="3960"/>
      <w:rPr>
        <w:sz w:val="16"/>
        <w:szCs w:val="16"/>
      </w:rPr>
    </w:pPr>
  </w:p>
  <w:p w14:paraId="6DC5CE0E" w14:textId="50CECDD3" w:rsidR="00B60727" w:rsidRPr="00B60727" w:rsidRDefault="00B60727" w:rsidP="00B60727">
    <w:pPr>
      <w:tabs>
        <w:tab w:val="left" w:pos="0"/>
        <w:tab w:val="left" w:pos="2700"/>
        <w:tab w:val="left" w:pos="4680"/>
      </w:tabs>
      <w:ind w:rightChars="1650" w:right="3960"/>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AE9B" w14:textId="77777777" w:rsidR="00977BBD" w:rsidRDefault="00977BBD">
    <w:pPr>
      <w:pStyle w:val="Header"/>
    </w:pPr>
  </w:p>
  <w:p w14:paraId="77C2ED06" w14:textId="79635917" w:rsidR="00B60727" w:rsidRDefault="00977BBD">
    <w:pPr>
      <w:pStyle w:val="Header"/>
    </w:pPr>
    <w:r>
      <w:rPr>
        <w:noProof/>
      </w:rPr>
      <w:drawing>
        <wp:inline distT="0" distB="0" distL="0" distR="0" wp14:anchorId="0AD436B0" wp14:editId="61405ABD">
          <wp:extent cx="1692322" cy="634350"/>
          <wp:effectExtent l="0" t="0" r="3175" b="0"/>
          <wp:docPr id="3" name="Picture 3" descr="A logo for a home building associ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home building association&#10;&#10;Description automatically generated"/>
                  <pic:cNvPicPr/>
                </pic:nvPicPr>
                <pic:blipFill rotWithShape="1">
                  <a:blip r:embed="rId1">
                    <a:extLst>
                      <a:ext uri="{28A0092B-C50C-407E-A947-70E740481C1C}">
                        <a14:useLocalDpi xmlns:a14="http://schemas.microsoft.com/office/drawing/2010/main" val="0"/>
                      </a:ext>
                    </a:extLst>
                  </a:blip>
                  <a:srcRect l="5442" t="14389" r="4557" b="15133"/>
                  <a:stretch/>
                </pic:blipFill>
                <pic:spPr bwMode="auto">
                  <a:xfrm>
                    <a:off x="0" y="0"/>
                    <a:ext cx="1701942" cy="63795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E3A39"/>
    <w:multiLevelType w:val="hybridMultilevel"/>
    <w:tmpl w:val="95463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D4B7D"/>
    <w:multiLevelType w:val="multilevel"/>
    <w:tmpl w:val="80B89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AE647E"/>
    <w:multiLevelType w:val="hybridMultilevel"/>
    <w:tmpl w:val="077E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775AE"/>
    <w:multiLevelType w:val="hybridMultilevel"/>
    <w:tmpl w:val="1CD098A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4565002E"/>
    <w:multiLevelType w:val="hybridMultilevel"/>
    <w:tmpl w:val="AA3C7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7606CC"/>
    <w:multiLevelType w:val="hybridMultilevel"/>
    <w:tmpl w:val="FBD24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3346628">
    <w:abstractNumId w:val="2"/>
  </w:num>
  <w:num w:numId="2" w16cid:durableId="910888521">
    <w:abstractNumId w:val="4"/>
  </w:num>
  <w:num w:numId="3" w16cid:durableId="1569925686">
    <w:abstractNumId w:val="1"/>
  </w:num>
  <w:num w:numId="4" w16cid:durableId="1627538806">
    <w:abstractNumId w:val="3"/>
  </w:num>
  <w:num w:numId="5" w16cid:durableId="1087657948">
    <w:abstractNumId w:val="5"/>
  </w:num>
  <w:num w:numId="6" w16cid:durableId="1974603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27"/>
    <w:rsid w:val="0000603F"/>
    <w:rsid w:val="00051BBC"/>
    <w:rsid w:val="001921C5"/>
    <w:rsid w:val="001F6FB7"/>
    <w:rsid w:val="00245327"/>
    <w:rsid w:val="002D7F1F"/>
    <w:rsid w:val="00365367"/>
    <w:rsid w:val="003757D3"/>
    <w:rsid w:val="003C0D14"/>
    <w:rsid w:val="003C6D38"/>
    <w:rsid w:val="003F65E5"/>
    <w:rsid w:val="00415563"/>
    <w:rsid w:val="00423A46"/>
    <w:rsid w:val="00461F68"/>
    <w:rsid w:val="00592CE4"/>
    <w:rsid w:val="0078343E"/>
    <w:rsid w:val="00794B13"/>
    <w:rsid w:val="007F1456"/>
    <w:rsid w:val="00846568"/>
    <w:rsid w:val="008968C0"/>
    <w:rsid w:val="008B5232"/>
    <w:rsid w:val="008B7D12"/>
    <w:rsid w:val="008C1895"/>
    <w:rsid w:val="00977BBD"/>
    <w:rsid w:val="00AA426D"/>
    <w:rsid w:val="00AF174C"/>
    <w:rsid w:val="00B45179"/>
    <w:rsid w:val="00B53C88"/>
    <w:rsid w:val="00B60727"/>
    <w:rsid w:val="00BE0B71"/>
    <w:rsid w:val="00CC375C"/>
    <w:rsid w:val="00E84797"/>
    <w:rsid w:val="00FA54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99BEA"/>
  <w15:chartTrackingRefBased/>
  <w15:docId w15:val="{57718EB7-8382-9744-818D-5CB1985E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727"/>
    <w:pPr>
      <w:tabs>
        <w:tab w:val="center" w:pos="4680"/>
        <w:tab w:val="right" w:pos="9360"/>
      </w:tabs>
    </w:pPr>
  </w:style>
  <w:style w:type="character" w:customStyle="1" w:styleId="HeaderChar">
    <w:name w:val="Header Char"/>
    <w:basedOn w:val="DefaultParagraphFont"/>
    <w:link w:val="Header"/>
    <w:uiPriority w:val="99"/>
    <w:rsid w:val="00B60727"/>
  </w:style>
  <w:style w:type="paragraph" w:styleId="Footer">
    <w:name w:val="footer"/>
    <w:basedOn w:val="Normal"/>
    <w:link w:val="FooterChar"/>
    <w:uiPriority w:val="99"/>
    <w:unhideWhenUsed/>
    <w:rsid w:val="00B60727"/>
    <w:pPr>
      <w:tabs>
        <w:tab w:val="center" w:pos="4680"/>
        <w:tab w:val="right" w:pos="9360"/>
      </w:tabs>
    </w:pPr>
  </w:style>
  <w:style w:type="character" w:customStyle="1" w:styleId="FooterChar">
    <w:name w:val="Footer Char"/>
    <w:basedOn w:val="DefaultParagraphFont"/>
    <w:link w:val="Footer"/>
    <w:uiPriority w:val="99"/>
    <w:rsid w:val="00B60727"/>
  </w:style>
  <w:style w:type="character" w:styleId="Hyperlink">
    <w:name w:val="Hyperlink"/>
    <w:basedOn w:val="DefaultParagraphFont"/>
    <w:uiPriority w:val="99"/>
    <w:unhideWhenUsed/>
    <w:rsid w:val="00B60727"/>
    <w:rPr>
      <w:color w:val="0563C1" w:themeColor="hyperlink"/>
      <w:u w:val="single"/>
    </w:rPr>
  </w:style>
  <w:style w:type="table" w:styleId="TableGrid">
    <w:name w:val="Table Grid"/>
    <w:basedOn w:val="TableNormal"/>
    <w:uiPriority w:val="39"/>
    <w:rsid w:val="00245327"/>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C0D14"/>
    <w:pPr>
      <w:widowControl w:val="0"/>
      <w:autoSpaceDE w:val="0"/>
      <w:autoSpaceDN w:val="0"/>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3C0D14"/>
    <w:rPr>
      <w:rFonts w:ascii="Arial" w:eastAsia="Arial" w:hAnsi="Arial" w:cs="Arial"/>
      <w:kern w:val="0"/>
      <w:sz w:val="22"/>
      <w:szCs w:val="22"/>
      <w:lang w:val="en-US"/>
      <w14:ligatures w14:val="none"/>
    </w:rPr>
  </w:style>
  <w:style w:type="paragraph" w:styleId="ListParagraph">
    <w:name w:val="List Paragraph"/>
    <w:aliases w:val="Bullet List 1,Heading 4 test,Unordered List Level 1,Bullet list,Indented Paragraph,Bullet List,numbered,Bulletr List Paragraph,列出段落,列出段落1,Parágrafo da Lista1,リスト段落1,List Paragraph2,List Paragraph21,List Paragraph11,Lettre d'introduction,L"/>
    <w:basedOn w:val="Normal"/>
    <w:link w:val="ListParagraphChar"/>
    <w:uiPriority w:val="34"/>
    <w:qFormat/>
    <w:rsid w:val="00592CE4"/>
    <w:pPr>
      <w:spacing w:after="160" w:line="259" w:lineRule="auto"/>
      <w:ind w:left="720"/>
      <w:contextualSpacing/>
    </w:pPr>
    <w:rPr>
      <w:kern w:val="0"/>
      <w:sz w:val="22"/>
      <w:szCs w:val="22"/>
      <w14:ligatures w14:val="none"/>
    </w:rPr>
  </w:style>
  <w:style w:type="paragraph" w:customStyle="1" w:styleId="Default">
    <w:name w:val="Default"/>
    <w:rsid w:val="00592CE4"/>
    <w:pPr>
      <w:autoSpaceDE w:val="0"/>
      <w:autoSpaceDN w:val="0"/>
      <w:adjustRightInd w:val="0"/>
    </w:pPr>
    <w:rPr>
      <w:rFonts w:ascii="Arial" w:hAnsi="Arial" w:cs="Arial"/>
      <w:color w:val="000000"/>
      <w:kern w:val="0"/>
      <w:lang w:val="en-US"/>
      <w14:ligatures w14:val="none"/>
    </w:rPr>
  </w:style>
  <w:style w:type="character" w:customStyle="1" w:styleId="ListParagraphChar">
    <w:name w:val="List Paragraph Char"/>
    <w:aliases w:val="Bullet List 1 Char,Heading 4 test Char,Unordered List Level 1 Char,Bullet list Char,Indented Paragraph Char,Bullet List Char,numbered Char,Bulletr List Paragraph Char,列出段落 Char,列出段落1 Char,Parágrafo da Lista1 Char,リスト段落1 Char,L Char"/>
    <w:basedOn w:val="DefaultParagraphFont"/>
    <w:link w:val="ListParagraph"/>
    <w:uiPriority w:val="34"/>
    <w:locked/>
    <w:rsid w:val="00592CE4"/>
    <w:rPr>
      <w:kern w:val="0"/>
      <w:sz w:val="22"/>
      <w:szCs w:val="22"/>
      <w14:ligatures w14:val="none"/>
    </w:rPr>
  </w:style>
  <w:style w:type="character" w:styleId="PageNumber">
    <w:name w:val="page number"/>
    <w:basedOn w:val="DefaultParagraphFont"/>
    <w:uiPriority w:val="99"/>
    <w:semiHidden/>
    <w:unhideWhenUsed/>
    <w:rsid w:val="00783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p.landpolicy@ontario.c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1628</Words>
  <Characters>9282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Maynard</dc:creator>
  <cp:keywords/>
  <dc:description/>
  <cp:lastModifiedBy>Chuck McShane</cp:lastModifiedBy>
  <cp:revision>2</cp:revision>
  <dcterms:created xsi:type="dcterms:W3CDTF">2023-12-02T00:46:00Z</dcterms:created>
  <dcterms:modified xsi:type="dcterms:W3CDTF">2023-12-02T00:46:00Z</dcterms:modified>
</cp:coreProperties>
</file>