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A1A3" w14:textId="6C263D52" w:rsidR="00C02C3F" w:rsidRPr="007C70DB" w:rsidRDefault="00D94B84">
      <w:pPr>
        <w:rPr>
          <w:b/>
          <w:bCs/>
          <w:u w:val="single"/>
        </w:rPr>
      </w:pPr>
      <w:r w:rsidRPr="007C70DB">
        <w:rPr>
          <w:b/>
          <w:bCs/>
          <w:u w:val="single"/>
        </w:rPr>
        <w:t>Protocol of Accepted Drinking Water Testing Methods Version 3.0 Draft</w:t>
      </w:r>
    </w:p>
    <w:p w14:paraId="5FDC3D99" w14:textId="77777777" w:rsidR="007C70DB" w:rsidRPr="002C7556" w:rsidRDefault="007C70DB" w:rsidP="007C70DB">
      <w:pPr>
        <w:rPr>
          <w:b/>
          <w:bCs/>
          <w:u w:val="single"/>
        </w:rPr>
      </w:pPr>
      <w:r w:rsidRPr="002C7556">
        <w:rPr>
          <w:b/>
          <w:bCs/>
          <w:u w:val="single"/>
        </w:rPr>
        <w:t>Comments from the City of Hamilton Environmental Laboratory</w:t>
      </w:r>
    </w:p>
    <w:p w14:paraId="7BB69B4E" w14:textId="49B848F4" w:rsidR="00D94B84" w:rsidRDefault="00D94B84">
      <w:r w:rsidRPr="00FD75F6">
        <w:rPr>
          <w:b/>
          <w:bCs/>
        </w:rPr>
        <w:t>1 Introduction</w:t>
      </w:r>
      <w:r>
        <w:t>, consider defining drinking water</w:t>
      </w:r>
      <w:r w:rsidR="007C70DB">
        <w:t>as</w:t>
      </w:r>
      <w:r>
        <w:t xml:space="preserve"> water intended for human consumption</w:t>
      </w:r>
      <w:r w:rsidR="007C70DB">
        <w:t xml:space="preserve"> as per</w:t>
      </w:r>
      <w:r>
        <w:t xml:space="preserve"> Part 1 of SDWA.</w:t>
      </w:r>
      <w:r w:rsidR="007C70DB">
        <w:t xml:space="preserve"> Often when the term drinking water is used, it is thought to be treated water. However raw water also falls under the requirements of the Regs, lab licensing and these guidance documents. Labs are required to be licensed to analyze private well water also – any water intended for human consumption. Defining the term would clarify the scope of this document.</w:t>
      </w:r>
    </w:p>
    <w:p w14:paraId="2666E0E4" w14:textId="42C3D35B" w:rsidR="00FD75F6" w:rsidRDefault="00FD75F6">
      <w:pPr>
        <w:rPr>
          <w:b/>
          <w:bCs/>
        </w:rPr>
      </w:pPr>
      <w:r>
        <w:rPr>
          <w:b/>
          <w:bCs/>
        </w:rPr>
        <w:t>1.2.1 Criteria for Licensing – Accepted Reference Method</w:t>
      </w:r>
    </w:p>
    <w:p w14:paraId="2C53C1EB" w14:textId="3F6525C6" w:rsidR="00D94B84" w:rsidRPr="00FD75F6" w:rsidRDefault="00D94B84">
      <w:pPr>
        <w:rPr>
          <w:b/>
          <w:bCs/>
        </w:rPr>
      </w:pPr>
      <w:r w:rsidRPr="00FD75F6">
        <w:rPr>
          <w:b/>
          <w:bCs/>
        </w:rPr>
        <w:t>Method Detection Limit (MDL)</w:t>
      </w:r>
    </w:p>
    <w:p w14:paraId="7946CDD0" w14:textId="6F487D2D" w:rsidR="00D94B84" w:rsidRDefault="00D94B84">
      <w:r>
        <w:t>Consider providing guidance document or reference metho</w:t>
      </w:r>
      <w:r w:rsidR="00EE56F6">
        <w:t>d</w:t>
      </w:r>
      <w:r>
        <w:t xml:space="preserve"> for </w:t>
      </w:r>
      <w:r w:rsidR="007C70DB">
        <w:t xml:space="preserve">determining matrix effects on </w:t>
      </w:r>
      <w:r>
        <w:t xml:space="preserve">MDL.  </w:t>
      </w:r>
      <w:r w:rsidR="00EE56F6">
        <w:t xml:space="preserve">Specifically for the following: “The laboratory must validate the MDL and determine </w:t>
      </w:r>
      <w:r w:rsidR="00EE56F6" w:rsidRPr="0038393A">
        <w:rPr>
          <w:b/>
          <w:bCs/>
        </w:rPr>
        <w:t>any impacts of the matrix effect from drinking water and any preservative(s)</w:t>
      </w:r>
      <w:r w:rsidR="00EE56F6">
        <w:t xml:space="preserve">”. </w:t>
      </w:r>
    </w:p>
    <w:p w14:paraId="4E89C6BD" w14:textId="1B0D81E6" w:rsidR="00EE56F6" w:rsidRDefault="00EE56F6">
      <w:r>
        <w:t>“Calculate the MDL in accordance with the laboratory’s policies and at a minimum</w:t>
      </w:r>
      <w:r w:rsidR="00C522CE">
        <w:t xml:space="preserve"> it should follow the criteria in AWWA Method 1020 B “Quality Control””. </w:t>
      </w:r>
      <w:r w:rsidR="007C70DB">
        <w:t xml:space="preserve"> </w:t>
      </w:r>
      <w:r w:rsidR="00C522CE">
        <w:t>Consider allowing labs to follow MISA protocol for MDLs.</w:t>
      </w:r>
      <w:r w:rsidR="007C70DB">
        <w:t xml:space="preserve"> Most labs in Ontario follow the MISA </w:t>
      </w:r>
      <w:r w:rsidR="007C70DB" w:rsidRPr="00AF7ABC">
        <w:rPr>
          <w:rFonts w:ascii="Arial" w:hAnsi="Arial" w:cs="Arial"/>
          <w:sz w:val="20"/>
          <w:szCs w:val="20"/>
        </w:rPr>
        <w:t xml:space="preserve"> Estimation of Analytical Method Detection Limits</w:t>
      </w:r>
      <w:r w:rsidR="007C70DB">
        <w:rPr>
          <w:rFonts w:ascii="Arial" w:hAnsi="Arial" w:cs="Arial"/>
          <w:sz w:val="20"/>
          <w:szCs w:val="20"/>
        </w:rPr>
        <w:t xml:space="preserve"> 1991.</w:t>
      </w:r>
    </w:p>
    <w:p w14:paraId="4B1A7E9E" w14:textId="6C408AD0" w:rsidR="00FD75F6" w:rsidRPr="00FD75F6" w:rsidRDefault="00FD75F6" w:rsidP="00C522CE">
      <w:pPr>
        <w:rPr>
          <w:b/>
          <w:bCs/>
        </w:rPr>
      </w:pPr>
      <w:r w:rsidRPr="00FD75F6">
        <w:rPr>
          <w:b/>
          <w:bCs/>
        </w:rPr>
        <w:t>Data Reporting</w:t>
      </w:r>
    </w:p>
    <w:p w14:paraId="0398679B" w14:textId="6D901249" w:rsidR="00C522CE" w:rsidRDefault="00C522CE" w:rsidP="00C522CE">
      <w:r>
        <w:t>Reporting Overgrown Microbiology Tests</w:t>
      </w:r>
    </w:p>
    <w:p w14:paraId="3921DD7D" w14:textId="703D027C" w:rsidR="00C522CE" w:rsidRDefault="00C522CE" w:rsidP="00C522CE">
      <w:r w:rsidRPr="00C522CE">
        <w:t xml:space="preserve">Using this definition only applies to selective agars. There is no overgrown condition in P/A.  In MPN the tray limit is reached, but this isn’t considered the same as what is described.  This would be better if </w:t>
      </w:r>
      <w:r w:rsidRPr="00C522CE">
        <w:rPr>
          <w:b/>
          <w:bCs/>
        </w:rPr>
        <w:t>“where appropriate” was added</w:t>
      </w:r>
      <w:r w:rsidRPr="00C522CE">
        <w:t xml:space="preserve">, </w:t>
      </w:r>
      <w:r w:rsidR="00FD75F6" w:rsidRPr="00C522CE">
        <w:t>like</w:t>
      </w:r>
      <w:r w:rsidRPr="00C522CE">
        <w:t xml:space="preserve"> what CALA does for microbiology tests.</w:t>
      </w:r>
    </w:p>
    <w:p w14:paraId="36156556" w14:textId="1B47795E" w:rsidR="00C522CE" w:rsidRPr="00FD75F6" w:rsidRDefault="00C522CE" w:rsidP="00C522CE">
      <w:pPr>
        <w:rPr>
          <w:b/>
          <w:bCs/>
        </w:rPr>
      </w:pPr>
      <w:r w:rsidRPr="00FD75F6">
        <w:rPr>
          <w:b/>
          <w:bCs/>
        </w:rPr>
        <w:t>1.2.2 Additional Criteria – Alternate Reference/In-house Methods</w:t>
      </w:r>
    </w:p>
    <w:p w14:paraId="13858B73" w14:textId="367FE5FC" w:rsidR="00C522CE" w:rsidRDefault="00C522CE" w:rsidP="00C522CE">
      <w:pPr>
        <w:rPr>
          <w:lang w:val="en-CA"/>
        </w:rPr>
      </w:pPr>
      <w:r w:rsidRPr="00C522CE">
        <w:rPr>
          <w:lang w:val="en-CA"/>
        </w:rPr>
        <w:t>b)</w:t>
      </w:r>
      <w:r>
        <w:rPr>
          <w:lang w:val="en-CA"/>
        </w:rPr>
        <w:t xml:space="preserve"> </w:t>
      </w:r>
      <w:r w:rsidRPr="00C522CE">
        <w:rPr>
          <w:lang w:val="en-CA"/>
        </w:rPr>
        <w:t>Selectivity “For microbiology methods, selectivity can be demonstrated through testing target organisms for positive results and potentially interfering non-target micro-organisms for negative results”</w:t>
      </w:r>
      <w:r>
        <w:rPr>
          <w:lang w:val="en-CA"/>
        </w:rPr>
        <w:t xml:space="preserve"> </w:t>
      </w:r>
      <w:r w:rsidRPr="00C522CE">
        <w:rPr>
          <w:lang w:val="en-CA"/>
        </w:rPr>
        <w:t>- This only applies to selective tests and not to HPC.  “Where appropriate” could be added here</w:t>
      </w:r>
      <w:r>
        <w:rPr>
          <w:lang w:val="en-CA"/>
        </w:rPr>
        <w:t>.</w:t>
      </w:r>
    </w:p>
    <w:p w14:paraId="63A6D1C1" w14:textId="570BEBB0" w:rsidR="00C522CE" w:rsidRPr="00FD75F6" w:rsidRDefault="00C522CE" w:rsidP="00C522CE">
      <w:pPr>
        <w:rPr>
          <w:b/>
          <w:bCs/>
          <w:lang w:val="en-CA"/>
        </w:rPr>
      </w:pPr>
      <w:r w:rsidRPr="00FD75F6">
        <w:rPr>
          <w:b/>
          <w:bCs/>
          <w:lang w:val="en-CA"/>
        </w:rPr>
        <w:t>2.1.1 Methods for both Total Coliforms and Escherichia coli (E. coli)</w:t>
      </w:r>
    </w:p>
    <w:p w14:paraId="0E7EEF54" w14:textId="341C400C" w:rsidR="00C522CE" w:rsidRPr="00C522CE" w:rsidRDefault="00C522CE" w:rsidP="00C522CE">
      <w:pPr>
        <w:rPr>
          <w:lang w:val="en-CA"/>
        </w:rPr>
      </w:pPr>
      <w:r>
        <w:rPr>
          <w:lang w:val="en-CA"/>
        </w:rPr>
        <w:t>Method E2561</w:t>
      </w:r>
      <w:r w:rsidRPr="00C522CE">
        <w:rPr>
          <w:rFonts w:ascii="Calibri" w:hAnsi="Calibri" w:cs="Calibri"/>
          <w:lang w:val="en-CA"/>
        </w:rPr>
        <w:t xml:space="preserve"> </w:t>
      </w:r>
      <w:r w:rsidRPr="00C522CE">
        <w:rPr>
          <w:lang w:val="en-CA"/>
        </w:rPr>
        <w:t>Presence-Absence Test for Coliform Bacteria, including Escherichia coli, in Drinking Water by Colilert® Quanti-Tray®</w:t>
      </w:r>
      <w:r>
        <w:rPr>
          <w:lang w:val="en-CA"/>
        </w:rPr>
        <w:t>.</w:t>
      </w:r>
    </w:p>
    <w:p w14:paraId="7F5DA8A8" w14:textId="1B1E4904" w:rsidR="00C522CE" w:rsidRPr="00C522CE" w:rsidRDefault="00C522CE" w:rsidP="005B14DB">
      <w:pPr>
        <w:numPr>
          <w:ilvl w:val="0"/>
          <w:numId w:val="1"/>
        </w:numPr>
        <w:rPr>
          <w:lang w:val="en-CA"/>
        </w:rPr>
      </w:pPr>
      <w:r w:rsidRPr="00C522CE">
        <w:rPr>
          <w:lang w:val="en-CA"/>
        </w:rPr>
        <w:t>T</w:t>
      </w:r>
      <w:r>
        <w:rPr>
          <w:lang w:val="en-CA"/>
        </w:rPr>
        <w:t xml:space="preserve">he title of this method indicates that </w:t>
      </w:r>
      <w:r w:rsidR="0038393A" w:rsidRPr="00C522CE">
        <w:rPr>
          <w:lang w:val="en-CA"/>
        </w:rPr>
        <w:t>Colilert® Quanti-Tray®</w:t>
      </w:r>
      <w:r w:rsidR="0038393A">
        <w:rPr>
          <w:lang w:val="en-CA"/>
        </w:rPr>
        <w:t xml:space="preserve"> </w:t>
      </w:r>
      <w:r>
        <w:rPr>
          <w:lang w:val="en-CA"/>
        </w:rPr>
        <w:t xml:space="preserve">is a Presence/Absence </w:t>
      </w:r>
      <w:r w:rsidR="007C70DB">
        <w:rPr>
          <w:lang w:val="en-CA"/>
        </w:rPr>
        <w:t xml:space="preserve">test, however, </w:t>
      </w:r>
      <w:r>
        <w:rPr>
          <w:lang w:val="en-CA"/>
        </w:rPr>
        <w:t xml:space="preserve">it is not since </w:t>
      </w:r>
      <w:r w:rsidR="0038393A">
        <w:rPr>
          <w:lang w:val="en-CA"/>
        </w:rPr>
        <w:t>Q</w:t>
      </w:r>
      <w:r>
        <w:rPr>
          <w:lang w:val="en-CA"/>
        </w:rPr>
        <w:t>uanti</w:t>
      </w:r>
      <w:r w:rsidR="0038393A">
        <w:rPr>
          <w:lang w:val="en-CA"/>
        </w:rPr>
        <w:t>-T</w:t>
      </w:r>
      <w:r>
        <w:rPr>
          <w:lang w:val="en-CA"/>
        </w:rPr>
        <w:t xml:space="preserve">ray produces </w:t>
      </w:r>
      <w:r w:rsidR="007C70DB">
        <w:rPr>
          <w:lang w:val="en-CA"/>
        </w:rPr>
        <w:t xml:space="preserve">a </w:t>
      </w:r>
      <w:r>
        <w:rPr>
          <w:lang w:val="en-CA"/>
        </w:rPr>
        <w:t>result in MPN/100mL.</w:t>
      </w:r>
    </w:p>
    <w:p w14:paraId="3ED2ED16" w14:textId="7645D068" w:rsidR="00C522CE" w:rsidRPr="00FD75F6" w:rsidRDefault="00C522CE" w:rsidP="00C522CE">
      <w:pPr>
        <w:rPr>
          <w:b/>
          <w:bCs/>
          <w:lang w:val="en-CA"/>
        </w:rPr>
      </w:pPr>
      <w:r w:rsidRPr="00FD75F6">
        <w:rPr>
          <w:b/>
          <w:bCs/>
          <w:lang w:val="en-CA"/>
        </w:rPr>
        <w:t xml:space="preserve">2.4 Cryptosporidium and Giardia </w:t>
      </w:r>
    </w:p>
    <w:p w14:paraId="6F590C35" w14:textId="36E91543" w:rsidR="00C522CE" w:rsidRDefault="00C522CE" w:rsidP="00C522CE">
      <w:pPr>
        <w:rPr>
          <w:lang w:val="en-CA"/>
        </w:rPr>
      </w:pPr>
      <w:r>
        <w:rPr>
          <w:lang w:val="en-CA"/>
        </w:rPr>
        <w:t xml:space="preserve">Recommend </w:t>
      </w:r>
      <w:r w:rsidR="0038393A">
        <w:rPr>
          <w:lang w:val="en-CA"/>
        </w:rPr>
        <w:t>adding</w:t>
      </w:r>
      <w:r>
        <w:rPr>
          <w:lang w:val="en-CA"/>
        </w:rPr>
        <w:t xml:space="preserve"> LaSB method for PCR: MECP 3512.</w:t>
      </w:r>
    </w:p>
    <w:p w14:paraId="738DA722" w14:textId="65E44DB8" w:rsidR="00A830C1" w:rsidRDefault="00A830C1" w:rsidP="00C522CE">
      <w:pPr>
        <w:rPr>
          <w:lang w:val="en-CA"/>
        </w:rPr>
      </w:pPr>
      <w:r w:rsidRPr="00FD75F6">
        <w:rPr>
          <w:b/>
          <w:bCs/>
          <w:lang w:val="en-CA"/>
        </w:rPr>
        <w:t>3.1 (VOC’s)</w:t>
      </w:r>
      <w:r>
        <w:rPr>
          <w:lang w:val="en-CA"/>
        </w:rPr>
        <w:t xml:space="preserve">- spelling error (should be “xylene”); RDL for xylenes applies to the sum of ortho </w:t>
      </w:r>
      <w:r w:rsidRPr="007C70DB">
        <w:rPr>
          <w:color w:val="FF0000"/>
          <w:highlight w:val="yellow"/>
          <w:lang w:val="en-CA"/>
        </w:rPr>
        <w:t>zylene</w:t>
      </w:r>
    </w:p>
    <w:p w14:paraId="12717CC4" w14:textId="457D50B2" w:rsidR="00C522CE" w:rsidRDefault="00C522CE" w:rsidP="00C522CE">
      <w:pPr>
        <w:rPr>
          <w:lang w:val="en-CA"/>
        </w:rPr>
      </w:pPr>
      <w:r w:rsidRPr="00FD75F6">
        <w:rPr>
          <w:b/>
          <w:bCs/>
          <w:lang w:val="en-CA"/>
        </w:rPr>
        <w:t>3.2 Trace Metals</w:t>
      </w:r>
      <w:r>
        <w:rPr>
          <w:lang w:val="en-CA"/>
        </w:rPr>
        <w:t xml:space="preserve"> US EPA Methods and throughout </w:t>
      </w:r>
      <w:r w:rsidR="00C52ED3">
        <w:rPr>
          <w:lang w:val="en-CA"/>
        </w:rPr>
        <w:t xml:space="preserve">various </w:t>
      </w:r>
      <w:r>
        <w:rPr>
          <w:lang w:val="en-CA"/>
        </w:rPr>
        <w:t>methods section:</w:t>
      </w:r>
    </w:p>
    <w:p w14:paraId="598C76C4" w14:textId="15DAF7E2" w:rsidR="00C522CE" w:rsidRPr="00C522CE" w:rsidRDefault="00C522CE" w:rsidP="00C522CE">
      <w:pPr>
        <w:rPr>
          <w:lang w:val="en-CA"/>
        </w:rPr>
      </w:pPr>
      <w:r>
        <w:rPr>
          <w:lang w:val="en-CA"/>
        </w:rPr>
        <w:lastRenderedPageBreak/>
        <w:t xml:space="preserve">Recommend removing revision number and replace with </w:t>
      </w:r>
      <w:r w:rsidR="007C70DB">
        <w:rPr>
          <w:lang w:val="en-CA"/>
        </w:rPr>
        <w:t>“</w:t>
      </w:r>
      <w:r>
        <w:rPr>
          <w:lang w:val="en-CA"/>
        </w:rPr>
        <w:t xml:space="preserve"> latest addition</w:t>
      </w:r>
      <w:r w:rsidR="007C70DB">
        <w:rPr>
          <w:lang w:val="en-CA"/>
        </w:rPr>
        <w:t>”</w:t>
      </w:r>
      <w:r>
        <w:rPr>
          <w:lang w:val="en-CA"/>
        </w:rPr>
        <w:t xml:space="preserve">.  </w:t>
      </w:r>
      <w:r w:rsidR="00F00BA1">
        <w:rPr>
          <w:lang w:val="en-CA"/>
        </w:rPr>
        <w:t>Several of</w:t>
      </w:r>
      <w:r w:rsidR="0038393A">
        <w:rPr>
          <w:lang w:val="en-CA"/>
        </w:rPr>
        <w:t xml:space="preserve"> </w:t>
      </w:r>
      <w:r w:rsidR="007C70DB">
        <w:rPr>
          <w:lang w:val="en-CA"/>
        </w:rPr>
        <w:t xml:space="preserve">these </w:t>
      </w:r>
      <w:r>
        <w:rPr>
          <w:lang w:val="en-CA"/>
        </w:rPr>
        <w:t xml:space="preserve">reference methods have </w:t>
      </w:r>
      <w:r w:rsidR="0038393A">
        <w:rPr>
          <w:lang w:val="en-CA"/>
        </w:rPr>
        <w:t>newer</w:t>
      </w:r>
      <w:r>
        <w:rPr>
          <w:lang w:val="en-CA"/>
        </w:rPr>
        <w:t xml:space="preserve"> revision numbers than the one’s listed here.</w:t>
      </w:r>
    </w:p>
    <w:p w14:paraId="7F6A3643" w14:textId="6FF7A943" w:rsidR="00C522CE" w:rsidRPr="00FD75F6" w:rsidRDefault="00C52ED3" w:rsidP="00C522CE">
      <w:pPr>
        <w:rPr>
          <w:b/>
          <w:bCs/>
        </w:rPr>
      </w:pPr>
      <w:r w:rsidRPr="00FD75F6">
        <w:rPr>
          <w:b/>
          <w:bCs/>
        </w:rPr>
        <w:t xml:space="preserve">3.22 </w:t>
      </w:r>
      <w:r w:rsidR="0038393A" w:rsidRPr="00FD75F6">
        <w:rPr>
          <w:b/>
          <w:bCs/>
        </w:rPr>
        <w:t>Sodium</w:t>
      </w:r>
    </w:p>
    <w:p w14:paraId="6391854C" w14:textId="48309010" w:rsidR="00C52ED3" w:rsidRDefault="00C52ED3" w:rsidP="00C522CE">
      <w:pPr>
        <w:rPr>
          <w:i/>
          <w:iCs/>
        </w:rPr>
      </w:pPr>
      <w:r>
        <w:t xml:space="preserve">Add </w:t>
      </w:r>
      <w:r w:rsidRPr="00C52ED3">
        <w:t>reference method</w:t>
      </w:r>
      <w:r w:rsidRPr="00C52ED3">
        <w:rPr>
          <w:i/>
          <w:iCs/>
        </w:rPr>
        <w:t xml:space="preserve"> EPA 200.8.  </w:t>
      </w:r>
    </w:p>
    <w:p w14:paraId="0FC7A369" w14:textId="78D4B96D" w:rsidR="00C52ED3" w:rsidRPr="00FD75F6" w:rsidRDefault="00C52ED3" w:rsidP="00C52ED3">
      <w:pPr>
        <w:rPr>
          <w:b/>
          <w:bCs/>
          <w:lang w:val="en-CA"/>
        </w:rPr>
      </w:pPr>
      <w:r w:rsidRPr="00FD75F6">
        <w:rPr>
          <w:b/>
          <w:bCs/>
          <w:lang w:val="en-CA"/>
        </w:rPr>
        <w:t xml:space="preserve">Appendix C MECP Sample Collection and Handling Requirements </w:t>
      </w:r>
    </w:p>
    <w:p w14:paraId="0A1382B1" w14:textId="0D60BFB6" w:rsidR="00C52ED3" w:rsidRPr="00607A27" w:rsidRDefault="00530338" w:rsidP="00C522CE">
      <w:r w:rsidRPr="00FD75F6">
        <w:rPr>
          <w:b/>
          <w:bCs/>
        </w:rPr>
        <w:t>Inorganic Parameters</w:t>
      </w:r>
      <w:r>
        <w:t xml:space="preserve">, Mercury. Alternate preservation should be included. For example, the preservation listed in Version 2 of the practices for the collection and handling of DW samples for Mercury, </w:t>
      </w:r>
      <w:r w:rsidRPr="00530338">
        <w:rPr>
          <w:i/>
          <w:iCs/>
        </w:rPr>
        <w:t>“preserve 5 mL/L HNO3 to pH&lt;2 then add 2 mL/L 20% (w/v) K2Cr2O7 solution (prepared in lab grade water)”</w:t>
      </w:r>
      <w:r w:rsidR="00607A27">
        <w:rPr>
          <w:i/>
          <w:iCs/>
        </w:rPr>
        <w:t xml:space="preserve"> </w:t>
      </w:r>
      <w:r w:rsidR="00607A27" w:rsidRPr="00607A27">
        <w:t>This is equivalent to the preservation listed in the draft document</w:t>
      </w:r>
      <w:r w:rsidR="00607A27">
        <w:t>.</w:t>
      </w:r>
    </w:p>
    <w:p w14:paraId="65027B0C" w14:textId="7C849FA2" w:rsidR="00A830C1" w:rsidRDefault="00A830C1">
      <w:pPr>
        <w:rPr>
          <w:lang w:val="en-CA"/>
        </w:rPr>
      </w:pPr>
      <w:r w:rsidRPr="00FD75F6">
        <w:rPr>
          <w:b/>
          <w:bCs/>
          <w:lang w:val="en-CA"/>
        </w:rPr>
        <w:t>Volatile Organic Compounds</w:t>
      </w:r>
      <w:r>
        <w:rPr>
          <w:lang w:val="en-CA"/>
        </w:rPr>
        <w:t>- clarify that holding time for unpreserved samples includes those dechlorinated with thiosulphate.</w:t>
      </w:r>
      <w:r w:rsidR="00CA27EA">
        <w:rPr>
          <w:lang w:val="en-CA"/>
        </w:rPr>
        <w:t xml:space="preserve"> Consider that raw water with low bacteria populations can </w:t>
      </w:r>
      <w:r w:rsidR="00607A27">
        <w:rPr>
          <w:lang w:val="en-CA"/>
        </w:rPr>
        <w:t xml:space="preserve">be </w:t>
      </w:r>
      <w:r w:rsidR="00CA27EA">
        <w:rPr>
          <w:lang w:val="en-CA"/>
        </w:rPr>
        <w:t>dechlorinate</w:t>
      </w:r>
      <w:r w:rsidR="00607A27">
        <w:rPr>
          <w:lang w:val="en-CA"/>
        </w:rPr>
        <w:t>d</w:t>
      </w:r>
      <w:r w:rsidR="00CA27EA">
        <w:rPr>
          <w:lang w:val="en-CA"/>
        </w:rPr>
        <w:t xml:space="preserve"> using thiosulphate without preservation.  It is beneficial to have one type of VOC sample vial for the sampler to use for the collection of drinking water rather than two different vials with different preservatives.</w:t>
      </w:r>
    </w:p>
    <w:p w14:paraId="625B3E98" w14:textId="02867379" w:rsidR="00530338" w:rsidRDefault="00530338">
      <w:r w:rsidRPr="00FD75F6">
        <w:rPr>
          <w:b/>
          <w:bCs/>
          <w:lang w:val="en-CA"/>
        </w:rPr>
        <w:t>Inconsistent wording for dechlorinating agents in Preservative section</w:t>
      </w:r>
      <w:r>
        <w:t>:</w:t>
      </w:r>
    </w:p>
    <w:p w14:paraId="6154A562" w14:textId="23938929" w:rsidR="00530338" w:rsidRDefault="00530338">
      <w:r>
        <w:t>Triazines: preservative sodium thiosulphate for chlorinated water</w:t>
      </w:r>
    </w:p>
    <w:p w14:paraId="58E3D3CD" w14:textId="35F89C09" w:rsidR="00530338" w:rsidRDefault="00530338">
      <w:r>
        <w:t>Carbamates: Sodium thiosulphate for d</w:t>
      </w:r>
      <w:r w:rsidR="0038393A">
        <w:t>e</w:t>
      </w:r>
      <w:r>
        <w:t>chlorination</w:t>
      </w:r>
    </w:p>
    <w:p w14:paraId="13AF0DF6" w14:textId="0D91F072" w:rsidR="00530338" w:rsidRDefault="00530338">
      <w:r>
        <w:t xml:space="preserve">Microcystin: sodium thiosulphate </w:t>
      </w:r>
    </w:p>
    <w:p w14:paraId="32C1F658" w14:textId="77777777" w:rsidR="00A830C1" w:rsidRPr="00D94B84" w:rsidRDefault="00A830C1"/>
    <w:sectPr w:rsidR="00A830C1" w:rsidRPr="00D94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C1A"/>
    <w:multiLevelType w:val="hybridMultilevel"/>
    <w:tmpl w:val="0BCCFCA0"/>
    <w:lvl w:ilvl="0" w:tplc="66869EFE">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39408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D4"/>
    <w:rsid w:val="001D78A2"/>
    <w:rsid w:val="0038393A"/>
    <w:rsid w:val="003C19D4"/>
    <w:rsid w:val="00530338"/>
    <w:rsid w:val="00607A27"/>
    <w:rsid w:val="007C70DB"/>
    <w:rsid w:val="00A830C1"/>
    <w:rsid w:val="00C02C3F"/>
    <w:rsid w:val="00C522CE"/>
    <w:rsid w:val="00C52ED3"/>
    <w:rsid w:val="00CA27EA"/>
    <w:rsid w:val="00D94B84"/>
    <w:rsid w:val="00EE56F6"/>
    <w:rsid w:val="00F00BA1"/>
    <w:rsid w:val="00FD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4402"/>
  <w15:chartTrackingRefBased/>
  <w15:docId w15:val="{5F2556F4-635F-4733-98C2-CECB1C8F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1839">
      <w:bodyDiv w:val="1"/>
      <w:marLeft w:val="0"/>
      <w:marRight w:val="0"/>
      <w:marTop w:val="0"/>
      <w:marBottom w:val="0"/>
      <w:divBdr>
        <w:top w:val="none" w:sz="0" w:space="0" w:color="auto"/>
        <w:left w:val="none" w:sz="0" w:space="0" w:color="auto"/>
        <w:bottom w:val="none" w:sz="0" w:space="0" w:color="auto"/>
        <w:right w:val="none" w:sz="0" w:space="0" w:color="auto"/>
      </w:divBdr>
    </w:div>
    <w:div w:id="116604689">
      <w:bodyDiv w:val="1"/>
      <w:marLeft w:val="0"/>
      <w:marRight w:val="0"/>
      <w:marTop w:val="0"/>
      <w:marBottom w:val="0"/>
      <w:divBdr>
        <w:top w:val="none" w:sz="0" w:space="0" w:color="auto"/>
        <w:left w:val="none" w:sz="0" w:space="0" w:color="auto"/>
        <w:bottom w:val="none" w:sz="0" w:space="0" w:color="auto"/>
        <w:right w:val="none" w:sz="0" w:space="0" w:color="auto"/>
      </w:divBdr>
    </w:div>
    <w:div w:id="260527777">
      <w:bodyDiv w:val="1"/>
      <w:marLeft w:val="0"/>
      <w:marRight w:val="0"/>
      <w:marTop w:val="0"/>
      <w:marBottom w:val="0"/>
      <w:divBdr>
        <w:top w:val="none" w:sz="0" w:space="0" w:color="auto"/>
        <w:left w:val="none" w:sz="0" w:space="0" w:color="auto"/>
        <w:bottom w:val="none" w:sz="0" w:space="0" w:color="auto"/>
        <w:right w:val="none" w:sz="0" w:space="0" w:color="auto"/>
      </w:divBdr>
    </w:div>
    <w:div w:id="365108736">
      <w:bodyDiv w:val="1"/>
      <w:marLeft w:val="0"/>
      <w:marRight w:val="0"/>
      <w:marTop w:val="0"/>
      <w:marBottom w:val="0"/>
      <w:divBdr>
        <w:top w:val="none" w:sz="0" w:space="0" w:color="auto"/>
        <w:left w:val="none" w:sz="0" w:space="0" w:color="auto"/>
        <w:bottom w:val="none" w:sz="0" w:space="0" w:color="auto"/>
        <w:right w:val="none" w:sz="0" w:space="0" w:color="auto"/>
      </w:divBdr>
    </w:div>
    <w:div w:id="1356541639">
      <w:bodyDiv w:val="1"/>
      <w:marLeft w:val="0"/>
      <w:marRight w:val="0"/>
      <w:marTop w:val="0"/>
      <w:marBottom w:val="0"/>
      <w:divBdr>
        <w:top w:val="none" w:sz="0" w:space="0" w:color="auto"/>
        <w:left w:val="none" w:sz="0" w:space="0" w:color="auto"/>
        <w:bottom w:val="none" w:sz="0" w:space="0" w:color="auto"/>
        <w:right w:val="none" w:sz="0" w:space="0" w:color="auto"/>
      </w:divBdr>
    </w:div>
    <w:div w:id="14950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Armenti, Rita</dc:creator>
  <cp:keywords/>
  <dc:description/>
  <cp:lastModifiedBy>Eszes-Wegner, Rosemary</cp:lastModifiedBy>
  <cp:revision>9</cp:revision>
  <dcterms:created xsi:type="dcterms:W3CDTF">2024-01-23T19:13:00Z</dcterms:created>
  <dcterms:modified xsi:type="dcterms:W3CDTF">2024-01-24T21:14:00Z</dcterms:modified>
</cp:coreProperties>
</file>