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43D4" w14:textId="77777777" w:rsidR="00793215" w:rsidRPr="00793215" w:rsidRDefault="00793215" w:rsidP="00793215">
      <w:pPr>
        <w:jc w:val="right"/>
        <w:rPr>
          <w:rFonts w:ascii="Cambria" w:hAnsi="Cambria"/>
        </w:rPr>
      </w:pPr>
      <w:r w:rsidRPr="00793215">
        <w:rPr>
          <w:rFonts w:ascii="Cambria" w:hAnsi="Cambria"/>
          <w:sz w:val="48"/>
          <w:szCs w:val="48"/>
        </w:rPr>
        <w:t>COMMENT</w:t>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noProof/>
        </w:rPr>
        <w:drawing>
          <wp:inline distT="0" distB="0" distL="0" distR="0" wp14:anchorId="076AEC01" wp14:editId="6964A921">
            <wp:extent cx="1822405" cy="1076526"/>
            <wp:effectExtent l="0" t="0" r="0" b="0"/>
            <wp:docPr id="2062533465" name="Picture 206253346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33465" name="Picture 2062533465"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405" cy="1076526"/>
                    </a:xfrm>
                    <a:prstGeom prst="rect">
                      <a:avLst/>
                    </a:prstGeom>
                  </pic:spPr>
                </pic:pic>
              </a:graphicData>
            </a:graphic>
          </wp:inline>
        </w:drawing>
      </w:r>
    </w:p>
    <w:p w14:paraId="0155FCD4" w14:textId="77777777" w:rsidR="00793215" w:rsidRPr="004F02BC" w:rsidRDefault="00793215" w:rsidP="00793215">
      <w:pPr>
        <w:spacing w:after="0"/>
        <w:rPr>
          <w:rFonts w:ascii="Cambria" w:eastAsia="Cambria" w:hAnsi="Cambria" w:cs="Cambria"/>
          <w:sz w:val="24"/>
          <w:szCs w:val="24"/>
        </w:rPr>
      </w:pPr>
    </w:p>
    <w:p w14:paraId="5AD0F834" w14:textId="77777777" w:rsidR="00793215" w:rsidRPr="004F02BC" w:rsidRDefault="00793215" w:rsidP="00793215">
      <w:pPr>
        <w:spacing w:after="0"/>
        <w:rPr>
          <w:rFonts w:ascii="Cambria" w:eastAsia="Cambria" w:hAnsi="Cambria" w:cs="Cambria"/>
          <w:sz w:val="24"/>
          <w:szCs w:val="24"/>
        </w:rPr>
      </w:pPr>
      <w:r w:rsidRPr="004F02BC">
        <w:rPr>
          <w:rFonts w:ascii="Cambria" w:eastAsia="Cambria" w:hAnsi="Cambria" w:cs="Cambria"/>
          <w:sz w:val="24"/>
          <w:szCs w:val="24"/>
        </w:rPr>
        <w:t>To:</w:t>
      </w:r>
      <w:r w:rsidRPr="004F02BC">
        <w:rPr>
          <w:rFonts w:ascii="Cambria" w:hAnsi="Cambria"/>
          <w:sz w:val="24"/>
          <w:szCs w:val="24"/>
        </w:rPr>
        <w:tab/>
      </w:r>
      <w:r w:rsidRPr="004F02BC">
        <w:rPr>
          <w:rFonts w:ascii="Cambria" w:eastAsia="Cambria" w:hAnsi="Cambria" w:cs="Cambria"/>
          <w:sz w:val="24"/>
          <w:szCs w:val="24"/>
        </w:rPr>
        <w:t>Municipal Finance Policy Branch, Attn: Ruchi Parkash.</w:t>
      </w:r>
    </w:p>
    <w:p w14:paraId="1DCEBCA9" w14:textId="77777777" w:rsidR="00793215" w:rsidRPr="004F02BC" w:rsidRDefault="00793215" w:rsidP="00793215">
      <w:pPr>
        <w:spacing w:after="0"/>
        <w:rPr>
          <w:rFonts w:ascii="Cambria" w:eastAsia="Cambria" w:hAnsi="Cambria" w:cs="Cambria"/>
          <w:sz w:val="24"/>
          <w:szCs w:val="24"/>
        </w:rPr>
      </w:pPr>
      <w:r w:rsidRPr="004F02BC">
        <w:rPr>
          <w:rFonts w:ascii="Cambria" w:eastAsia="Cambria" w:hAnsi="Cambria" w:cs="Cambria"/>
          <w:sz w:val="24"/>
          <w:szCs w:val="24"/>
        </w:rPr>
        <w:t>Date:</w:t>
      </w:r>
      <w:r w:rsidRPr="004F02BC">
        <w:rPr>
          <w:rFonts w:ascii="Cambria" w:hAnsi="Cambria"/>
          <w:sz w:val="24"/>
          <w:szCs w:val="24"/>
        </w:rPr>
        <w:tab/>
      </w:r>
      <w:r w:rsidRPr="004F02BC">
        <w:rPr>
          <w:rFonts w:ascii="Cambria" w:eastAsia="Cambria" w:hAnsi="Cambria" w:cs="Cambria"/>
          <w:sz w:val="24"/>
          <w:szCs w:val="24"/>
        </w:rPr>
        <w:t>Friday, May 10, 2024.</w:t>
      </w:r>
    </w:p>
    <w:p w14:paraId="1F284F33" w14:textId="6D0EA383" w:rsidR="00793215" w:rsidRPr="004F02BC" w:rsidRDefault="00793215" w:rsidP="004F02BC">
      <w:pPr>
        <w:spacing w:after="0"/>
        <w:ind w:left="720" w:hanging="720"/>
        <w:rPr>
          <w:rFonts w:ascii="Cambria" w:eastAsia="Cambria" w:hAnsi="Cambria" w:cs="Cambria"/>
          <w:sz w:val="24"/>
          <w:szCs w:val="24"/>
        </w:rPr>
      </w:pPr>
      <w:r w:rsidRPr="004F02BC">
        <w:rPr>
          <w:rFonts w:ascii="Cambria" w:eastAsia="Cambria" w:hAnsi="Cambria" w:cs="Cambria"/>
          <w:sz w:val="24"/>
          <w:szCs w:val="24"/>
        </w:rPr>
        <w:t>Re:</w:t>
      </w:r>
      <w:r w:rsidRPr="004F02BC">
        <w:rPr>
          <w:rFonts w:ascii="Cambria" w:hAnsi="Cambria"/>
          <w:sz w:val="24"/>
          <w:szCs w:val="24"/>
        </w:rPr>
        <w:tab/>
      </w:r>
      <w:r w:rsidR="004F02BC" w:rsidRPr="004F02BC">
        <w:rPr>
          <w:rFonts w:ascii="Cambria" w:hAnsi="Cambria"/>
          <w:sz w:val="24"/>
          <w:szCs w:val="24"/>
        </w:rPr>
        <w:t xml:space="preserve">Proposed Regulatory Changes under the </w:t>
      </w:r>
      <w:r w:rsidR="004F02BC" w:rsidRPr="004F02BC">
        <w:rPr>
          <w:rFonts w:ascii="Cambria" w:hAnsi="Cambria"/>
          <w:i/>
          <w:iCs/>
          <w:sz w:val="24"/>
          <w:szCs w:val="24"/>
        </w:rPr>
        <w:t>Planning Act</w:t>
      </w:r>
      <w:r w:rsidR="004F02BC" w:rsidRPr="004F02BC">
        <w:rPr>
          <w:rFonts w:ascii="Cambria" w:hAnsi="Cambria"/>
          <w:sz w:val="24"/>
          <w:szCs w:val="24"/>
        </w:rPr>
        <w:t xml:space="preserve"> Relating to the </w:t>
      </w:r>
      <w:r w:rsidR="004F02BC" w:rsidRPr="004F02BC">
        <w:rPr>
          <w:rFonts w:ascii="Cambria" w:hAnsi="Cambria"/>
          <w:i/>
          <w:iCs/>
          <w:sz w:val="24"/>
          <w:szCs w:val="24"/>
        </w:rPr>
        <w:t>Cutting Red Tape to Build More Homes Act, 2024</w:t>
      </w:r>
      <w:r w:rsidR="004F02BC" w:rsidRPr="004F02BC">
        <w:rPr>
          <w:rFonts w:ascii="Cambria" w:hAnsi="Cambria"/>
          <w:sz w:val="24"/>
          <w:szCs w:val="24"/>
        </w:rPr>
        <w:t xml:space="preserve"> (Bill 185): Removing Barriers for Additional Residential Units</w:t>
      </w:r>
      <w:r w:rsidRPr="004F02BC">
        <w:rPr>
          <w:rFonts w:ascii="Cambria" w:eastAsia="Cambria" w:hAnsi="Cambria" w:cs="Cambria"/>
          <w:sz w:val="24"/>
          <w:szCs w:val="24"/>
        </w:rPr>
        <w:t xml:space="preserve">. - </w:t>
      </w:r>
      <w:r w:rsidRPr="004F02BC">
        <w:rPr>
          <w:rFonts w:ascii="Cambria" w:eastAsia="Cambria" w:hAnsi="Cambria" w:cs="Cambria"/>
          <w:i/>
          <w:iCs/>
          <w:sz w:val="24"/>
          <w:szCs w:val="24"/>
        </w:rPr>
        <w:t>Ministry of Municipal Affairs and Housing</w:t>
      </w:r>
      <w:r w:rsidRPr="004F02BC">
        <w:rPr>
          <w:rFonts w:ascii="Cambria" w:eastAsia="Cambria" w:hAnsi="Cambria" w:cs="Cambria"/>
          <w:sz w:val="24"/>
          <w:szCs w:val="24"/>
        </w:rPr>
        <w:t>.</w:t>
      </w:r>
    </w:p>
    <w:p w14:paraId="68732D05" w14:textId="77777777" w:rsidR="00793215" w:rsidRPr="00793215" w:rsidRDefault="00793215" w:rsidP="00793215">
      <w:pPr>
        <w:spacing w:after="0"/>
        <w:rPr>
          <w:rFonts w:ascii="Cambria" w:eastAsia="Cambria" w:hAnsi="Cambria" w:cs="Cambria"/>
          <w:sz w:val="24"/>
          <w:szCs w:val="24"/>
        </w:rPr>
      </w:pPr>
      <w:r w:rsidRPr="004F02BC">
        <w:rPr>
          <w:rFonts w:ascii="Cambria" w:eastAsia="Cambria" w:hAnsi="Cambria" w:cs="Cambria"/>
          <w:sz w:val="24"/>
          <w:szCs w:val="24"/>
        </w:rPr>
        <w:t>ERO:</w:t>
      </w:r>
      <w:r w:rsidRPr="004F02BC">
        <w:rPr>
          <w:rFonts w:ascii="Cambria" w:hAnsi="Cambria"/>
          <w:sz w:val="24"/>
          <w:szCs w:val="24"/>
        </w:rPr>
        <w:tab/>
      </w:r>
      <w:r w:rsidRPr="004F02BC">
        <w:rPr>
          <w:rFonts w:ascii="Cambria" w:eastAsia="Cambria" w:hAnsi="Cambria" w:cs="Cambria"/>
          <w:sz w:val="24"/>
          <w:szCs w:val="24"/>
        </w:rPr>
        <w:t>019-</w:t>
      </w:r>
      <w:r w:rsidRPr="00793215">
        <w:rPr>
          <w:rFonts w:ascii="Cambria" w:eastAsia="Cambria" w:hAnsi="Cambria" w:cs="Cambria"/>
          <w:sz w:val="24"/>
          <w:szCs w:val="24"/>
        </w:rPr>
        <w:t>8366.</w:t>
      </w:r>
    </w:p>
    <w:p w14:paraId="2592FC53" w14:textId="77777777"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________________________________________________________________________________________________________</w:t>
      </w:r>
    </w:p>
    <w:p w14:paraId="12E6B806" w14:textId="77777777" w:rsidR="00793215" w:rsidRPr="00793215" w:rsidRDefault="00793215" w:rsidP="00793215">
      <w:pPr>
        <w:spacing w:after="0"/>
        <w:rPr>
          <w:rFonts w:ascii="Cambria" w:eastAsia="Cambria" w:hAnsi="Cambria" w:cs="Cambria"/>
          <w:sz w:val="24"/>
          <w:szCs w:val="24"/>
        </w:rPr>
      </w:pPr>
    </w:p>
    <w:p w14:paraId="382E76AD" w14:textId="77777777" w:rsidR="00793215" w:rsidRPr="00793215" w:rsidRDefault="00793215" w:rsidP="00793215">
      <w:pPr>
        <w:spacing w:after="0" w:line="240" w:lineRule="auto"/>
        <w:rPr>
          <w:rFonts w:ascii="Cambria" w:eastAsia="Cambria" w:hAnsi="Cambria" w:cs="Cambria"/>
          <w:sz w:val="24"/>
          <w:szCs w:val="24"/>
        </w:rPr>
      </w:pPr>
      <w:r w:rsidRPr="00793215">
        <w:rPr>
          <w:rFonts w:ascii="Cambria" w:eastAsia="Cambria" w:hAnsi="Cambria" w:cs="Cambria"/>
          <w:sz w:val="24"/>
          <w:szCs w:val="24"/>
        </w:rPr>
        <w:t>The Toronto Alliance to End Homelessness (TAEH) is a community-based collective impact initiative committed to ending homelessness in Toronto. Our network includes not-for–profit organisations that support those living with homelessness and those who are housed and who must spend a disproportionate amount of income on housing., as well as affordable and supportive housing developers, property managers, and landlords.</w:t>
      </w:r>
    </w:p>
    <w:p w14:paraId="698BA309" w14:textId="77777777" w:rsidR="00793215" w:rsidRPr="004F02BC" w:rsidRDefault="00793215" w:rsidP="00793215">
      <w:pPr>
        <w:spacing w:after="0" w:line="240" w:lineRule="auto"/>
        <w:rPr>
          <w:rFonts w:ascii="Cambria" w:eastAsia="Cambria" w:hAnsi="Cambria" w:cs="Cambria"/>
          <w:sz w:val="24"/>
          <w:szCs w:val="24"/>
        </w:rPr>
      </w:pPr>
    </w:p>
    <w:p w14:paraId="2CFA8875" w14:textId="77777777" w:rsidR="00793215" w:rsidRPr="004F02BC" w:rsidRDefault="00793215" w:rsidP="00793215">
      <w:pPr>
        <w:spacing w:after="0" w:line="240" w:lineRule="auto"/>
        <w:rPr>
          <w:rFonts w:ascii="Cambria" w:eastAsia="Cambria" w:hAnsi="Cambria" w:cs="Cambria"/>
          <w:sz w:val="24"/>
          <w:szCs w:val="24"/>
        </w:rPr>
      </w:pPr>
      <w:r w:rsidRPr="004F02BC">
        <w:rPr>
          <w:rFonts w:ascii="Cambria" w:eastAsia="Cambria" w:hAnsi="Cambria" w:cs="Cambria"/>
          <w:sz w:val="24"/>
          <w:szCs w:val="24"/>
        </w:rPr>
        <w:t>As part of our mission, TAEH works directly with the City of Toronto in its mandates surrounding homelessness and maintaining and growing affordable housing stock in the city, including engagement on client support services and funding. This includes TAEH co-chairing the Toronto Housing and Homelessness Service Planning Forum with both the City of Toronto Shelter, Supports and Housing Administration and the Housing Secretariat.</w:t>
      </w:r>
    </w:p>
    <w:p w14:paraId="2251B178" w14:textId="77777777" w:rsidR="00793215" w:rsidRPr="004F02BC" w:rsidRDefault="00793215" w:rsidP="00793215">
      <w:pPr>
        <w:spacing w:after="0" w:line="240" w:lineRule="auto"/>
        <w:rPr>
          <w:rFonts w:ascii="Cambria" w:eastAsia="Cambria" w:hAnsi="Cambria" w:cs="Cambria"/>
          <w:sz w:val="24"/>
          <w:szCs w:val="24"/>
        </w:rPr>
      </w:pPr>
    </w:p>
    <w:p w14:paraId="33120E94" w14:textId="77777777" w:rsidR="00793215" w:rsidRPr="004F02BC" w:rsidRDefault="00793215" w:rsidP="00793215">
      <w:pPr>
        <w:spacing w:after="0" w:line="240" w:lineRule="auto"/>
        <w:rPr>
          <w:rFonts w:ascii="Cambria" w:eastAsia="Cambria" w:hAnsi="Cambria" w:cs="Cambria"/>
          <w:sz w:val="24"/>
          <w:szCs w:val="24"/>
        </w:rPr>
      </w:pPr>
    </w:p>
    <w:p w14:paraId="56C61044" w14:textId="77777777" w:rsidR="00793215" w:rsidRPr="004F02BC" w:rsidRDefault="00793215" w:rsidP="00793215">
      <w:pPr>
        <w:spacing w:after="0" w:line="240" w:lineRule="auto"/>
        <w:rPr>
          <w:rFonts w:ascii="Cambria" w:eastAsia="Cambria" w:hAnsi="Cambria" w:cs="Cambria"/>
          <w:b/>
          <w:bCs/>
          <w:sz w:val="24"/>
          <w:szCs w:val="24"/>
          <w:u w:val="single"/>
        </w:rPr>
      </w:pPr>
      <w:r w:rsidRPr="004F02BC">
        <w:rPr>
          <w:rFonts w:ascii="Cambria" w:eastAsia="Cambria" w:hAnsi="Cambria" w:cs="Cambria"/>
          <w:b/>
          <w:bCs/>
          <w:sz w:val="24"/>
          <w:szCs w:val="24"/>
          <w:u w:val="single"/>
        </w:rPr>
        <w:t>Recommendations.</w:t>
      </w:r>
    </w:p>
    <w:p w14:paraId="5005F52A" w14:textId="77777777" w:rsidR="00895E1C" w:rsidRPr="004F02BC" w:rsidRDefault="00895E1C">
      <w:pPr>
        <w:rPr>
          <w:rFonts w:ascii="Cambria" w:hAnsi="Cambria"/>
          <w:sz w:val="24"/>
          <w:szCs w:val="24"/>
        </w:rPr>
      </w:pPr>
    </w:p>
    <w:p w14:paraId="06A72247" w14:textId="5E10FDE5" w:rsidR="004F02BC" w:rsidRDefault="004F02BC" w:rsidP="006161AD">
      <w:pPr>
        <w:pStyle w:val="ListParagraph"/>
        <w:numPr>
          <w:ilvl w:val="0"/>
          <w:numId w:val="1"/>
        </w:numPr>
        <w:rPr>
          <w:rFonts w:ascii="Cambria" w:hAnsi="Cambria"/>
          <w:sz w:val="24"/>
          <w:szCs w:val="24"/>
        </w:rPr>
      </w:pPr>
      <w:bookmarkStart w:id="0" w:name="_Hlk166276769"/>
      <w:r w:rsidRPr="004F02BC">
        <w:rPr>
          <w:rFonts w:ascii="Cambria" w:hAnsi="Cambria"/>
          <w:sz w:val="24"/>
          <w:szCs w:val="24"/>
        </w:rPr>
        <w:t xml:space="preserve">TAEH </w:t>
      </w:r>
      <w:r>
        <w:rPr>
          <w:rFonts w:ascii="Cambria" w:hAnsi="Cambria"/>
          <w:sz w:val="24"/>
          <w:szCs w:val="24"/>
        </w:rPr>
        <w:t xml:space="preserve">recommends that the province </w:t>
      </w:r>
      <w:r w:rsidR="0006274C">
        <w:rPr>
          <w:rFonts w:ascii="Cambria" w:hAnsi="Cambria"/>
          <w:sz w:val="24"/>
          <w:szCs w:val="24"/>
        </w:rPr>
        <w:t>permit municipalities to enact inclusionary zoning by-laws, at their discretion, over all or part of the municipality</w:t>
      </w:r>
      <w:r w:rsidR="006161AD">
        <w:rPr>
          <w:rFonts w:ascii="Cambria" w:hAnsi="Cambria"/>
          <w:sz w:val="24"/>
          <w:szCs w:val="24"/>
        </w:rPr>
        <w:t xml:space="preserve">; or </w:t>
      </w:r>
      <w:r w:rsidR="0006274C" w:rsidRPr="006161AD">
        <w:rPr>
          <w:rFonts w:ascii="Cambria" w:hAnsi="Cambria"/>
          <w:sz w:val="24"/>
          <w:szCs w:val="24"/>
        </w:rPr>
        <w:t>that the City of Toronto be permitted to do so, in keeping with the longtime request from the City of Toronto for such zoning controls.</w:t>
      </w:r>
    </w:p>
    <w:p w14:paraId="447254AE" w14:textId="77777777" w:rsidR="006161AD" w:rsidRPr="006161AD" w:rsidRDefault="006161AD" w:rsidP="006161AD">
      <w:pPr>
        <w:ind w:left="360"/>
        <w:rPr>
          <w:rFonts w:ascii="Cambria" w:hAnsi="Cambria"/>
          <w:sz w:val="24"/>
          <w:szCs w:val="24"/>
        </w:rPr>
      </w:pPr>
    </w:p>
    <w:p w14:paraId="5A5A012A" w14:textId="7F9B5C37" w:rsidR="0006274C" w:rsidRPr="006161AD" w:rsidRDefault="0006274C" w:rsidP="006161AD">
      <w:pPr>
        <w:pStyle w:val="ListParagraph"/>
        <w:numPr>
          <w:ilvl w:val="0"/>
          <w:numId w:val="1"/>
        </w:numPr>
        <w:rPr>
          <w:rFonts w:ascii="Cambria" w:hAnsi="Cambria"/>
          <w:sz w:val="24"/>
          <w:szCs w:val="24"/>
        </w:rPr>
      </w:pPr>
      <w:r>
        <w:rPr>
          <w:rFonts w:ascii="Cambria" w:hAnsi="Cambria"/>
          <w:sz w:val="24"/>
          <w:szCs w:val="24"/>
        </w:rPr>
        <w:t>In the</w:t>
      </w:r>
      <w:r w:rsidR="006161AD">
        <w:rPr>
          <w:rFonts w:ascii="Cambria" w:hAnsi="Cambria"/>
          <w:sz w:val="24"/>
          <w:szCs w:val="24"/>
        </w:rPr>
        <w:t xml:space="preserve"> </w:t>
      </w:r>
      <w:r>
        <w:rPr>
          <w:rFonts w:ascii="Cambria" w:hAnsi="Cambria"/>
          <w:sz w:val="24"/>
          <w:szCs w:val="24"/>
        </w:rPr>
        <w:t>alternative, TAEH recommends that the province permit inclusionary zoning on all lands designated in Toronto as Major Transit Station Areas/Protected Major Transit Station Areas/Transit Oriented Communities</w:t>
      </w:r>
      <w:r w:rsidR="006161AD">
        <w:rPr>
          <w:rFonts w:ascii="Cambria" w:hAnsi="Cambria"/>
          <w:sz w:val="24"/>
          <w:szCs w:val="24"/>
        </w:rPr>
        <w:t xml:space="preserve"> and their equivalents in other municipalities; or that the City of Toronto be permitted to do so.</w:t>
      </w:r>
    </w:p>
    <w:bookmarkEnd w:id="0"/>
    <w:p w14:paraId="3C89647A" w14:textId="77777777" w:rsidR="00793215" w:rsidRDefault="00793215">
      <w:pPr>
        <w:rPr>
          <w:rFonts w:ascii="Cambria" w:hAnsi="Cambria"/>
          <w:sz w:val="24"/>
          <w:szCs w:val="24"/>
        </w:rPr>
      </w:pPr>
    </w:p>
    <w:p w14:paraId="24942F46" w14:textId="77777777" w:rsidR="006161AD" w:rsidRDefault="006161AD" w:rsidP="006161AD">
      <w:pPr>
        <w:spacing w:after="0" w:line="240" w:lineRule="auto"/>
        <w:rPr>
          <w:rFonts w:ascii="Cambria" w:eastAsia="Cambria" w:hAnsi="Cambria" w:cs="Cambria"/>
          <w:b/>
          <w:bCs/>
          <w:sz w:val="24"/>
          <w:szCs w:val="24"/>
        </w:rPr>
      </w:pPr>
      <w:r w:rsidRPr="2CA62BA2">
        <w:rPr>
          <w:rFonts w:ascii="Cambria" w:eastAsia="Cambria" w:hAnsi="Cambria" w:cs="Cambria"/>
          <w:b/>
          <w:bCs/>
          <w:sz w:val="24"/>
          <w:szCs w:val="24"/>
          <w:u w:val="single"/>
        </w:rPr>
        <w:lastRenderedPageBreak/>
        <w:t>Analysis.</w:t>
      </w:r>
    </w:p>
    <w:p w14:paraId="3DEA07EE" w14:textId="77777777" w:rsidR="006161AD" w:rsidRDefault="006161AD">
      <w:pPr>
        <w:rPr>
          <w:rFonts w:ascii="Cambria" w:hAnsi="Cambria"/>
          <w:sz w:val="24"/>
          <w:szCs w:val="24"/>
        </w:rPr>
      </w:pPr>
    </w:p>
    <w:p w14:paraId="5CA9470E" w14:textId="4F3D2055" w:rsidR="006161AD" w:rsidRDefault="006161AD">
      <w:pPr>
        <w:rPr>
          <w:rFonts w:ascii="Cambria" w:hAnsi="Cambria"/>
          <w:sz w:val="24"/>
          <w:szCs w:val="24"/>
        </w:rPr>
      </w:pPr>
      <w:r>
        <w:rPr>
          <w:rFonts w:ascii="Cambria" w:hAnsi="Cambria"/>
          <w:sz w:val="24"/>
          <w:szCs w:val="24"/>
        </w:rPr>
        <w:t xml:space="preserve">The City of Toronto has already approved sufficient housing development projects to build more than twice the amount of housing targeted for Toronto under the </w:t>
      </w:r>
      <w:bookmarkStart w:id="1" w:name="_Hlk166275604"/>
      <w:r>
        <w:rPr>
          <w:rFonts w:ascii="Cambria" w:hAnsi="Cambria"/>
          <w:sz w:val="24"/>
          <w:szCs w:val="24"/>
        </w:rPr>
        <w:t xml:space="preserve">Greater Golden Horseshoe </w:t>
      </w:r>
      <w:r w:rsidR="006216CB">
        <w:rPr>
          <w:rFonts w:ascii="Cambria" w:hAnsi="Cambria"/>
          <w:sz w:val="24"/>
          <w:szCs w:val="24"/>
        </w:rPr>
        <w:t xml:space="preserve">Growth Plan </w:t>
      </w:r>
      <w:bookmarkEnd w:id="1"/>
      <w:r w:rsidR="006216CB">
        <w:rPr>
          <w:rFonts w:ascii="Cambria" w:hAnsi="Cambria"/>
          <w:sz w:val="24"/>
          <w:szCs w:val="24"/>
        </w:rPr>
        <w:t xml:space="preserve">to 2031. Unfortunately, with the City of Toronto lacking the tools to require the inclusion of affordable housing in private developments, the number of built and planned affordable (and supportive) housing units under the City of Toronto’s Housing Action Plan is woefully behind schedule. Without the tools to require such housing </w:t>
      </w:r>
      <w:proofErr w:type="gramStart"/>
      <w:r w:rsidR="006216CB">
        <w:rPr>
          <w:rFonts w:ascii="Cambria" w:hAnsi="Cambria"/>
          <w:sz w:val="24"/>
          <w:szCs w:val="24"/>
        </w:rPr>
        <w:t>be</w:t>
      </w:r>
      <w:proofErr w:type="gramEnd"/>
      <w:r w:rsidR="006216CB">
        <w:rPr>
          <w:rFonts w:ascii="Cambria" w:hAnsi="Cambria"/>
          <w:sz w:val="24"/>
          <w:szCs w:val="24"/>
        </w:rPr>
        <w:t xml:space="preserve"> a component of private developments, it is highly unlikely that the affordable housing targets can be reached through the non-profit and public housing sectors.</w:t>
      </w:r>
    </w:p>
    <w:p w14:paraId="68C5E345" w14:textId="7AF398DF" w:rsidR="006216CB" w:rsidRDefault="006216CB">
      <w:pPr>
        <w:rPr>
          <w:rFonts w:ascii="Cambria" w:hAnsi="Cambria"/>
          <w:sz w:val="24"/>
          <w:szCs w:val="24"/>
        </w:rPr>
      </w:pPr>
      <w:r>
        <w:rPr>
          <w:rFonts w:ascii="Cambria" w:hAnsi="Cambria"/>
          <w:sz w:val="24"/>
          <w:szCs w:val="24"/>
        </w:rPr>
        <w:t>At the very least, providing this power in relation to transit nodes is the bare minimum, it is suggested, needed to achieve this target.</w:t>
      </w:r>
    </w:p>
    <w:p w14:paraId="496C2EFA" w14:textId="77777777" w:rsidR="006161AD" w:rsidRDefault="006161AD">
      <w:pPr>
        <w:rPr>
          <w:rFonts w:ascii="Cambria" w:hAnsi="Cambria"/>
          <w:sz w:val="24"/>
          <w:szCs w:val="24"/>
        </w:rPr>
      </w:pPr>
    </w:p>
    <w:p w14:paraId="494D5D6A" w14:textId="77777777" w:rsidR="006161AD" w:rsidRPr="004F02BC" w:rsidRDefault="006161AD">
      <w:pPr>
        <w:rPr>
          <w:rFonts w:ascii="Cambria" w:hAnsi="Cambria"/>
          <w:sz w:val="24"/>
          <w:szCs w:val="24"/>
        </w:rPr>
      </w:pPr>
    </w:p>
    <w:p w14:paraId="0BB3D5F4" w14:textId="77777777" w:rsidR="006161AD" w:rsidRDefault="006161AD" w:rsidP="006161AD">
      <w:pPr>
        <w:spacing w:after="0" w:line="240" w:lineRule="auto"/>
        <w:rPr>
          <w:rFonts w:ascii="Cambria" w:eastAsia="Cambria" w:hAnsi="Cambria" w:cs="Cambria"/>
          <w:sz w:val="24"/>
          <w:szCs w:val="24"/>
        </w:rPr>
      </w:pPr>
      <w:r w:rsidRPr="5CAE8E1E">
        <w:rPr>
          <w:rFonts w:ascii="Cambria" w:eastAsia="Cambria" w:hAnsi="Cambria" w:cs="Cambria"/>
          <w:sz w:val="24"/>
          <w:szCs w:val="24"/>
        </w:rPr>
        <w:t>Thank you,</w:t>
      </w:r>
    </w:p>
    <w:p w14:paraId="0D239A7B" w14:textId="77777777" w:rsidR="006161AD" w:rsidRDefault="006161AD" w:rsidP="006161AD">
      <w:pPr>
        <w:spacing w:after="0" w:line="240" w:lineRule="auto"/>
        <w:rPr>
          <w:rFonts w:ascii="Cambria" w:eastAsia="Cambria" w:hAnsi="Cambria" w:cs="Cambria"/>
          <w:sz w:val="24"/>
          <w:szCs w:val="24"/>
        </w:rPr>
      </w:pPr>
      <w:r>
        <w:rPr>
          <w:noProof/>
        </w:rPr>
        <w:drawing>
          <wp:inline distT="0" distB="0" distL="0" distR="0" wp14:anchorId="6448BD10" wp14:editId="3047F86F">
            <wp:extent cx="1229845" cy="653356"/>
            <wp:effectExtent l="0" t="0" r="0" b="0"/>
            <wp:docPr id="112139663" name="Picture 112139663"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9663" name="Picture 112139663" descr="A signature of a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845" cy="653356"/>
                    </a:xfrm>
                    <a:prstGeom prst="rect">
                      <a:avLst/>
                    </a:prstGeom>
                  </pic:spPr>
                </pic:pic>
              </a:graphicData>
            </a:graphic>
          </wp:inline>
        </w:drawing>
      </w:r>
    </w:p>
    <w:p w14:paraId="29EA13F0" w14:textId="77777777" w:rsidR="006161AD" w:rsidRDefault="006161AD" w:rsidP="006161AD">
      <w:pPr>
        <w:spacing w:after="0" w:line="240" w:lineRule="auto"/>
        <w:rPr>
          <w:rFonts w:ascii="Cambria" w:eastAsia="Cambria" w:hAnsi="Cambria" w:cs="Cambria"/>
          <w:sz w:val="24"/>
          <w:szCs w:val="24"/>
        </w:rPr>
      </w:pPr>
      <w:r w:rsidRPr="5CAE8E1E">
        <w:rPr>
          <w:rFonts w:ascii="Cambria" w:eastAsia="Cambria" w:hAnsi="Cambria" w:cs="Cambria"/>
          <w:sz w:val="24"/>
          <w:szCs w:val="24"/>
        </w:rPr>
        <w:t>Peter G. Martin</w:t>
      </w:r>
    </w:p>
    <w:p w14:paraId="140B9AF5" w14:textId="77777777" w:rsidR="006161AD" w:rsidRDefault="006161AD" w:rsidP="006161AD">
      <w:pPr>
        <w:spacing w:after="0" w:line="240" w:lineRule="auto"/>
        <w:rPr>
          <w:rFonts w:ascii="Cambria" w:eastAsia="Cambria" w:hAnsi="Cambria" w:cs="Cambria"/>
          <w:sz w:val="24"/>
          <w:szCs w:val="24"/>
        </w:rPr>
      </w:pPr>
      <w:r w:rsidRPr="5CAE8E1E">
        <w:rPr>
          <w:rFonts w:ascii="Cambria" w:eastAsia="Cambria" w:hAnsi="Cambria" w:cs="Cambria"/>
          <w:sz w:val="24"/>
          <w:szCs w:val="24"/>
        </w:rPr>
        <w:t>Housing Solutions Manager</w:t>
      </w:r>
    </w:p>
    <w:p w14:paraId="1C446865" w14:textId="77777777" w:rsidR="006161AD" w:rsidRDefault="006161AD" w:rsidP="006161AD">
      <w:pPr>
        <w:spacing w:after="0" w:line="240" w:lineRule="auto"/>
        <w:rPr>
          <w:rFonts w:ascii="Cambria" w:eastAsia="Cambria" w:hAnsi="Cambria" w:cs="Cambria"/>
          <w:sz w:val="24"/>
          <w:szCs w:val="24"/>
        </w:rPr>
      </w:pPr>
      <w:r w:rsidRPr="5CAE8E1E">
        <w:rPr>
          <w:rFonts w:ascii="Cambria" w:eastAsia="Cambria" w:hAnsi="Cambria" w:cs="Cambria"/>
          <w:sz w:val="24"/>
          <w:szCs w:val="24"/>
        </w:rPr>
        <w:t>647-913-7305</w:t>
      </w:r>
    </w:p>
    <w:p w14:paraId="0765B7CC" w14:textId="77777777" w:rsidR="006161AD" w:rsidRDefault="006161AD" w:rsidP="006161AD">
      <w:pPr>
        <w:spacing w:after="0" w:line="240" w:lineRule="auto"/>
        <w:rPr>
          <w:rFonts w:ascii="Cambria" w:eastAsia="Cambria" w:hAnsi="Cambria" w:cs="Cambria"/>
          <w:sz w:val="24"/>
          <w:szCs w:val="24"/>
        </w:rPr>
      </w:pPr>
      <w:hyperlink r:id="rId7">
        <w:r w:rsidRPr="2CA62BA2">
          <w:rPr>
            <w:rStyle w:val="Hyperlink"/>
            <w:rFonts w:ascii="Cambria" w:eastAsia="Cambria" w:hAnsi="Cambria" w:cs="Cambria"/>
            <w:sz w:val="24"/>
            <w:szCs w:val="24"/>
          </w:rPr>
          <w:t>peter@taeh.ca</w:t>
        </w:r>
      </w:hyperlink>
    </w:p>
    <w:p w14:paraId="28C581B0" w14:textId="77777777" w:rsidR="00793215" w:rsidRPr="004F02BC" w:rsidRDefault="00793215">
      <w:pPr>
        <w:rPr>
          <w:rFonts w:ascii="Cambria" w:hAnsi="Cambria"/>
          <w:sz w:val="24"/>
          <w:szCs w:val="24"/>
        </w:rPr>
      </w:pPr>
    </w:p>
    <w:p w14:paraId="59305001" w14:textId="77777777" w:rsidR="00793215" w:rsidRPr="004F02BC" w:rsidRDefault="00793215">
      <w:pPr>
        <w:rPr>
          <w:rFonts w:ascii="Cambria" w:hAnsi="Cambria"/>
          <w:sz w:val="24"/>
          <w:szCs w:val="24"/>
        </w:rPr>
      </w:pPr>
    </w:p>
    <w:sectPr w:rsidR="00793215" w:rsidRPr="004F0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A1F61"/>
    <w:multiLevelType w:val="hybridMultilevel"/>
    <w:tmpl w:val="D12C22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102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5"/>
    <w:rsid w:val="0006274C"/>
    <w:rsid w:val="00442AD6"/>
    <w:rsid w:val="004F02BC"/>
    <w:rsid w:val="006161AD"/>
    <w:rsid w:val="006216CB"/>
    <w:rsid w:val="00793215"/>
    <w:rsid w:val="00895E1C"/>
    <w:rsid w:val="00975CF6"/>
    <w:rsid w:val="00B264B6"/>
    <w:rsid w:val="00C22F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0C20"/>
  <w15:chartTrackingRefBased/>
  <w15:docId w15:val="{F3A66603-EE12-4B45-8624-ECD6CB33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15"/>
    <w:rPr>
      <w:kern w:val="0"/>
      <w:lang w:val="en-US"/>
      <w14:ligatures w14:val="none"/>
    </w:rPr>
  </w:style>
  <w:style w:type="paragraph" w:styleId="Heading1">
    <w:name w:val="heading 1"/>
    <w:basedOn w:val="Normal"/>
    <w:next w:val="Normal"/>
    <w:link w:val="Heading1Char"/>
    <w:uiPriority w:val="9"/>
    <w:qFormat/>
    <w:rsid w:val="0079321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79321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793215"/>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793215"/>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793215"/>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793215"/>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793215"/>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793215"/>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793215"/>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215"/>
    <w:rPr>
      <w:rFonts w:eastAsiaTheme="majorEastAsia" w:cstheme="majorBidi"/>
      <w:color w:val="272727" w:themeColor="text1" w:themeTint="D8"/>
    </w:rPr>
  </w:style>
  <w:style w:type="paragraph" w:styleId="Title">
    <w:name w:val="Title"/>
    <w:basedOn w:val="Normal"/>
    <w:next w:val="Normal"/>
    <w:link w:val="TitleChar"/>
    <w:uiPriority w:val="10"/>
    <w:qFormat/>
    <w:rsid w:val="00793215"/>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79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215"/>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79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215"/>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793215"/>
    <w:rPr>
      <w:i/>
      <w:iCs/>
      <w:color w:val="404040" w:themeColor="text1" w:themeTint="BF"/>
    </w:rPr>
  </w:style>
  <w:style w:type="paragraph" w:styleId="ListParagraph">
    <w:name w:val="List Paragraph"/>
    <w:basedOn w:val="Normal"/>
    <w:uiPriority w:val="34"/>
    <w:qFormat/>
    <w:rsid w:val="00793215"/>
    <w:pPr>
      <w:ind w:left="720"/>
      <w:contextualSpacing/>
    </w:pPr>
    <w:rPr>
      <w:kern w:val="2"/>
      <w:lang w:val="en-CA"/>
      <w14:ligatures w14:val="standardContextual"/>
    </w:rPr>
  </w:style>
  <w:style w:type="character" w:styleId="IntenseEmphasis">
    <w:name w:val="Intense Emphasis"/>
    <w:basedOn w:val="DefaultParagraphFont"/>
    <w:uiPriority w:val="21"/>
    <w:qFormat/>
    <w:rsid w:val="00793215"/>
    <w:rPr>
      <w:i/>
      <w:iCs/>
      <w:color w:val="0F4761" w:themeColor="accent1" w:themeShade="BF"/>
    </w:rPr>
  </w:style>
  <w:style w:type="paragraph" w:styleId="IntenseQuote">
    <w:name w:val="Intense Quote"/>
    <w:basedOn w:val="Normal"/>
    <w:next w:val="Normal"/>
    <w:link w:val="IntenseQuoteChar"/>
    <w:uiPriority w:val="30"/>
    <w:qFormat/>
    <w:rsid w:val="00793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793215"/>
    <w:rPr>
      <w:i/>
      <w:iCs/>
      <w:color w:val="0F4761" w:themeColor="accent1" w:themeShade="BF"/>
    </w:rPr>
  </w:style>
  <w:style w:type="character" w:styleId="IntenseReference">
    <w:name w:val="Intense Reference"/>
    <w:basedOn w:val="DefaultParagraphFont"/>
    <w:uiPriority w:val="32"/>
    <w:qFormat/>
    <w:rsid w:val="00793215"/>
    <w:rPr>
      <w:b/>
      <w:bCs/>
      <w:smallCaps/>
      <w:color w:val="0F4761" w:themeColor="accent1" w:themeShade="BF"/>
      <w:spacing w:val="5"/>
    </w:rPr>
  </w:style>
  <w:style w:type="character" w:styleId="Hyperlink">
    <w:name w:val="Hyperlink"/>
    <w:basedOn w:val="DefaultParagraphFont"/>
    <w:uiPriority w:val="99"/>
    <w:unhideWhenUsed/>
    <w:rsid w:val="006161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tae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Peter Martin</cp:lastModifiedBy>
  <cp:revision>2</cp:revision>
  <dcterms:created xsi:type="dcterms:W3CDTF">2024-05-11T03:54:00Z</dcterms:created>
  <dcterms:modified xsi:type="dcterms:W3CDTF">2024-05-11T03:54:00Z</dcterms:modified>
</cp:coreProperties>
</file>