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43D4" w14:textId="77777777" w:rsidR="00793215" w:rsidRPr="00793215" w:rsidRDefault="00793215" w:rsidP="00793215">
      <w:pPr>
        <w:jc w:val="right"/>
        <w:rPr>
          <w:rFonts w:ascii="Cambria" w:hAnsi="Cambria"/>
        </w:rPr>
      </w:pPr>
      <w:r w:rsidRPr="00793215">
        <w:rPr>
          <w:rFonts w:ascii="Cambria" w:hAnsi="Cambria"/>
          <w:sz w:val="48"/>
          <w:szCs w:val="48"/>
        </w:rPr>
        <w:t>COMMENT</w:t>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rPr>
        <w:tab/>
      </w:r>
      <w:r w:rsidRPr="00793215">
        <w:rPr>
          <w:rFonts w:ascii="Cambria" w:hAnsi="Cambria"/>
          <w:noProof/>
        </w:rPr>
        <w:drawing>
          <wp:inline distT="0" distB="0" distL="0" distR="0" wp14:anchorId="076AEC01" wp14:editId="6AEEABA2">
            <wp:extent cx="1822405" cy="1076526"/>
            <wp:effectExtent l="0" t="0" r="0" b="0"/>
            <wp:docPr id="2062533465" name="Picture 206253346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3465" name="Picture 2062533465"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05" cy="1076526"/>
                    </a:xfrm>
                    <a:prstGeom prst="rect">
                      <a:avLst/>
                    </a:prstGeom>
                  </pic:spPr>
                </pic:pic>
              </a:graphicData>
            </a:graphic>
          </wp:inline>
        </w:drawing>
      </w:r>
    </w:p>
    <w:p w14:paraId="0155FCD4" w14:textId="77777777" w:rsidR="00793215" w:rsidRPr="00793215" w:rsidRDefault="00793215" w:rsidP="00793215">
      <w:pPr>
        <w:spacing w:after="0"/>
        <w:rPr>
          <w:rFonts w:ascii="Cambria" w:eastAsia="Cambria" w:hAnsi="Cambria" w:cs="Cambria"/>
          <w:sz w:val="24"/>
          <w:szCs w:val="24"/>
        </w:rPr>
      </w:pPr>
    </w:p>
    <w:p w14:paraId="5AD0F834"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To:</w:t>
      </w:r>
      <w:r w:rsidRPr="00793215">
        <w:rPr>
          <w:rFonts w:ascii="Cambria" w:hAnsi="Cambria"/>
        </w:rPr>
        <w:tab/>
      </w:r>
      <w:r w:rsidRPr="00793215">
        <w:rPr>
          <w:rFonts w:ascii="Cambria" w:eastAsia="Cambria" w:hAnsi="Cambria" w:cs="Cambria"/>
          <w:sz w:val="24"/>
          <w:szCs w:val="24"/>
        </w:rPr>
        <w:t>Municipal Finance Policy Branch, Attn: Ruchi Parkash.</w:t>
      </w:r>
    </w:p>
    <w:p w14:paraId="1DCEBCA9"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Date:</w:t>
      </w:r>
      <w:r w:rsidRPr="00793215">
        <w:rPr>
          <w:rFonts w:ascii="Cambria" w:hAnsi="Cambria"/>
        </w:rPr>
        <w:tab/>
      </w:r>
      <w:r w:rsidRPr="00793215">
        <w:rPr>
          <w:rFonts w:ascii="Cambria" w:eastAsia="Cambria" w:hAnsi="Cambria" w:cs="Cambria"/>
          <w:sz w:val="24"/>
          <w:szCs w:val="24"/>
        </w:rPr>
        <w:t>Friday, May 10, 2024.</w:t>
      </w:r>
    </w:p>
    <w:p w14:paraId="1F284F33" w14:textId="19B47DCC" w:rsidR="00793215" w:rsidRPr="00793215" w:rsidRDefault="00793215" w:rsidP="002E3AC8">
      <w:pPr>
        <w:spacing w:after="0"/>
        <w:ind w:left="720" w:hanging="720"/>
        <w:rPr>
          <w:rFonts w:ascii="Cambria" w:eastAsia="Cambria" w:hAnsi="Cambria" w:cs="Cambria"/>
          <w:sz w:val="24"/>
          <w:szCs w:val="24"/>
        </w:rPr>
      </w:pPr>
      <w:r w:rsidRPr="00793215">
        <w:rPr>
          <w:rFonts w:ascii="Cambria" w:eastAsia="Cambria" w:hAnsi="Cambria" w:cs="Cambria"/>
          <w:sz w:val="24"/>
          <w:szCs w:val="24"/>
        </w:rPr>
        <w:t>Re:</w:t>
      </w:r>
      <w:r w:rsidRPr="00793215">
        <w:rPr>
          <w:rFonts w:ascii="Cambria" w:hAnsi="Cambria"/>
        </w:rPr>
        <w:tab/>
      </w:r>
      <w:r w:rsidR="00406C22" w:rsidRPr="00907943">
        <w:rPr>
          <w:rFonts w:ascii="Cambria" w:hAnsi="Cambria"/>
          <w:sz w:val="24"/>
          <w:szCs w:val="24"/>
        </w:rPr>
        <w:t xml:space="preserve">Proposed </w:t>
      </w:r>
      <w:r w:rsidR="00D73538" w:rsidRPr="00D73538">
        <w:rPr>
          <w:rFonts w:ascii="Cambria" w:hAnsi="Cambria"/>
          <w:i/>
          <w:iCs/>
          <w:sz w:val="24"/>
          <w:szCs w:val="24"/>
        </w:rPr>
        <w:t>Planning Act</w:t>
      </w:r>
      <w:r w:rsidR="00D73538">
        <w:rPr>
          <w:rFonts w:ascii="Cambria" w:hAnsi="Cambria"/>
          <w:sz w:val="24"/>
          <w:szCs w:val="24"/>
        </w:rPr>
        <w:t xml:space="preserve">, </w:t>
      </w:r>
      <w:r w:rsidR="00D73538" w:rsidRPr="00D73538">
        <w:rPr>
          <w:rFonts w:ascii="Cambria" w:hAnsi="Cambria"/>
          <w:i/>
          <w:iCs/>
          <w:sz w:val="24"/>
          <w:szCs w:val="24"/>
        </w:rPr>
        <w:t>City of Toronto Act, 2006</w:t>
      </w:r>
      <w:r w:rsidR="00D73538">
        <w:rPr>
          <w:rFonts w:ascii="Cambria" w:hAnsi="Cambria"/>
          <w:sz w:val="24"/>
          <w:szCs w:val="24"/>
        </w:rPr>
        <w:t xml:space="preserve">, and </w:t>
      </w:r>
      <w:r w:rsidR="00D73538" w:rsidRPr="00D73538">
        <w:rPr>
          <w:rFonts w:ascii="Cambria" w:hAnsi="Cambria"/>
          <w:i/>
          <w:iCs/>
          <w:sz w:val="24"/>
          <w:szCs w:val="24"/>
        </w:rPr>
        <w:t>Municipal Act, 2001</w:t>
      </w:r>
      <w:r w:rsidR="00D73538">
        <w:rPr>
          <w:rFonts w:ascii="Cambria" w:hAnsi="Cambria"/>
          <w:sz w:val="24"/>
          <w:szCs w:val="24"/>
        </w:rPr>
        <w:t xml:space="preserve">, Changes (Schedules 4, 9, and 12 of Bill 185 – the proposed Bill 185, </w:t>
      </w:r>
      <w:r w:rsidR="00D73538" w:rsidRPr="00D73538">
        <w:rPr>
          <w:rFonts w:ascii="Cambria" w:hAnsi="Cambria"/>
          <w:i/>
          <w:iCs/>
          <w:sz w:val="24"/>
          <w:szCs w:val="24"/>
        </w:rPr>
        <w:t>Cutting Red Tape to Build More Homes Act, 2024</w:t>
      </w:r>
      <w:r w:rsidR="00D73538">
        <w:rPr>
          <w:rFonts w:ascii="Cambria" w:hAnsi="Cambria"/>
          <w:sz w:val="24"/>
          <w:szCs w:val="24"/>
        </w:rPr>
        <w:t>)</w:t>
      </w:r>
      <w:r w:rsidRPr="00907943">
        <w:rPr>
          <w:rFonts w:ascii="Cambria" w:eastAsia="Cambria" w:hAnsi="Cambria" w:cs="Cambria"/>
          <w:sz w:val="24"/>
          <w:szCs w:val="24"/>
        </w:rPr>
        <w:t xml:space="preserve">. - </w:t>
      </w:r>
      <w:r w:rsidRPr="00907943">
        <w:rPr>
          <w:rFonts w:ascii="Cambria" w:eastAsia="Cambria" w:hAnsi="Cambria" w:cs="Cambria"/>
          <w:i/>
          <w:iCs/>
          <w:sz w:val="24"/>
          <w:szCs w:val="24"/>
        </w:rPr>
        <w:t>Ministry of Municipal Affairs and</w:t>
      </w:r>
      <w:r w:rsidRPr="00793215">
        <w:rPr>
          <w:rFonts w:ascii="Cambria" w:eastAsia="Cambria" w:hAnsi="Cambria" w:cs="Cambria"/>
          <w:i/>
          <w:iCs/>
          <w:sz w:val="24"/>
          <w:szCs w:val="24"/>
        </w:rPr>
        <w:t xml:space="preserve"> Housing</w:t>
      </w:r>
      <w:r w:rsidRPr="00793215">
        <w:rPr>
          <w:rFonts w:ascii="Cambria" w:eastAsia="Cambria" w:hAnsi="Cambria" w:cs="Cambria"/>
          <w:sz w:val="24"/>
          <w:szCs w:val="24"/>
        </w:rPr>
        <w:t>.</w:t>
      </w:r>
    </w:p>
    <w:p w14:paraId="68732D05" w14:textId="73BF975E"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ERO:</w:t>
      </w:r>
      <w:r w:rsidRPr="00793215">
        <w:rPr>
          <w:rFonts w:ascii="Cambria" w:hAnsi="Cambria"/>
        </w:rPr>
        <w:tab/>
      </w:r>
      <w:r w:rsidRPr="00793215">
        <w:rPr>
          <w:rFonts w:ascii="Cambria" w:eastAsia="Cambria" w:hAnsi="Cambria" w:cs="Cambria"/>
          <w:sz w:val="24"/>
          <w:szCs w:val="24"/>
        </w:rPr>
        <w:t>019-836</w:t>
      </w:r>
      <w:r w:rsidR="00D73538">
        <w:rPr>
          <w:rFonts w:ascii="Cambria" w:eastAsia="Cambria" w:hAnsi="Cambria" w:cs="Cambria"/>
          <w:sz w:val="24"/>
          <w:szCs w:val="24"/>
        </w:rPr>
        <w:t>9</w:t>
      </w:r>
      <w:r w:rsidRPr="00793215">
        <w:rPr>
          <w:rFonts w:ascii="Cambria" w:eastAsia="Cambria" w:hAnsi="Cambria" w:cs="Cambria"/>
          <w:sz w:val="24"/>
          <w:szCs w:val="24"/>
        </w:rPr>
        <w:t>.</w:t>
      </w:r>
    </w:p>
    <w:p w14:paraId="2592FC53" w14:textId="77777777" w:rsidR="00793215" w:rsidRPr="00793215" w:rsidRDefault="00793215" w:rsidP="00793215">
      <w:pPr>
        <w:spacing w:after="0"/>
        <w:rPr>
          <w:rFonts w:ascii="Cambria" w:eastAsia="Cambria" w:hAnsi="Cambria" w:cs="Cambria"/>
          <w:sz w:val="24"/>
          <w:szCs w:val="24"/>
        </w:rPr>
      </w:pPr>
      <w:r w:rsidRPr="00793215">
        <w:rPr>
          <w:rFonts w:ascii="Cambria" w:eastAsia="Cambria" w:hAnsi="Cambria" w:cs="Cambria"/>
          <w:sz w:val="24"/>
          <w:szCs w:val="24"/>
        </w:rPr>
        <w:t>________________________________________________________________________________________________________</w:t>
      </w:r>
    </w:p>
    <w:p w14:paraId="12E6B806" w14:textId="77777777" w:rsidR="00793215" w:rsidRPr="00793215" w:rsidRDefault="00793215" w:rsidP="00793215">
      <w:pPr>
        <w:spacing w:after="0"/>
        <w:rPr>
          <w:rFonts w:ascii="Cambria" w:eastAsia="Cambria" w:hAnsi="Cambria" w:cs="Cambria"/>
          <w:sz w:val="24"/>
          <w:szCs w:val="24"/>
        </w:rPr>
      </w:pPr>
    </w:p>
    <w:p w14:paraId="382E76AD" w14:textId="77777777" w:rsidR="00793215" w:rsidRPr="00793215" w:rsidRDefault="00793215" w:rsidP="00793215">
      <w:pPr>
        <w:spacing w:after="0" w:line="240" w:lineRule="auto"/>
        <w:rPr>
          <w:rFonts w:ascii="Cambria" w:eastAsia="Cambria" w:hAnsi="Cambria" w:cs="Cambria"/>
          <w:sz w:val="24"/>
          <w:szCs w:val="24"/>
        </w:rPr>
      </w:pPr>
      <w:r w:rsidRPr="00793215">
        <w:rPr>
          <w:rFonts w:ascii="Cambria" w:eastAsia="Cambria" w:hAnsi="Cambria" w:cs="Cambria"/>
          <w:sz w:val="24"/>
          <w:szCs w:val="24"/>
        </w:rPr>
        <w:t>The Toronto Alliance to End Homelessness (TAEH) is a community-based collective impact initiative committed to ending homelessness in Toronto. Our network includes not-for–profit organisations that support those living with homelessness and those who are housed and who must spend a disproportionate amount of income on housing., as well as affordable and supportive housing developers, property managers, and landlords.</w:t>
      </w:r>
    </w:p>
    <w:p w14:paraId="698BA309" w14:textId="77777777" w:rsidR="00793215" w:rsidRPr="00793215" w:rsidRDefault="00793215" w:rsidP="00793215">
      <w:pPr>
        <w:spacing w:after="0" w:line="240" w:lineRule="auto"/>
        <w:rPr>
          <w:rFonts w:ascii="Cambria" w:eastAsia="Cambria" w:hAnsi="Cambria" w:cs="Cambria"/>
          <w:sz w:val="24"/>
          <w:szCs w:val="24"/>
        </w:rPr>
      </w:pPr>
    </w:p>
    <w:p w14:paraId="2CFA8875" w14:textId="77777777" w:rsidR="00793215" w:rsidRPr="000C28B2" w:rsidRDefault="00793215" w:rsidP="00793215">
      <w:pPr>
        <w:spacing w:after="0" w:line="240" w:lineRule="auto"/>
        <w:rPr>
          <w:rFonts w:ascii="Cambria" w:eastAsia="Cambria" w:hAnsi="Cambria" w:cs="Cambria"/>
          <w:sz w:val="24"/>
          <w:szCs w:val="24"/>
        </w:rPr>
      </w:pPr>
      <w:r w:rsidRPr="00793215">
        <w:rPr>
          <w:rFonts w:ascii="Cambria" w:eastAsia="Cambria" w:hAnsi="Cambria" w:cs="Cambria"/>
          <w:sz w:val="24"/>
          <w:szCs w:val="24"/>
        </w:rPr>
        <w:t>As part of our mission, TAEH works directly with the City of Toronto in its mandates surrounding homelessness and maintaining and growing affordable housing stock in the city, including engagement on client support services and funding. This includes TAEH co-</w:t>
      </w:r>
      <w:r w:rsidRPr="000C28B2">
        <w:rPr>
          <w:rFonts w:ascii="Cambria" w:eastAsia="Cambria" w:hAnsi="Cambria" w:cs="Cambria"/>
          <w:sz w:val="24"/>
          <w:szCs w:val="24"/>
        </w:rPr>
        <w:t>chairing the Toronto Housing and Homelessness Service Planning Forum with both the City of Toronto Shelter, Supports and Housing Administration and the Housing Secretariat.</w:t>
      </w:r>
    </w:p>
    <w:p w14:paraId="2251B178" w14:textId="77777777" w:rsidR="00793215" w:rsidRPr="000C28B2" w:rsidRDefault="00793215" w:rsidP="00793215">
      <w:pPr>
        <w:spacing w:after="0" w:line="240" w:lineRule="auto"/>
        <w:rPr>
          <w:rFonts w:ascii="Cambria" w:eastAsia="Cambria" w:hAnsi="Cambria" w:cs="Cambria"/>
          <w:sz w:val="24"/>
          <w:szCs w:val="24"/>
        </w:rPr>
      </w:pPr>
    </w:p>
    <w:p w14:paraId="33120E94" w14:textId="77777777" w:rsidR="00793215" w:rsidRPr="000C28B2" w:rsidRDefault="00793215" w:rsidP="00793215">
      <w:pPr>
        <w:spacing w:after="0" w:line="240" w:lineRule="auto"/>
        <w:rPr>
          <w:rFonts w:ascii="Cambria" w:eastAsia="Cambria" w:hAnsi="Cambria" w:cs="Cambria"/>
          <w:sz w:val="24"/>
          <w:szCs w:val="24"/>
        </w:rPr>
      </w:pPr>
    </w:p>
    <w:p w14:paraId="56C61044" w14:textId="77777777" w:rsidR="00793215" w:rsidRPr="000C28B2" w:rsidRDefault="00793215" w:rsidP="00793215">
      <w:pPr>
        <w:spacing w:after="0" w:line="240" w:lineRule="auto"/>
        <w:rPr>
          <w:rFonts w:ascii="Cambria" w:eastAsia="Cambria" w:hAnsi="Cambria" w:cs="Cambria"/>
          <w:b/>
          <w:bCs/>
          <w:sz w:val="24"/>
          <w:szCs w:val="24"/>
          <w:u w:val="single"/>
        </w:rPr>
      </w:pPr>
      <w:r w:rsidRPr="000C28B2">
        <w:rPr>
          <w:rFonts w:ascii="Cambria" w:eastAsia="Cambria" w:hAnsi="Cambria" w:cs="Cambria"/>
          <w:b/>
          <w:bCs/>
          <w:sz w:val="24"/>
          <w:szCs w:val="24"/>
          <w:u w:val="single"/>
        </w:rPr>
        <w:t>Recommendations.</w:t>
      </w:r>
    </w:p>
    <w:p w14:paraId="5005F52A" w14:textId="77777777" w:rsidR="00895E1C" w:rsidRPr="000C28B2" w:rsidRDefault="00895E1C">
      <w:pPr>
        <w:rPr>
          <w:rFonts w:ascii="Cambria" w:hAnsi="Cambria"/>
          <w:sz w:val="24"/>
          <w:szCs w:val="24"/>
        </w:rPr>
      </w:pPr>
    </w:p>
    <w:p w14:paraId="3C89647A" w14:textId="1ED25E43" w:rsidR="00793215" w:rsidRDefault="000C28B2" w:rsidP="000C28B2">
      <w:pPr>
        <w:pStyle w:val="ListParagraph"/>
        <w:numPr>
          <w:ilvl w:val="0"/>
          <w:numId w:val="1"/>
        </w:numPr>
        <w:rPr>
          <w:rFonts w:ascii="Cambria" w:hAnsi="Cambria"/>
          <w:sz w:val="24"/>
          <w:szCs w:val="24"/>
        </w:rPr>
      </w:pPr>
      <w:r>
        <w:rPr>
          <w:rFonts w:ascii="Cambria" w:hAnsi="Cambria"/>
          <w:sz w:val="24"/>
          <w:szCs w:val="24"/>
        </w:rPr>
        <w:t>TAEH supports the proposed change to remove a minimum parking requirement for developments within Protected Major Transit Station Areas and Major Transit Areas.</w:t>
      </w:r>
    </w:p>
    <w:p w14:paraId="338741C6" w14:textId="77777777" w:rsidR="000C28B2" w:rsidRDefault="000C28B2" w:rsidP="000C28B2">
      <w:pPr>
        <w:pStyle w:val="ListParagraph"/>
        <w:rPr>
          <w:rFonts w:ascii="Cambria" w:hAnsi="Cambria"/>
          <w:sz w:val="24"/>
          <w:szCs w:val="24"/>
        </w:rPr>
      </w:pPr>
    </w:p>
    <w:p w14:paraId="14AFBD9A" w14:textId="5A677C3C" w:rsidR="000C28B2" w:rsidRDefault="000C28B2" w:rsidP="000C28B2">
      <w:pPr>
        <w:pStyle w:val="ListParagraph"/>
        <w:numPr>
          <w:ilvl w:val="0"/>
          <w:numId w:val="1"/>
        </w:numPr>
        <w:rPr>
          <w:rFonts w:ascii="Cambria" w:hAnsi="Cambria"/>
          <w:sz w:val="24"/>
          <w:szCs w:val="24"/>
        </w:rPr>
      </w:pPr>
      <w:r>
        <w:rPr>
          <w:rFonts w:ascii="Cambria" w:hAnsi="Cambria"/>
          <w:sz w:val="24"/>
          <w:szCs w:val="24"/>
        </w:rPr>
        <w:t>TAEH supports extending this removal to all developments within Transit Oriented Communities.</w:t>
      </w:r>
    </w:p>
    <w:p w14:paraId="72CE17CD" w14:textId="77777777" w:rsidR="000C28B2" w:rsidRPr="000C28B2" w:rsidRDefault="000C28B2" w:rsidP="000C28B2">
      <w:pPr>
        <w:pStyle w:val="ListParagraph"/>
        <w:rPr>
          <w:rFonts w:ascii="Cambria" w:hAnsi="Cambria"/>
          <w:sz w:val="24"/>
          <w:szCs w:val="24"/>
        </w:rPr>
      </w:pPr>
    </w:p>
    <w:p w14:paraId="18FB1129" w14:textId="77777777" w:rsidR="000C28B2" w:rsidRPr="000C28B2" w:rsidRDefault="000C28B2" w:rsidP="000C28B2">
      <w:pPr>
        <w:pStyle w:val="ListParagraph"/>
        <w:rPr>
          <w:rFonts w:ascii="Cambria" w:hAnsi="Cambria"/>
          <w:sz w:val="24"/>
          <w:szCs w:val="24"/>
        </w:rPr>
      </w:pPr>
    </w:p>
    <w:p w14:paraId="082C3379" w14:textId="25E0C7D8" w:rsidR="000C28B2" w:rsidRDefault="000C28B2" w:rsidP="000C28B2">
      <w:pPr>
        <w:pStyle w:val="ListParagraph"/>
        <w:numPr>
          <w:ilvl w:val="0"/>
          <w:numId w:val="1"/>
        </w:numPr>
        <w:rPr>
          <w:rFonts w:ascii="Cambria" w:hAnsi="Cambria"/>
          <w:sz w:val="24"/>
          <w:szCs w:val="24"/>
        </w:rPr>
      </w:pPr>
      <w:r>
        <w:rPr>
          <w:rFonts w:ascii="Cambria" w:hAnsi="Cambria"/>
          <w:sz w:val="24"/>
          <w:szCs w:val="24"/>
        </w:rPr>
        <w:t>TAEH supports the Minister removing zoning barriers as set out in ERO 019-8366, and includes the following two recommendations also found in a Comment filed in the file:</w:t>
      </w:r>
    </w:p>
    <w:p w14:paraId="5FDE69AE" w14:textId="77777777" w:rsidR="000C28B2" w:rsidRDefault="000C28B2" w:rsidP="000C28B2">
      <w:pPr>
        <w:pStyle w:val="ListParagraph"/>
        <w:rPr>
          <w:rFonts w:ascii="Cambria" w:hAnsi="Cambria"/>
          <w:sz w:val="24"/>
          <w:szCs w:val="24"/>
        </w:rPr>
      </w:pPr>
    </w:p>
    <w:p w14:paraId="6C5FD7EF" w14:textId="77777777" w:rsidR="000C28B2" w:rsidRDefault="000C28B2" w:rsidP="000C28B2">
      <w:pPr>
        <w:pStyle w:val="ListParagraph"/>
        <w:numPr>
          <w:ilvl w:val="1"/>
          <w:numId w:val="1"/>
        </w:numPr>
        <w:rPr>
          <w:rFonts w:ascii="Cambria" w:hAnsi="Cambria"/>
          <w:sz w:val="24"/>
          <w:szCs w:val="24"/>
        </w:rPr>
      </w:pPr>
      <w:r w:rsidRPr="004F02BC">
        <w:rPr>
          <w:rFonts w:ascii="Cambria" w:hAnsi="Cambria"/>
          <w:sz w:val="24"/>
          <w:szCs w:val="24"/>
        </w:rPr>
        <w:lastRenderedPageBreak/>
        <w:t xml:space="preserve">TAEH </w:t>
      </w:r>
      <w:r>
        <w:rPr>
          <w:rFonts w:ascii="Cambria" w:hAnsi="Cambria"/>
          <w:sz w:val="24"/>
          <w:szCs w:val="24"/>
        </w:rPr>
        <w:t xml:space="preserve">recommends that the province permit municipalities to enact inclusionary zoning by-laws, at their discretion, over all or part of the municipality; or </w:t>
      </w:r>
      <w:r w:rsidRPr="006161AD">
        <w:rPr>
          <w:rFonts w:ascii="Cambria" w:hAnsi="Cambria"/>
          <w:sz w:val="24"/>
          <w:szCs w:val="24"/>
        </w:rPr>
        <w:t>that the City of Toronto be permitted to do so, in keeping with the longtime request from the City of Toronto for such zoning controls.</w:t>
      </w:r>
    </w:p>
    <w:p w14:paraId="0F2D3268" w14:textId="58C0FDC3" w:rsidR="000C28B2" w:rsidRDefault="000C28B2" w:rsidP="000C28B2">
      <w:pPr>
        <w:pStyle w:val="ListParagraph"/>
        <w:ind w:left="1440"/>
        <w:rPr>
          <w:rFonts w:ascii="Cambria" w:hAnsi="Cambria"/>
          <w:sz w:val="24"/>
          <w:szCs w:val="24"/>
        </w:rPr>
      </w:pPr>
    </w:p>
    <w:p w14:paraId="1D0F05CB" w14:textId="77ABD542" w:rsidR="000C28B2" w:rsidRPr="000C28B2" w:rsidRDefault="000C28B2" w:rsidP="000C28B2">
      <w:pPr>
        <w:pStyle w:val="ListParagraph"/>
        <w:numPr>
          <w:ilvl w:val="1"/>
          <w:numId w:val="1"/>
        </w:numPr>
        <w:rPr>
          <w:rFonts w:ascii="Cambria" w:hAnsi="Cambria"/>
          <w:sz w:val="24"/>
          <w:szCs w:val="24"/>
        </w:rPr>
      </w:pPr>
      <w:r w:rsidRPr="000C28B2">
        <w:rPr>
          <w:rFonts w:ascii="Cambria" w:hAnsi="Cambria"/>
          <w:sz w:val="24"/>
          <w:szCs w:val="24"/>
        </w:rPr>
        <w:t>In the alternative, TAEH recommends that the province permit inclusionary zoning on all lands designated in Toronto as Major Transit Station Areas/Protected Major Transit Station Areas/Transit Oriented Communities and their equivalents in other municipalities; or that the City of Toronto be permitted to do so.</w:t>
      </w:r>
    </w:p>
    <w:p w14:paraId="6E820E7D" w14:textId="7F5F036F" w:rsidR="000C28B2" w:rsidRDefault="000C28B2" w:rsidP="000C28B2">
      <w:pPr>
        <w:pStyle w:val="ListParagraph"/>
        <w:rPr>
          <w:rFonts w:ascii="Cambria" w:hAnsi="Cambria"/>
          <w:sz w:val="24"/>
          <w:szCs w:val="24"/>
        </w:rPr>
      </w:pPr>
    </w:p>
    <w:p w14:paraId="4CE26A9D" w14:textId="4CC6970E" w:rsidR="000C28B2" w:rsidRDefault="000C28B2" w:rsidP="000C28B2">
      <w:pPr>
        <w:pStyle w:val="ListParagraph"/>
        <w:numPr>
          <w:ilvl w:val="0"/>
          <w:numId w:val="1"/>
        </w:numPr>
        <w:rPr>
          <w:rFonts w:ascii="Cambria" w:hAnsi="Cambria"/>
          <w:sz w:val="24"/>
          <w:szCs w:val="24"/>
        </w:rPr>
      </w:pPr>
      <w:r>
        <w:rPr>
          <w:rFonts w:ascii="Cambria" w:hAnsi="Cambria"/>
          <w:sz w:val="24"/>
          <w:szCs w:val="24"/>
        </w:rPr>
        <w:t xml:space="preserve">TAEH supports the proposed change to allow the “decommissioning” of approved projects that fail to begin construction in a reasonable time. We further recommend that the provincial government discuss the appropriate length of time before this takes place with municipalities on an individual basis as each municipality will have its own opinion on the ideal length of time that is deemed acceptable before construction must begin on projects. </w:t>
      </w:r>
    </w:p>
    <w:p w14:paraId="46E52A96" w14:textId="77777777" w:rsidR="001D4808" w:rsidRDefault="001D4808" w:rsidP="001D4808">
      <w:pPr>
        <w:pStyle w:val="ListParagraph"/>
        <w:rPr>
          <w:rFonts w:ascii="Cambria" w:hAnsi="Cambria"/>
          <w:sz w:val="24"/>
          <w:szCs w:val="24"/>
        </w:rPr>
      </w:pPr>
    </w:p>
    <w:p w14:paraId="012240FD" w14:textId="042BF41F" w:rsidR="000C28B2" w:rsidRDefault="000C28B2" w:rsidP="000C28B2">
      <w:pPr>
        <w:pStyle w:val="ListParagraph"/>
        <w:numPr>
          <w:ilvl w:val="0"/>
          <w:numId w:val="1"/>
        </w:numPr>
        <w:rPr>
          <w:rFonts w:ascii="Cambria" w:hAnsi="Cambria"/>
          <w:sz w:val="24"/>
          <w:szCs w:val="24"/>
        </w:rPr>
      </w:pPr>
      <w:r>
        <w:rPr>
          <w:rFonts w:ascii="Cambria" w:hAnsi="Cambria"/>
          <w:sz w:val="24"/>
          <w:szCs w:val="24"/>
        </w:rPr>
        <w:t xml:space="preserve">TAEH recommends that the proposed limits on third party appeals to the OLT not be established. </w:t>
      </w:r>
      <w:r w:rsidR="001D4808">
        <w:rPr>
          <w:rFonts w:ascii="Cambria" w:hAnsi="Cambria"/>
          <w:sz w:val="24"/>
          <w:szCs w:val="24"/>
        </w:rPr>
        <w:t>Alternatively,</w:t>
      </w:r>
      <w:r>
        <w:rPr>
          <w:rFonts w:ascii="Cambria" w:hAnsi="Cambria"/>
          <w:sz w:val="24"/>
          <w:szCs w:val="24"/>
        </w:rPr>
        <w:t xml:space="preserve"> TAEH proposes that such limits apply only to affordable, supportive, and public housing projects, since there is a heightened need for such projects to be developed in comparison to private market housing in the context of municipalities achieving their housing targets by 2031.</w:t>
      </w:r>
    </w:p>
    <w:p w14:paraId="1CA7E818" w14:textId="77777777" w:rsidR="001D4808" w:rsidRPr="001D4808" w:rsidRDefault="001D4808" w:rsidP="001D4808">
      <w:pPr>
        <w:pStyle w:val="ListParagraph"/>
        <w:rPr>
          <w:rFonts w:ascii="Cambria" w:hAnsi="Cambria"/>
          <w:sz w:val="24"/>
          <w:szCs w:val="24"/>
        </w:rPr>
      </w:pPr>
    </w:p>
    <w:p w14:paraId="64293A21" w14:textId="77777777" w:rsidR="001D4808" w:rsidRDefault="001D4808" w:rsidP="001D4808">
      <w:pPr>
        <w:pStyle w:val="ListParagraph"/>
        <w:rPr>
          <w:rFonts w:ascii="Cambria" w:hAnsi="Cambria"/>
          <w:sz w:val="24"/>
          <w:szCs w:val="24"/>
        </w:rPr>
      </w:pPr>
    </w:p>
    <w:p w14:paraId="3DF51B27" w14:textId="02A07E3E" w:rsidR="001D4808" w:rsidRPr="001D4808" w:rsidRDefault="001D4808" w:rsidP="000C28B2">
      <w:pPr>
        <w:pStyle w:val="ListParagraph"/>
        <w:numPr>
          <w:ilvl w:val="0"/>
          <w:numId w:val="1"/>
        </w:numPr>
        <w:rPr>
          <w:rFonts w:ascii="Cambria" w:hAnsi="Cambria"/>
          <w:sz w:val="24"/>
          <w:szCs w:val="24"/>
        </w:rPr>
      </w:pPr>
      <w:r>
        <w:rPr>
          <w:rFonts w:ascii="Cambria" w:hAnsi="Cambria"/>
          <w:sz w:val="24"/>
          <w:szCs w:val="24"/>
        </w:rPr>
        <w:t>TAEH recommends that the province, instead of limiting appeals to the OLT, overhaul the OLT procedures to weed out frivolous appeals at an early stage and streamline the appeal hearing process, including greater limits on the grounds upon which an appeal can be made.</w:t>
      </w:r>
    </w:p>
    <w:p w14:paraId="52573A7D" w14:textId="205ED217" w:rsidR="001D4808" w:rsidRPr="001D4808" w:rsidRDefault="001D4808" w:rsidP="001D4808">
      <w:pPr>
        <w:rPr>
          <w:noProof/>
          <w:sz w:val="24"/>
          <w:szCs w:val="24"/>
        </w:rPr>
      </w:pPr>
    </w:p>
    <w:p w14:paraId="1407D2D3" w14:textId="77777777" w:rsidR="001D4808" w:rsidRDefault="001D4808" w:rsidP="001D4808">
      <w:pPr>
        <w:spacing w:after="0" w:line="240" w:lineRule="auto"/>
        <w:rPr>
          <w:rFonts w:ascii="Cambria" w:eastAsia="Cambria" w:hAnsi="Cambria" w:cs="Cambria"/>
          <w:sz w:val="24"/>
          <w:szCs w:val="24"/>
        </w:rPr>
      </w:pPr>
      <w:r w:rsidRPr="5CAE8E1E">
        <w:rPr>
          <w:rFonts w:ascii="Cambria" w:eastAsia="Cambria" w:hAnsi="Cambria" w:cs="Cambria"/>
          <w:sz w:val="24"/>
          <w:szCs w:val="24"/>
        </w:rPr>
        <w:t>Thank you,</w:t>
      </w:r>
    </w:p>
    <w:p w14:paraId="0B2FB036" w14:textId="77777777" w:rsidR="001D4808" w:rsidRDefault="001D4808" w:rsidP="001D4808">
      <w:pPr>
        <w:spacing w:after="0" w:line="240" w:lineRule="auto"/>
        <w:rPr>
          <w:rFonts w:ascii="Cambria" w:eastAsia="Cambria" w:hAnsi="Cambria" w:cs="Cambria"/>
          <w:sz w:val="24"/>
          <w:szCs w:val="24"/>
        </w:rPr>
      </w:pPr>
      <w:r>
        <w:rPr>
          <w:noProof/>
        </w:rPr>
        <w:drawing>
          <wp:inline distT="0" distB="0" distL="0" distR="0" wp14:anchorId="7993C68E" wp14:editId="5E64AEFA">
            <wp:extent cx="1229845" cy="653356"/>
            <wp:effectExtent l="0" t="0" r="0" b="0"/>
            <wp:docPr id="112139663" name="Picture 11213966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9663" name="Picture 112139663" descr="A signature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845" cy="653356"/>
                    </a:xfrm>
                    <a:prstGeom prst="rect">
                      <a:avLst/>
                    </a:prstGeom>
                  </pic:spPr>
                </pic:pic>
              </a:graphicData>
            </a:graphic>
          </wp:inline>
        </w:drawing>
      </w:r>
    </w:p>
    <w:p w14:paraId="3F87CD00" w14:textId="77777777" w:rsidR="001D4808" w:rsidRDefault="001D4808" w:rsidP="001D4808">
      <w:pPr>
        <w:spacing w:after="0" w:line="240" w:lineRule="auto"/>
        <w:rPr>
          <w:rFonts w:ascii="Cambria" w:eastAsia="Cambria" w:hAnsi="Cambria" w:cs="Cambria"/>
          <w:sz w:val="24"/>
          <w:szCs w:val="24"/>
        </w:rPr>
      </w:pPr>
      <w:r w:rsidRPr="5CAE8E1E">
        <w:rPr>
          <w:rFonts w:ascii="Cambria" w:eastAsia="Cambria" w:hAnsi="Cambria" w:cs="Cambria"/>
          <w:sz w:val="24"/>
          <w:szCs w:val="24"/>
        </w:rPr>
        <w:t>Peter G. Martin</w:t>
      </w:r>
    </w:p>
    <w:p w14:paraId="57D05A7B" w14:textId="77777777" w:rsidR="001D4808" w:rsidRDefault="001D4808" w:rsidP="001D4808">
      <w:pPr>
        <w:spacing w:after="0" w:line="240" w:lineRule="auto"/>
        <w:rPr>
          <w:rFonts w:ascii="Cambria" w:eastAsia="Cambria" w:hAnsi="Cambria" w:cs="Cambria"/>
          <w:sz w:val="24"/>
          <w:szCs w:val="24"/>
        </w:rPr>
      </w:pPr>
      <w:r w:rsidRPr="5CAE8E1E">
        <w:rPr>
          <w:rFonts w:ascii="Cambria" w:eastAsia="Cambria" w:hAnsi="Cambria" w:cs="Cambria"/>
          <w:sz w:val="24"/>
          <w:szCs w:val="24"/>
        </w:rPr>
        <w:t>Housing Solutions Manager</w:t>
      </w:r>
    </w:p>
    <w:p w14:paraId="6F2C0695" w14:textId="77777777" w:rsidR="001D4808" w:rsidRDefault="001D4808" w:rsidP="001D4808">
      <w:pPr>
        <w:spacing w:after="0" w:line="240" w:lineRule="auto"/>
        <w:rPr>
          <w:rFonts w:ascii="Cambria" w:eastAsia="Cambria" w:hAnsi="Cambria" w:cs="Cambria"/>
          <w:sz w:val="24"/>
          <w:szCs w:val="24"/>
        </w:rPr>
      </w:pPr>
      <w:r w:rsidRPr="5CAE8E1E">
        <w:rPr>
          <w:rFonts w:ascii="Cambria" w:eastAsia="Cambria" w:hAnsi="Cambria" w:cs="Cambria"/>
          <w:sz w:val="24"/>
          <w:szCs w:val="24"/>
        </w:rPr>
        <w:t>647-913-7305</w:t>
      </w:r>
    </w:p>
    <w:p w14:paraId="7396FB6A" w14:textId="07058389" w:rsidR="001D4808" w:rsidRPr="001D4808" w:rsidRDefault="001D4808" w:rsidP="001D4808">
      <w:pPr>
        <w:rPr>
          <w:rFonts w:ascii="Cambria" w:hAnsi="Cambria"/>
          <w:sz w:val="24"/>
          <w:szCs w:val="24"/>
        </w:rPr>
      </w:pPr>
      <w:hyperlink r:id="rId7">
        <w:r w:rsidRPr="2CA62BA2">
          <w:rPr>
            <w:rStyle w:val="Hyperlink"/>
            <w:rFonts w:ascii="Cambria" w:eastAsia="Cambria" w:hAnsi="Cambria" w:cs="Cambria"/>
            <w:sz w:val="24"/>
            <w:szCs w:val="24"/>
          </w:rPr>
          <w:t>peter@taeh.ca</w:t>
        </w:r>
      </w:hyperlink>
    </w:p>
    <w:p w14:paraId="28C581B0" w14:textId="77777777" w:rsidR="00793215" w:rsidRPr="001D4808" w:rsidRDefault="00793215">
      <w:pPr>
        <w:rPr>
          <w:rFonts w:ascii="Cambria" w:hAnsi="Cambria"/>
          <w:sz w:val="24"/>
          <w:szCs w:val="24"/>
        </w:rPr>
      </w:pPr>
    </w:p>
    <w:p w14:paraId="59305001" w14:textId="77777777" w:rsidR="00793215" w:rsidRPr="001D4808" w:rsidRDefault="00793215">
      <w:pPr>
        <w:rPr>
          <w:rFonts w:ascii="Cambria" w:hAnsi="Cambria"/>
          <w:sz w:val="24"/>
          <w:szCs w:val="24"/>
        </w:rPr>
      </w:pPr>
    </w:p>
    <w:sectPr w:rsidR="00793215" w:rsidRPr="001D4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17C94"/>
    <w:multiLevelType w:val="hybridMultilevel"/>
    <w:tmpl w:val="D116D4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7A1F61"/>
    <w:multiLevelType w:val="hybridMultilevel"/>
    <w:tmpl w:val="D12C22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03908682">
    <w:abstractNumId w:val="0"/>
  </w:num>
  <w:num w:numId="2" w16cid:durableId="31025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5"/>
    <w:rsid w:val="00016816"/>
    <w:rsid w:val="000840F6"/>
    <w:rsid w:val="000C28B2"/>
    <w:rsid w:val="001D4808"/>
    <w:rsid w:val="002E3AC8"/>
    <w:rsid w:val="003E3814"/>
    <w:rsid w:val="00406C22"/>
    <w:rsid w:val="00425DAD"/>
    <w:rsid w:val="0047275A"/>
    <w:rsid w:val="006B42A1"/>
    <w:rsid w:val="00793215"/>
    <w:rsid w:val="00895E1C"/>
    <w:rsid w:val="00907943"/>
    <w:rsid w:val="009326D7"/>
    <w:rsid w:val="00975CF6"/>
    <w:rsid w:val="00AF6BA2"/>
    <w:rsid w:val="00C22F71"/>
    <w:rsid w:val="00C85299"/>
    <w:rsid w:val="00D73538"/>
    <w:rsid w:val="00F358DF"/>
    <w:rsid w:val="00F712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0C20"/>
  <w15:chartTrackingRefBased/>
  <w15:docId w15:val="{F3A66603-EE12-4B45-8624-ECD6CB33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15"/>
    <w:rPr>
      <w:kern w:val="0"/>
      <w:lang w:val="en-US"/>
      <w14:ligatures w14:val="none"/>
    </w:rPr>
  </w:style>
  <w:style w:type="paragraph" w:styleId="Heading1">
    <w:name w:val="heading 1"/>
    <w:basedOn w:val="Normal"/>
    <w:next w:val="Normal"/>
    <w:link w:val="Heading1Char"/>
    <w:uiPriority w:val="9"/>
    <w:qFormat/>
    <w:rsid w:val="00793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215"/>
    <w:rPr>
      <w:rFonts w:eastAsiaTheme="majorEastAsia" w:cstheme="majorBidi"/>
      <w:color w:val="272727" w:themeColor="text1" w:themeTint="D8"/>
    </w:rPr>
  </w:style>
  <w:style w:type="paragraph" w:styleId="Title">
    <w:name w:val="Title"/>
    <w:basedOn w:val="Normal"/>
    <w:next w:val="Normal"/>
    <w:link w:val="TitleChar"/>
    <w:uiPriority w:val="10"/>
    <w:qFormat/>
    <w:rsid w:val="0079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215"/>
    <w:pPr>
      <w:spacing w:before="160"/>
      <w:jc w:val="center"/>
    </w:pPr>
    <w:rPr>
      <w:i/>
      <w:iCs/>
      <w:color w:val="404040" w:themeColor="text1" w:themeTint="BF"/>
    </w:rPr>
  </w:style>
  <w:style w:type="character" w:customStyle="1" w:styleId="QuoteChar">
    <w:name w:val="Quote Char"/>
    <w:basedOn w:val="DefaultParagraphFont"/>
    <w:link w:val="Quote"/>
    <w:uiPriority w:val="29"/>
    <w:rsid w:val="00793215"/>
    <w:rPr>
      <w:i/>
      <w:iCs/>
      <w:color w:val="404040" w:themeColor="text1" w:themeTint="BF"/>
    </w:rPr>
  </w:style>
  <w:style w:type="paragraph" w:styleId="ListParagraph">
    <w:name w:val="List Paragraph"/>
    <w:basedOn w:val="Normal"/>
    <w:uiPriority w:val="34"/>
    <w:qFormat/>
    <w:rsid w:val="00793215"/>
    <w:pPr>
      <w:ind w:left="720"/>
      <w:contextualSpacing/>
    </w:pPr>
  </w:style>
  <w:style w:type="character" w:styleId="IntenseEmphasis">
    <w:name w:val="Intense Emphasis"/>
    <w:basedOn w:val="DefaultParagraphFont"/>
    <w:uiPriority w:val="21"/>
    <w:qFormat/>
    <w:rsid w:val="00793215"/>
    <w:rPr>
      <w:i/>
      <w:iCs/>
      <w:color w:val="0F4761" w:themeColor="accent1" w:themeShade="BF"/>
    </w:rPr>
  </w:style>
  <w:style w:type="paragraph" w:styleId="IntenseQuote">
    <w:name w:val="Intense Quote"/>
    <w:basedOn w:val="Normal"/>
    <w:next w:val="Normal"/>
    <w:link w:val="IntenseQuoteChar"/>
    <w:uiPriority w:val="30"/>
    <w:qFormat/>
    <w:rsid w:val="00793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215"/>
    <w:rPr>
      <w:i/>
      <w:iCs/>
      <w:color w:val="0F4761" w:themeColor="accent1" w:themeShade="BF"/>
    </w:rPr>
  </w:style>
  <w:style w:type="character" w:styleId="IntenseReference">
    <w:name w:val="Intense Reference"/>
    <w:basedOn w:val="DefaultParagraphFont"/>
    <w:uiPriority w:val="32"/>
    <w:qFormat/>
    <w:rsid w:val="00793215"/>
    <w:rPr>
      <w:b/>
      <w:bCs/>
      <w:smallCaps/>
      <w:color w:val="0F4761" w:themeColor="accent1" w:themeShade="BF"/>
      <w:spacing w:val="5"/>
    </w:rPr>
  </w:style>
  <w:style w:type="character" w:styleId="Hyperlink">
    <w:name w:val="Hyperlink"/>
    <w:basedOn w:val="DefaultParagraphFont"/>
    <w:uiPriority w:val="99"/>
    <w:unhideWhenUsed/>
    <w:rsid w:val="001D48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tae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2</cp:revision>
  <dcterms:created xsi:type="dcterms:W3CDTF">2024-05-11T03:54:00Z</dcterms:created>
  <dcterms:modified xsi:type="dcterms:W3CDTF">2024-05-11T03:54:00Z</dcterms:modified>
</cp:coreProperties>
</file>