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6ADE0" w14:textId="699A40FA" w:rsidR="004629B7" w:rsidRPr="00A460FD" w:rsidRDefault="00622591" w:rsidP="00622591">
      <w:pPr>
        <w:ind w:hanging="1134"/>
        <w:rPr>
          <w:rFonts w:ascii="Area" w:hAnsi="Area" w:cs="Times New Roman"/>
          <w:color w:val="FF0000"/>
          <w:sz w:val="20"/>
          <w:szCs w:val="20"/>
        </w:rPr>
      </w:pPr>
      <w:r w:rsidRPr="00A460FD">
        <w:rPr>
          <w:rFonts w:ascii="Area" w:hAnsi="Area" w:cs="Times New Roman"/>
          <w:noProof/>
          <w:color w:val="FF0000"/>
          <w:sz w:val="20"/>
          <w:szCs w:val="20"/>
        </w:rPr>
        <w:drawing>
          <wp:inline distT="0" distB="0" distL="0" distR="0" wp14:anchorId="5DBB9740" wp14:editId="586F4B57">
            <wp:extent cx="7484209" cy="1085850"/>
            <wp:effectExtent l="0" t="0" r="2540" b="0"/>
            <wp:docPr id="1899019519" name="Picture 1"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019519" name="Picture 1" descr="A logo of a bir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485896" cy="1086095"/>
                    </a:xfrm>
                    <a:prstGeom prst="rect">
                      <a:avLst/>
                    </a:prstGeom>
                  </pic:spPr>
                </pic:pic>
              </a:graphicData>
            </a:graphic>
          </wp:inline>
        </w:drawing>
      </w:r>
    </w:p>
    <w:p w14:paraId="5F817EE2" w14:textId="07C7CF5D" w:rsidR="00622591" w:rsidRPr="00A460FD" w:rsidRDefault="00622591" w:rsidP="00622591">
      <w:pPr>
        <w:spacing w:after="0" w:line="276" w:lineRule="auto"/>
        <w:jc w:val="both"/>
        <w:rPr>
          <w:rFonts w:ascii="Area" w:hAnsi="Area" w:cs="Times New Roman"/>
          <w:sz w:val="20"/>
          <w:szCs w:val="20"/>
        </w:rPr>
      </w:pPr>
      <w:r w:rsidRPr="00A460FD">
        <w:rPr>
          <w:rFonts w:ascii="Area" w:hAnsi="Area" w:cs="Times New Roman"/>
          <w:sz w:val="20"/>
          <w:szCs w:val="20"/>
        </w:rPr>
        <w:t>OFAH FILE: 794</w:t>
      </w:r>
    </w:p>
    <w:p w14:paraId="797C7091" w14:textId="395BA11F" w:rsidR="00622591" w:rsidRPr="00A460FD" w:rsidRDefault="00622591" w:rsidP="00622591">
      <w:pPr>
        <w:spacing w:after="0" w:line="276" w:lineRule="auto"/>
        <w:jc w:val="both"/>
        <w:rPr>
          <w:rFonts w:ascii="Area" w:hAnsi="Area" w:cs="Times New Roman"/>
          <w:sz w:val="20"/>
          <w:szCs w:val="20"/>
        </w:rPr>
      </w:pPr>
      <w:r w:rsidRPr="00A460FD">
        <w:rPr>
          <w:rFonts w:ascii="Area" w:hAnsi="Area" w:cs="Times New Roman"/>
          <w:sz w:val="20"/>
          <w:szCs w:val="20"/>
        </w:rPr>
        <w:t>August 2</w:t>
      </w:r>
      <w:r w:rsidR="00A460FD">
        <w:rPr>
          <w:rFonts w:ascii="Area" w:hAnsi="Area" w:cs="Times New Roman"/>
          <w:sz w:val="20"/>
          <w:szCs w:val="20"/>
        </w:rPr>
        <w:t>8</w:t>
      </w:r>
      <w:r w:rsidRPr="00A460FD">
        <w:rPr>
          <w:rFonts w:ascii="Area" w:hAnsi="Area" w:cs="Times New Roman"/>
          <w:sz w:val="20"/>
          <w:szCs w:val="20"/>
        </w:rPr>
        <w:t>, 2024</w:t>
      </w:r>
    </w:p>
    <w:p w14:paraId="0C5B8A23" w14:textId="77777777" w:rsidR="00622591" w:rsidRPr="00A460FD" w:rsidRDefault="00622591" w:rsidP="00622591">
      <w:pPr>
        <w:spacing w:after="0" w:line="276" w:lineRule="auto"/>
        <w:jc w:val="both"/>
        <w:rPr>
          <w:rFonts w:ascii="Area" w:hAnsi="Area" w:cs="Times New Roman"/>
          <w:sz w:val="20"/>
          <w:szCs w:val="20"/>
        </w:rPr>
      </w:pPr>
    </w:p>
    <w:p w14:paraId="6AD4001A" w14:textId="423E5091" w:rsidR="00A460FD" w:rsidRPr="00A460FD" w:rsidRDefault="00A460FD" w:rsidP="00A460FD">
      <w:pPr>
        <w:spacing w:after="0" w:line="276" w:lineRule="auto"/>
        <w:jc w:val="both"/>
        <w:rPr>
          <w:rFonts w:ascii="Area" w:hAnsi="Area"/>
          <w:sz w:val="20"/>
          <w:szCs w:val="20"/>
        </w:rPr>
      </w:pPr>
      <w:r w:rsidRPr="00A460FD">
        <w:rPr>
          <w:rFonts w:ascii="Area" w:hAnsi="Area"/>
          <w:sz w:val="20"/>
          <w:szCs w:val="20"/>
        </w:rPr>
        <w:t>MNR - PSD - Aviation, Forest Fire and Emergency Services</w:t>
      </w:r>
    </w:p>
    <w:p w14:paraId="6214C8CC" w14:textId="77777777" w:rsidR="00A460FD" w:rsidRPr="00A460FD" w:rsidRDefault="00A460FD" w:rsidP="00A460FD">
      <w:pPr>
        <w:spacing w:after="0" w:line="276" w:lineRule="auto"/>
        <w:jc w:val="both"/>
        <w:rPr>
          <w:rFonts w:ascii="Area" w:hAnsi="Area"/>
          <w:sz w:val="20"/>
          <w:szCs w:val="20"/>
        </w:rPr>
      </w:pPr>
      <w:r w:rsidRPr="00A460FD">
        <w:rPr>
          <w:rFonts w:ascii="Area" w:hAnsi="Area"/>
          <w:sz w:val="20"/>
          <w:szCs w:val="20"/>
        </w:rPr>
        <w:t>300 Water Street</w:t>
      </w:r>
    </w:p>
    <w:p w14:paraId="526834EB" w14:textId="77777777" w:rsidR="00A460FD" w:rsidRPr="00A460FD" w:rsidRDefault="00A460FD" w:rsidP="00A460FD">
      <w:pPr>
        <w:spacing w:after="0" w:line="276" w:lineRule="auto"/>
        <w:jc w:val="both"/>
        <w:rPr>
          <w:rFonts w:ascii="Area" w:hAnsi="Area"/>
          <w:sz w:val="20"/>
          <w:szCs w:val="20"/>
        </w:rPr>
      </w:pPr>
      <w:r w:rsidRPr="00A460FD">
        <w:rPr>
          <w:rFonts w:ascii="Area" w:hAnsi="Area"/>
          <w:sz w:val="20"/>
          <w:szCs w:val="20"/>
        </w:rPr>
        <w:t>Peterborough, ON</w:t>
      </w:r>
    </w:p>
    <w:p w14:paraId="02C2EA0D" w14:textId="77777777" w:rsidR="00A460FD" w:rsidRPr="00A460FD" w:rsidRDefault="00A460FD" w:rsidP="00A460FD">
      <w:pPr>
        <w:spacing w:after="0" w:line="276" w:lineRule="auto"/>
        <w:jc w:val="both"/>
        <w:rPr>
          <w:rFonts w:ascii="Area" w:hAnsi="Area"/>
          <w:sz w:val="20"/>
          <w:szCs w:val="20"/>
        </w:rPr>
      </w:pPr>
      <w:r w:rsidRPr="00A460FD">
        <w:rPr>
          <w:rFonts w:ascii="Area" w:hAnsi="Area"/>
          <w:sz w:val="20"/>
          <w:szCs w:val="20"/>
        </w:rPr>
        <w:t>K9J 3C7</w:t>
      </w:r>
    </w:p>
    <w:p w14:paraId="388A4247" w14:textId="77777777" w:rsidR="00622591" w:rsidRPr="00A460FD" w:rsidRDefault="00622591" w:rsidP="00622591">
      <w:pPr>
        <w:spacing w:after="0" w:line="276" w:lineRule="auto"/>
        <w:jc w:val="both"/>
        <w:rPr>
          <w:rFonts w:ascii="Area" w:hAnsi="Area" w:cs="Times New Roman"/>
          <w:sz w:val="20"/>
          <w:szCs w:val="20"/>
        </w:rPr>
      </w:pPr>
    </w:p>
    <w:p w14:paraId="4BBBFC17" w14:textId="3EE78537" w:rsidR="00A460FD" w:rsidRPr="00A460FD" w:rsidRDefault="00A460FD" w:rsidP="00622591">
      <w:pPr>
        <w:spacing w:after="0" w:line="276" w:lineRule="auto"/>
        <w:jc w:val="both"/>
        <w:rPr>
          <w:rFonts w:ascii="Area" w:hAnsi="Area" w:cs="Times New Roman"/>
          <w:sz w:val="20"/>
          <w:szCs w:val="20"/>
        </w:rPr>
      </w:pPr>
      <w:r w:rsidRPr="00A460FD">
        <w:rPr>
          <w:rFonts w:ascii="Area" w:hAnsi="Area" w:cs="Times New Roman"/>
          <w:sz w:val="20"/>
          <w:szCs w:val="20"/>
        </w:rPr>
        <w:t>Email:</w:t>
      </w:r>
      <w:r w:rsidRPr="00A460FD">
        <w:rPr>
          <w:rFonts w:ascii="Area" w:hAnsi="Area"/>
          <w:sz w:val="20"/>
          <w:szCs w:val="20"/>
        </w:rPr>
        <w:t xml:space="preserve"> </w:t>
      </w:r>
      <w:hyperlink r:id="rId8" w:history="1">
        <w:r w:rsidRPr="00A460FD">
          <w:rPr>
            <w:rStyle w:val="Hyperlink"/>
            <w:rFonts w:ascii="Area" w:hAnsi="Area" w:cs="Times New Roman"/>
            <w:sz w:val="20"/>
            <w:szCs w:val="20"/>
          </w:rPr>
          <w:t>WildlandFire@ontario.ca</w:t>
        </w:r>
      </w:hyperlink>
    </w:p>
    <w:p w14:paraId="56D3E14F" w14:textId="77777777" w:rsidR="00A460FD" w:rsidRPr="00A460FD" w:rsidRDefault="00A460FD" w:rsidP="00622591">
      <w:pPr>
        <w:spacing w:after="0" w:line="276" w:lineRule="auto"/>
        <w:jc w:val="both"/>
        <w:rPr>
          <w:rFonts w:ascii="Area" w:hAnsi="Area" w:cs="Times New Roman"/>
          <w:sz w:val="20"/>
          <w:szCs w:val="20"/>
        </w:rPr>
      </w:pPr>
    </w:p>
    <w:p w14:paraId="6E06047E" w14:textId="7FE7179A" w:rsidR="004629B7" w:rsidRPr="00A460FD" w:rsidRDefault="004629B7" w:rsidP="00622591">
      <w:pPr>
        <w:spacing w:after="0" w:line="276" w:lineRule="auto"/>
        <w:jc w:val="both"/>
        <w:rPr>
          <w:rFonts w:ascii="Area" w:hAnsi="Area" w:cs="Times New Roman"/>
          <w:sz w:val="20"/>
          <w:szCs w:val="20"/>
        </w:rPr>
      </w:pPr>
      <w:r w:rsidRPr="00A460FD">
        <w:rPr>
          <w:rFonts w:ascii="Area" w:hAnsi="Area" w:cs="Times New Roman"/>
          <w:sz w:val="20"/>
          <w:szCs w:val="20"/>
        </w:rPr>
        <w:t xml:space="preserve">Subject: </w:t>
      </w:r>
      <w:r w:rsidRPr="00A460FD">
        <w:rPr>
          <w:rFonts w:ascii="Area" w:hAnsi="Area" w:cs="Times New Roman"/>
          <w:sz w:val="20"/>
          <w:szCs w:val="20"/>
        </w:rPr>
        <w:tab/>
        <w:t>ERO #019-8756 Modernizing wildland fire management in Ontario</w:t>
      </w:r>
    </w:p>
    <w:p w14:paraId="36A5E1B7" w14:textId="77E751C7" w:rsidR="004629B7" w:rsidRPr="00A460FD" w:rsidRDefault="004629B7" w:rsidP="00622591">
      <w:pPr>
        <w:spacing w:after="0" w:line="276" w:lineRule="auto"/>
        <w:jc w:val="both"/>
        <w:rPr>
          <w:rFonts w:ascii="Area" w:hAnsi="Area" w:cs="Times New Roman"/>
          <w:sz w:val="20"/>
          <w:szCs w:val="20"/>
        </w:rPr>
      </w:pPr>
    </w:p>
    <w:p w14:paraId="2DE43BB8" w14:textId="028854A9" w:rsidR="004629B7" w:rsidRPr="00A460FD" w:rsidRDefault="004629B7" w:rsidP="00622591">
      <w:pPr>
        <w:spacing w:after="0" w:line="276" w:lineRule="auto"/>
        <w:jc w:val="both"/>
        <w:rPr>
          <w:rFonts w:ascii="Area" w:hAnsi="Area" w:cs="Times New Roman"/>
          <w:sz w:val="20"/>
          <w:szCs w:val="20"/>
        </w:rPr>
      </w:pPr>
      <w:r w:rsidRPr="00A460FD">
        <w:rPr>
          <w:rFonts w:ascii="Area" w:hAnsi="Area" w:cs="Times New Roman"/>
          <w:sz w:val="20"/>
          <w:szCs w:val="20"/>
        </w:rPr>
        <w:t>The Ontario Federation of Anglers and Hunters (OFAH) is Ontario’s largest, non-profit, fish and wildlife conservation-based organization, representing 100,000 members, subscribers and supporters, and 7</w:t>
      </w:r>
      <w:r w:rsidR="00622591" w:rsidRPr="00A460FD">
        <w:rPr>
          <w:rFonts w:ascii="Area" w:hAnsi="Area" w:cs="Times New Roman"/>
          <w:sz w:val="20"/>
          <w:szCs w:val="20"/>
        </w:rPr>
        <w:t>00</w:t>
      </w:r>
      <w:r w:rsidRPr="00A460FD">
        <w:rPr>
          <w:rFonts w:ascii="Area" w:hAnsi="Area" w:cs="Times New Roman"/>
          <w:sz w:val="20"/>
          <w:szCs w:val="20"/>
        </w:rPr>
        <w:t xml:space="preserve"> member clubs. We have reviewed the “Modernizing wildland fire management in Ontario” posting and discussion paper and have answered the appropriate questions below.</w:t>
      </w:r>
    </w:p>
    <w:p w14:paraId="6DED27CB" w14:textId="77777777" w:rsidR="00622591" w:rsidRPr="00A460FD" w:rsidRDefault="00622591" w:rsidP="00622591">
      <w:pPr>
        <w:spacing w:after="0" w:line="276" w:lineRule="auto"/>
        <w:jc w:val="both"/>
        <w:rPr>
          <w:rFonts w:ascii="Area" w:hAnsi="Area" w:cs="Times New Roman"/>
          <w:sz w:val="20"/>
          <w:szCs w:val="20"/>
        </w:rPr>
      </w:pPr>
    </w:p>
    <w:p w14:paraId="55533820" w14:textId="07F1E5A1" w:rsidR="007B3698" w:rsidRPr="00A460FD" w:rsidRDefault="004629B7" w:rsidP="00622591">
      <w:pPr>
        <w:spacing w:after="0" w:line="276" w:lineRule="auto"/>
        <w:jc w:val="both"/>
        <w:rPr>
          <w:rFonts w:ascii="Area" w:hAnsi="Area" w:cs="Times New Roman"/>
          <w:b/>
          <w:bCs/>
          <w:i/>
          <w:iCs/>
          <w:sz w:val="20"/>
          <w:szCs w:val="20"/>
        </w:rPr>
      </w:pPr>
      <w:r w:rsidRPr="00A460FD">
        <w:rPr>
          <w:rFonts w:ascii="Area" w:hAnsi="Area" w:cs="Times New Roman"/>
          <w:b/>
          <w:bCs/>
          <w:i/>
          <w:iCs/>
          <w:sz w:val="20"/>
          <w:szCs w:val="20"/>
        </w:rPr>
        <w:t>“</w:t>
      </w:r>
      <w:r w:rsidR="007B3698" w:rsidRPr="00A460FD">
        <w:rPr>
          <w:rFonts w:ascii="Area" w:hAnsi="Area" w:cs="Times New Roman"/>
          <w:b/>
          <w:bCs/>
          <w:i/>
          <w:iCs/>
          <w:sz w:val="20"/>
          <w:szCs w:val="20"/>
        </w:rPr>
        <w:t>1. Do you support strengthening collective responsibility for wildland fire management in Ontario? What steps can be taken to immediately strengthen collective responsibility for wildland fire management?</w:t>
      </w:r>
      <w:r w:rsidR="00B6372C">
        <w:rPr>
          <w:rFonts w:ascii="Area" w:hAnsi="Area" w:cs="Times New Roman"/>
          <w:b/>
          <w:bCs/>
          <w:i/>
          <w:iCs/>
          <w:sz w:val="20"/>
          <w:szCs w:val="20"/>
        </w:rPr>
        <w:t>”</w:t>
      </w:r>
    </w:p>
    <w:p w14:paraId="67651637" w14:textId="77777777" w:rsidR="00622591" w:rsidRPr="00A460FD" w:rsidRDefault="00622591" w:rsidP="00622591">
      <w:pPr>
        <w:spacing w:after="0" w:line="276" w:lineRule="auto"/>
        <w:jc w:val="both"/>
        <w:rPr>
          <w:rFonts w:ascii="Area" w:hAnsi="Area" w:cs="Times New Roman"/>
          <w:sz w:val="20"/>
          <w:szCs w:val="20"/>
        </w:rPr>
      </w:pPr>
    </w:p>
    <w:p w14:paraId="491E6896" w14:textId="3E1C869D" w:rsidR="007B3698" w:rsidRPr="00A460FD" w:rsidRDefault="007B3698" w:rsidP="00622591">
      <w:pPr>
        <w:spacing w:after="0" w:line="276" w:lineRule="auto"/>
        <w:jc w:val="both"/>
        <w:rPr>
          <w:rFonts w:ascii="Area" w:hAnsi="Area" w:cs="Times New Roman"/>
          <w:sz w:val="20"/>
          <w:szCs w:val="20"/>
        </w:rPr>
      </w:pPr>
      <w:r w:rsidRPr="00A460FD">
        <w:rPr>
          <w:rFonts w:ascii="Area" w:hAnsi="Area" w:cs="Times New Roman"/>
          <w:sz w:val="20"/>
          <w:szCs w:val="20"/>
        </w:rPr>
        <w:t>Yes</w:t>
      </w:r>
      <w:r w:rsidR="006F1D85" w:rsidRPr="00A460FD">
        <w:rPr>
          <w:rFonts w:ascii="Area" w:hAnsi="Area" w:cs="Times New Roman"/>
          <w:sz w:val="20"/>
          <w:szCs w:val="20"/>
        </w:rPr>
        <w:t>, the OFAH supports strengthening collective responsibility for wildland fire management in Ontario</w:t>
      </w:r>
      <w:r w:rsidRPr="00A460FD">
        <w:rPr>
          <w:rFonts w:ascii="Area" w:hAnsi="Area" w:cs="Times New Roman"/>
          <w:sz w:val="20"/>
          <w:szCs w:val="20"/>
        </w:rPr>
        <w:t xml:space="preserve">. Redistributing responsibility </w:t>
      </w:r>
      <w:r w:rsidR="00172690" w:rsidRPr="00A460FD">
        <w:rPr>
          <w:rFonts w:ascii="Area" w:hAnsi="Area" w:cs="Times New Roman"/>
          <w:sz w:val="20"/>
          <w:szCs w:val="20"/>
        </w:rPr>
        <w:t>should help address the increasing resource needs of wildland fire management</w:t>
      </w:r>
      <w:r w:rsidRPr="00A460FD">
        <w:rPr>
          <w:rFonts w:ascii="Area" w:hAnsi="Area" w:cs="Times New Roman"/>
          <w:sz w:val="20"/>
          <w:szCs w:val="20"/>
        </w:rPr>
        <w:t>, strengthen lines of communication, and, hopefully, increase accountability</w:t>
      </w:r>
      <w:r w:rsidR="00172690" w:rsidRPr="00A460FD">
        <w:rPr>
          <w:rFonts w:ascii="Area" w:hAnsi="Area" w:cs="Times New Roman"/>
          <w:sz w:val="20"/>
          <w:szCs w:val="20"/>
        </w:rPr>
        <w:t xml:space="preserve"> and subsequent cost recovery</w:t>
      </w:r>
      <w:r w:rsidRPr="00A460FD">
        <w:rPr>
          <w:rFonts w:ascii="Area" w:hAnsi="Area" w:cs="Times New Roman"/>
          <w:sz w:val="20"/>
          <w:szCs w:val="20"/>
        </w:rPr>
        <w:t>. As the climate crisis worsens</w:t>
      </w:r>
      <w:r w:rsidR="00172690" w:rsidRPr="00A460FD">
        <w:rPr>
          <w:rFonts w:ascii="Area" w:hAnsi="Area" w:cs="Times New Roman"/>
          <w:sz w:val="20"/>
          <w:szCs w:val="20"/>
        </w:rPr>
        <w:t>, a</w:t>
      </w:r>
      <w:r w:rsidRPr="00A460FD">
        <w:rPr>
          <w:rFonts w:ascii="Area" w:hAnsi="Area" w:cs="Times New Roman"/>
          <w:sz w:val="20"/>
          <w:szCs w:val="20"/>
        </w:rPr>
        <w:t xml:space="preserve">ll measures to engage and involve the public in wildland fire risk reduction, and the development of a stewardship mindset for the natural environment, </w:t>
      </w:r>
      <w:r w:rsidR="00172690" w:rsidRPr="00A460FD">
        <w:rPr>
          <w:rFonts w:ascii="Area" w:hAnsi="Area" w:cs="Times New Roman"/>
          <w:sz w:val="20"/>
          <w:szCs w:val="20"/>
        </w:rPr>
        <w:t>are also</w:t>
      </w:r>
      <w:r w:rsidRPr="00A460FD">
        <w:rPr>
          <w:rFonts w:ascii="Area" w:hAnsi="Area" w:cs="Times New Roman"/>
          <w:sz w:val="20"/>
          <w:szCs w:val="20"/>
        </w:rPr>
        <w:t xml:space="preserve"> critically important.</w:t>
      </w:r>
    </w:p>
    <w:p w14:paraId="503D2408" w14:textId="77777777" w:rsidR="00622591" w:rsidRPr="00A460FD" w:rsidRDefault="00622591" w:rsidP="00622591">
      <w:pPr>
        <w:spacing w:after="0" w:line="276" w:lineRule="auto"/>
        <w:jc w:val="both"/>
        <w:rPr>
          <w:rFonts w:ascii="Area" w:hAnsi="Area" w:cs="Times New Roman"/>
          <w:sz w:val="20"/>
          <w:szCs w:val="20"/>
        </w:rPr>
      </w:pPr>
    </w:p>
    <w:p w14:paraId="4C66B1CE" w14:textId="086405BD" w:rsidR="007B3698" w:rsidRPr="00A460FD" w:rsidRDefault="007B3698" w:rsidP="00622591">
      <w:pPr>
        <w:spacing w:after="0" w:line="276" w:lineRule="auto"/>
        <w:jc w:val="both"/>
        <w:rPr>
          <w:rFonts w:ascii="Area" w:hAnsi="Area" w:cs="Times New Roman"/>
          <w:sz w:val="20"/>
          <w:szCs w:val="20"/>
        </w:rPr>
      </w:pPr>
      <w:r w:rsidRPr="00A460FD">
        <w:rPr>
          <w:rFonts w:ascii="Area" w:hAnsi="Area" w:cs="Times New Roman"/>
          <w:sz w:val="20"/>
          <w:szCs w:val="20"/>
        </w:rPr>
        <w:t xml:space="preserve">We encourage the </w:t>
      </w:r>
      <w:r w:rsidR="00622591" w:rsidRPr="00A460FD">
        <w:rPr>
          <w:rFonts w:ascii="Area" w:hAnsi="Area" w:cs="Times New Roman"/>
          <w:sz w:val="20"/>
          <w:szCs w:val="20"/>
        </w:rPr>
        <w:t>province</w:t>
      </w:r>
      <w:r w:rsidRPr="00A460FD">
        <w:rPr>
          <w:rFonts w:ascii="Area" w:hAnsi="Area" w:cs="Times New Roman"/>
          <w:sz w:val="20"/>
          <w:szCs w:val="20"/>
        </w:rPr>
        <w:t xml:space="preserve"> to require industry and communities </w:t>
      </w:r>
      <w:r w:rsidR="00172690" w:rsidRPr="00A460FD">
        <w:rPr>
          <w:rFonts w:ascii="Area" w:hAnsi="Area" w:cs="Times New Roman"/>
          <w:sz w:val="20"/>
          <w:szCs w:val="20"/>
        </w:rPr>
        <w:t xml:space="preserve">which exist </w:t>
      </w:r>
      <w:r w:rsidRPr="00A460FD">
        <w:rPr>
          <w:rFonts w:ascii="Area" w:hAnsi="Area" w:cs="Times New Roman"/>
          <w:sz w:val="20"/>
          <w:szCs w:val="20"/>
        </w:rPr>
        <w:t xml:space="preserve">in a wildland setting to be trained </w:t>
      </w:r>
      <w:r w:rsidR="00172690" w:rsidRPr="00A460FD">
        <w:rPr>
          <w:rFonts w:ascii="Area" w:hAnsi="Area" w:cs="Times New Roman"/>
          <w:sz w:val="20"/>
          <w:szCs w:val="20"/>
        </w:rPr>
        <w:t>i</w:t>
      </w:r>
      <w:r w:rsidRPr="00A460FD">
        <w:rPr>
          <w:rFonts w:ascii="Area" w:hAnsi="Area" w:cs="Times New Roman"/>
          <w:sz w:val="20"/>
          <w:szCs w:val="20"/>
        </w:rPr>
        <w:t xml:space="preserve">n terms of fire risk assessment and basic fire response. </w:t>
      </w:r>
    </w:p>
    <w:p w14:paraId="39190B42" w14:textId="77777777" w:rsidR="00622591" w:rsidRPr="00A460FD" w:rsidRDefault="00622591" w:rsidP="00622591">
      <w:pPr>
        <w:spacing w:after="0" w:line="276" w:lineRule="auto"/>
        <w:jc w:val="both"/>
        <w:rPr>
          <w:rFonts w:ascii="Area" w:hAnsi="Area" w:cs="Times New Roman"/>
          <w:sz w:val="20"/>
          <w:szCs w:val="20"/>
        </w:rPr>
      </w:pPr>
    </w:p>
    <w:p w14:paraId="1AC01424" w14:textId="77777777" w:rsidR="007B3698" w:rsidRPr="00A460FD" w:rsidRDefault="007B3698" w:rsidP="00622591">
      <w:pPr>
        <w:spacing w:after="0" w:line="276" w:lineRule="auto"/>
        <w:jc w:val="both"/>
        <w:rPr>
          <w:rFonts w:ascii="Area" w:hAnsi="Area" w:cs="Times New Roman"/>
          <w:sz w:val="20"/>
          <w:szCs w:val="20"/>
        </w:rPr>
      </w:pPr>
      <w:r w:rsidRPr="00A460FD">
        <w:rPr>
          <w:rFonts w:ascii="Area" w:hAnsi="Area" w:cs="Times New Roman"/>
          <w:sz w:val="20"/>
          <w:szCs w:val="20"/>
        </w:rPr>
        <w:t>Municipalities</w:t>
      </w:r>
      <w:proofErr w:type="gramStart"/>
      <w:r w:rsidRPr="00A460FD">
        <w:rPr>
          <w:rFonts w:ascii="Area" w:hAnsi="Area" w:cs="Times New Roman"/>
          <w:sz w:val="20"/>
          <w:szCs w:val="20"/>
        </w:rPr>
        <w:t>, in particular, have</w:t>
      </w:r>
      <w:proofErr w:type="gramEnd"/>
      <w:r w:rsidRPr="00A460FD">
        <w:rPr>
          <w:rFonts w:ascii="Area" w:hAnsi="Area" w:cs="Times New Roman"/>
          <w:sz w:val="20"/>
          <w:szCs w:val="20"/>
        </w:rPr>
        <w:t xml:space="preserve"> a role to play in fire management, and should be trained to apply the concepts of watershed protection as a fire reduction and mitigation strategy in their land-use planning. This means protecting wetlands (and their associated vegetation) on the landscape to be reservoirs of ground water and natural fire breaks.</w:t>
      </w:r>
    </w:p>
    <w:p w14:paraId="42BD12E6" w14:textId="77777777" w:rsidR="00622591" w:rsidRPr="00A460FD" w:rsidRDefault="00622591" w:rsidP="00622591">
      <w:pPr>
        <w:spacing w:after="0" w:line="276" w:lineRule="auto"/>
        <w:jc w:val="both"/>
        <w:rPr>
          <w:rFonts w:ascii="Area" w:hAnsi="Area" w:cs="Times New Roman"/>
          <w:sz w:val="20"/>
          <w:szCs w:val="20"/>
        </w:rPr>
      </w:pPr>
    </w:p>
    <w:p w14:paraId="55D1568F" w14:textId="34205BD0" w:rsidR="007B3698" w:rsidRDefault="004629B7" w:rsidP="00622591">
      <w:pPr>
        <w:spacing w:after="0" w:line="276" w:lineRule="auto"/>
        <w:jc w:val="both"/>
        <w:rPr>
          <w:rFonts w:ascii="Area" w:hAnsi="Area" w:cs="Times New Roman"/>
          <w:sz w:val="20"/>
          <w:szCs w:val="20"/>
        </w:rPr>
      </w:pPr>
      <w:r w:rsidRPr="00622591">
        <w:rPr>
          <w:rFonts w:ascii="Area" w:hAnsi="Area" w:cs="Times New Roman"/>
          <w:b/>
          <w:bCs/>
          <w:i/>
          <w:iCs/>
          <w:sz w:val="20"/>
          <w:szCs w:val="20"/>
        </w:rPr>
        <w:t xml:space="preserve">2. </w:t>
      </w:r>
      <w:r w:rsidRPr="00622591">
        <w:rPr>
          <w:rFonts w:ascii="Area" w:hAnsi="Area" w:cs="Times New Roman"/>
          <w:sz w:val="20"/>
          <w:szCs w:val="20"/>
        </w:rPr>
        <w:t>N/A</w:t>
      </w:r>
    </w:p>
    <w:p w14:paraId="69AB3EE8" w14:textId="77777777" w:rsidR="00622591" w:rsidRPr="00622591" w:rsidRDefault="00622591" w:rsidP="00622591">
      <w:pPr>
        <w:spacing w:after="0" w:line="276" w:lineRule="auto"/>
        <w:jc w:val="both"/>
        <w:rPr>
          <w:rFonts w:ascii="Area" w:hAnsi="Area" w:cs="Times New Roman"/>
          <w:b/>
          <w:bCs/>
          <w:i/>
          <w:iCs/>
          <w:sz w:val="20"/>
          <w:szCs w:val="20"/>
        </w:rPr>
      </w:pPr>
    </w:p>
    <w:p w14:paraId="62EE55F4" w14:textId="5A7D8886" w:rsidR="004629B7" w:rsidRDefault="004629B7" w:rsidP="00622591">
      <w:pPr>
        <w:spacing w:after="0" w:line="276" w:lineRule="auto"/>
        <w:jc w:val="both"/>
        <w:rPr>
          <w:rFonts w:ascii="Area" w:hAnsi="Area" w:cs="Times New Roman"/>
          <w:sz w:val="20"/>
          <w:szCs w:val="20"/>
        </w:rPr>
      </w:pPr>
      <w:r w:rsidRPr="00622591">
        <w:rPr>
          <w:rFonts w:ascii="Area" w:hAnsi="Area" w:cs="Times New Roman"/>
          <w:b/>
          <w:bCs/>
          <w:i/>
          <w:iCs/>
          <w:sz w:val="20"/>
          <w:szCs w:val="20"/>
        </w:rPr>
        <w:t xml:space="preserve">3. </w:t>
      </w:r>
      <w:r w:rsidRPr="00622591">
        <w:rPr>
          <w:rFonts w:ascii="Area" w:hAnsi="Area" w:cs="Times New Roman"/>
          <w:sz w:val="20"/>
          <w:szCs w:val="20"/>
        </w:rPr>
        <w:t>N/A</w:t>
      </w:r>
    </w:p>
    <w:p w14:paraId="380AB162" w14:textId="77777777" w:rsidR="00622591" w:rsidRPr="00622591" w:rsidRDefault="00622591" w:rsidP="00622591">
      <w:pPr>
        <w:spacing w:after="0" w:line="276" w:lineRule="auto"/>
        <w:jc w:val="both"/>
        <w:rPr>
          <w:rFonts w:ascii="Area" w:hAnsi="Area" w:cs="Times New Roman"/>
          <w:b/>
          <w:bCs/>
          <w:i/>
          <w:iCs/>
          <w:sz w:val="20"/>
          <w:szCs w:val="20"/>
        </w:rPr>
      </w:pPr>
    </w:p>
    <w:p w14:paraId="5AF28F9A" w14:textId="0AC3F56D" w:rsidR="007B3698" w:rsidRPr="00622591" w:rsidRDefault="004629B7" w:rsidP="00622591">
      <w:pPr>
        <w:spacing w:after="0" w:line="276" w:lineRule="auto"/>
        <w:jc w:val="both"/>
        <w:rPr>
          <w:rFonts w:ascii="Area" w:hAnsi="Area" w:cs="Times New Roman"/>
          <w:b/>
          <w:bCs/>
          <w:i/>
          <w:iCs/>
          <w:sz w:val="20"/>
          <w:szCs w:val="20"/>
        </w:rPr>
      </w:pPr>
      <w:r w:rsidRPr="00622591">
        <w:rPr>
          <w:rFonts w:ascii="Area" w:hAnsi="Area" w:cs="Times New Roman"/>
          <w:b/>
          <w:bCs/>
          <w:i/>
          <w:iCs/>
          <w:sz w:val="20"/>
          <w:szCs w:val="20"/>
        </w:rPr>
        <w:t>“</w:t>
      </w:r>
      <w:r w:rsidR="007B3698" w:rsidRPr="00622591">
        <w:rPr>
          <w:rFonts w:ascii="Area" w:hAnsi="Area" w:cs="Times New Roman"/>
          <w:b/>
          <w:bCs/>
          <w:i/>
          <w:iCs/>
          <w:sz w:val="20"/>
          <w:szCs w:val="20"/>
        </w:rPr>
        <w:t>4. Industrial activity can cause wildland fires. Many types of industrial activities are already subject to various fire prevention rules and regulations. Do you have suggestions about how to improve the approach to preventing and preparing for wildland fires caused by industrial activity?</w:t>
      </w:r>
      <w:r w:rsidRPr="00622591">
        <w:rPr>
          <w:rFonts w:ascii="Area" w:hAnsi="Area" w:cs="Times New Roman"/>
          <w:b/>
          <w:bCs/>
          <w:i/>
          <w:iCs/>
          <w:sz w:val="20"/>
          <w:szCs w:val="20"/>
        </w:rPr>
        <w:t>”</w:t>
      </w:r>
    </w:p>
    <w:p w14:paraId="7F97926F" w14:textId="77777777" w:rsidR="00622591" w:rsidRDefault="00622591" w:rsidP="00622591">
      <w:pPr>
        <w:tabs>
          <w:tab w:val="left" w:pos="1308"/>
        </w:tabs>
        <w:spacing w:after="0" w:line="276" w:lineRule="auto"/>
        <w:jc w:val="both"/>
        <w:rPr>
          <w:rFonts w:ascii="Area" w:hAnsi="Area" w:cs="Times New Roman"/>
          <w:sz w:val="20"/>
          <w:szCs w:val="20"/>
        </w:rPr>
      </w:pPr>
    </w:p>
    <w:p w14:paraId="267BF71D" w14:textId="0D43DD90" w:rsidR="007B3698" w:rsidRPr="00622591" w:rsidRDefault="007B3698" w:rsidP="00622591">
      <w:pPr>
        <w:tabs>
          <w:tab w:val="left" w:pos="1308"/>
        </w:tabs>
        <w:spacing w:after="0" w:line="276" w:lineRule="auto"/>
        <w:jc w:val="both"/>
        <w:rPr>
          <w:rFonts w:ascii="Area" w:hAnsi="Area" w:cs="Times New Roman"/>
          <w:sz w:val="20"/>
          <w:szCs w:val="20"/>
        </w:rPr>
      </w:pPr>
      <w:r w:rsidRPr="00622591">
        <w:rPr>
          <w:rFonts w:ascii="Area" w:hAnsi="Area" w:cs="Times New Roman"/>
          <w:sz w:val="20"/>
          <w:szCs w:val="20"/>
        </w:rPr>
        <w:t xml:space="preserve">In addition to above training </w:t>
      </w:r>
      <w:r w:rsidR="00172690" w:rsidRPr="00622591">
        <w:rPr>
          <w:rFonts w:ascii="Area" w:hAnsi="Area" w:cs="Times New Roman"/>
          <w:sz w:val="20"/>
          <w:szCs w:val="20"/>
        </w:rPr>
        <w:t>needs</w:t>
      </w:r>
      <w:r w:rsidRPr="00622591">
        <w:rPr>
          <w:rFonts w:ascii="Area" w:hAnsi="Area" w:cs="Times New Roman"/>
          <w:sz w:val="20"/>
          <w:szCs w:val="20"/>
        </w:rPr>
        <w:t xml:space="preserve"> for industry, we strongly </w:t>
      </w:r>
      <w:r w:rsidR="00172690" w:rsidRPr="00622591">
        <w:rPr>
          <w:rFonts w:ascii="Area" w:hAnsi="Area" w:cs="Times New Roman"/>
          <w:sz w:val="20"/>
          <w:szCs w:val="20"/>
        </w:rPr>
        <w:t>advocate for</w:t>
      </w:r>
      <w:r w:rsidRPr="00622591">
        <w:rPr>
          <w:rFonts w:ascii="Area" w:hAnsi="Area" w:cs="Times New Roman"/>
          <w:sz w:val="20"/>
          <w:szCs w:val="20"/>
        </w:rPr>
        <w:t xml:space="preserve"> development of a dedicated AFFES inspection unit. Considering the continued evolution of natural resource industry technology/methodology, a modern approach to compliance monitoring and promotion must include an effective inspection program. </w:t>
      </w:r>
    </w:p>
    <w:p w14:paraId="5C7D7712" w14:textId="584D5B06" w:rsidR="00D27001" w:rsidRDefault="00D27001">
      <w:pPr>
        <w:rPr>
          <w:rFonts w:ascii="Area" w:hAnsi="Area" w:cs="Times New Roman"/>
          <w:sz w:val="20"/>
          <w:szCs w:val="20"/>
        </w:rPr>
      </w:pPr>
      <w:r>
        <w:rPr>
          <w:rFonts w:ascii="Area" w:hAnsi="Area" w:cs="Times New Roman"/>
          <w:sz w:val="20"/>
          <w:szCs w:val="20"/>
        </w:rPr>
        <w:br w:type="page"/>
      </w:r>
    </w:p>
    <w:p w14:paraId="2AA9D145" w14:textId="77777777" w:rsidR="00622591" w:rsidRDefault="00622591" w:rsidP="00622591">
      <w:pPr>
        <w:tabs>
          <w:tab w:val="left" w:pos="1308"/>
        </w:tabs>
        <w:spacing w:after="0" w:line="276" w:lineRule="auto"/>
        <w:jc w:val="both"/>
        <w:rPr>
          <w:rFonts w:ascii="Area" w:hAnsi="Area" w:cs="Times New Roman"/>
          <w:sz w:val="20"/>
          <w:szCs w:val="20"/>
        </w:rPr>
      </w:pPr>
    </w:p>
    <w:p w14:paraId="2CFA3185" w14:textId="2F5A4678" w:rsidR="00D27001" w:rsidRPr="00D27001" w:rsidRDefault="00D27001" w:rsidP="00D27001">
      <w:pPr>
        <w:tabs>
          <w:tab w:val="left" w:pos="1308"/>
        </w:tabs>
        <w:spacing w:after="0" w:line="276" w:lineRule="auto"/>
        <w:jc w:val="center"/>
        <w:rPr>
          <w:rFonts w:ascii="Area" w:hAnsi="Area" w:cs="Times New Roman"/>
          <w:b/>
          <w:bCs/>
          <w:sz w:val="16"/>
          <w:szCs w:val="16"/>
        </w:rPr>
      </w:pPr>
      <w:r w:rsidRPr="00D27001">
        <w:rPr>
          <w:rFonts w:ascii="Area" w:hAnsi="Area" w:cs="Times New Roman"/>
          <w:b/>
          <w:bCs/>
          <w:sz w:val="16"/>
          <w:szCs w:val="16"/>
        </w:rPr>
        <w:t>ONTARIO FEDERATION OF ANGLERS AND HUNTERS</w:t>
      </w:r>
    </w:p>
    <w:p w14:paraId="12AF56D7" w14:textId="41237658" w:rsidR="00D27001" w:rsidRDefault="00D27001" w:rsidP="00D27001">
      <w:pPr>
        <w:tabs>
          <w:tab w:val="left" w:pos="1308"/>
        </w:tabs>
        <w:spacing w:after="0" w:line="276" w:lineRule="auto"/>
        <w:jc w:val="center"/>
        <w:rPr>
          <w:rFonts w:ascii="Area" w:hAnsi="Area" w:cs="Times New Roman"/>
          <w:sz w:val="20"/>
          <w:szCs w:val="20"/>
        </w:rPr>
      </w:pPr>
      <w:r>
        <w:rPr>
          <w:rFonts w:ascii="Area" w:hAnsi="Area" w:cs="Times New Roman"/>
          <w:sz w:val="20"/>
          <w:szCs w:val="20"/>
        </w:rPr>
        <w:t>-2-</w:t>
      </w:r>
    </w:p>
    <w:p w14:paraId="68BDD34D" w14:textId="77777777" w:rsidR="00D27001" w:rsidRPr="00D27001" w:rsidRDefault="00D27001" w:rsidP="00622591">
      <w:pPr>
        <w:tabs>
          <w:tab w:val="left" w:pos="1308"/>
        </w:tabs>
        <w:spacing w:after="0" w:line="276" w:lineRule="auto"/>
        <w:jc w:val="both"/>
        <w:rPr>
          <w:rFonts w:ascii="Area" w:hAnsi="Area" w:cs="Times New Roman"/>
          <w:sz w:val="20"/>
          <w:szCs w:val="20"/>
        </w:rPr>
      </w:pPr>
    </w:p>
    <w:p w14:paraId="0BF59765" w14:textId="74D9A435" w:rsidR="004629B7" w:rsidRPr="00D27001" w:rsidRDefault="004629B7" w:rsidP="00622591">
      <w:pPr>
        <w:tabs>
          <w:tab w:val="left" w:pos="1308"/>
        </w:tabs>
        <w:spacing w:after="0" w:line="276" w:lineRule="auto"/>
        <w:jc w:val="both"/>
        <w:rPr>
          <w:rFonts w:ascii="Area" w:hAnsi="Area" w:cs="Times New Roman"/>
          <w:sz w:val="20"/>
          <w:szCs w:val="20"/>
        </w:rPr>
      </w:pPr>
      <w:r w:rsidRPr="00D27001">
        <w:rPr>
          <w:rFonts w:ascii="Area" w:hAnsi="Area" w:cs="Times New Roman"/>
          <w:b/>
          <w:bCs/>
          <w:i/>
          <w:iCs/>
          <w:sz w:val="20"/>
          <w:szCs w:val="20"/>
        </w:rPr>
        <w:t>5.</w:t>
      </w:r>
      <w:r w:rsidRPr="00D27001">
        <w:rPr>
          <w:rFonts w:ascii="Area" w:hAnsi="Area" w:cs="Times New Roman"/>
          <w:sz w:val="20"/>
          <w:szCs w:val="20"/>
        </w:rPr>
        <w:t xml:space="preserve"> N/A</w:t>
      </w:r>
    </w:p>
    <w:p w14:paraId="46682B9A" w14:textId="77777777" w:rsidR="00622591" w:rsidRPr="00D27001" w:rsidRDefault="00622591" w:rsidP="00622591">
      <w:pPr>
        <w:tabs>
          <w:tab w:val="left" w:pos="1308"/>
        </w:tabs>
        <w:spacing w:after="0" w:line="276" w:lineRule="auto"/>
        <w:jc w:val="both"/>
        <w:rPr>
          <w:rFonts w:ascii="Area" w:hAnsi="Area" w:cs="Times New Roman"/>
          <w:b/>
          <w:bCs/>
          <w:i/>
          <w:iCs/>
          <w:sz w:val="20"/>
          <w:szCs w:val="20"/>
        </w:rPr>
      </w:pPr>
    </w:p>
    <w:p w14:paraId="768A0E82" w14:textId="544DC415" w:rsidR="004629B7" w:rsidRPr="00D27001" w:rsidRDefault="004629B7" w:rsidP="00622591">
      <w:pPr>
        <w:tabs>
          <w:tab w:val="left" w:pos="1308"/>
        </w:tabs>
        <w:spacing w:after="0" w:line="276" w:lineRule="auto"/>
        <w:jc w:val="both"/>
        <w:rPr>
          <w:rFonts w:ascii="Area" w:hAnsi="Area" w:cs="Times New Roman"/>
          <w:sz w:val="20"/>
          <w:szCs w:val="20"/>
          <w:lang w:val="pt-BR"/>
        </w:rPr>
      </w:pPr>
      <w:r w:rsidRPr="00D27001">
        <w:rPr>
          <w:rFonts w:ascii="Area" w:hAnsi="Area" w:cs="Times New Roman"/>
          <w:b/>
          <w:bCs/>
          <w:i/>
          <w:iCs/>
          <w:sz w:val="20"/>
          <w:szCs w:val="20"/>
          <w:lang w:val="pt-BR"/>
        </w:rPr>
        <w:t>6.</w:t>
      </w:r>
      <w:r w:rsidRPr="00D27001">
        <w:rPr>
          <w:rFonts w:ascii="Area" w:hAnsi="Area" w:cs="Times New Roman"/>
          <w:sz w:val="20"/>
          <w:szCs w:val="20"/>
          <w:lang w:val="pt-BR"/>
        </w:rPr>
        <w:t xml:space="preserve"> N/A</w:t>
      </w:r>
    </w:p>
    <w:p w14:paraId="4F75CA62" w14:textId="77777777" w:rsidR="004629B7" w:rsidRPr="00D27001" w:rsidRDefault="004629B7" w:rsidP="00622591">
      <w:pPr>
        <w:tabs>
          <w:tab w:val="left" w:pos="1308"/>
        </w:tabs>
        <w:spacing w:after="0" w:line="276" w:lineRule="auto"/>
        <w:jc w:val="both"/>
        <w:rPr>
          <w:rFonts w:ascii="Area" w:hAnsi="Area" w:cs="Times New Roman"/>
          <w:sz w:val="20"/>
          <w:szCs w:val="20"/>
          <w:lang w:val="pt-BR"/>
        </w:rPr>
      </w:pPr>
    </w:p>
    <w:p w14:paraId="66B60406" w14:textId="6F7D3734" w:rsidR="007B3698" w:rsidRPr="00622591" w:rsidRDefault="004629B7" w:rsidP="00622591">
      <w:pPr>
        <w:spacing w:after="0" w:line="276" w:lineRule="auto"/>
        <w:jc w:val="both"/>
        <w:rPr>
          <w:rFonts w:ascii="Area" w:hAnsi="Area" w:cs="Times New Roman"/>
          <w:b/>
          <w:bCs/>
          <w:i/>
          <w:iCs/>
          <w:sz w:val="20"/>
          <w:szCs w:val="20"/>
        </w:rPr>
      </w:pPr>
      <w:r w:rsidRPr="00622591">
        <w:rPr>
          <w:rFonts w:ascii="Area" w:hAnsi="Area" w:cs="Times New Roman"/>
          <w:b/>
          <w:bCs/>
          <w:i/>
          <w:iCs/>
          <w:sz w:val="20"/>
          <w:szCs w:val="20"/>
        </w:rPr>
        <w:t>“</w:t>
      </w:r>
      <w:r w:rsidR="007B3698" w:rsidRPr="00622591">
        <w:rPr>
          <w:rFonts w:ascii="Area" w:hAnsi="Area" w:cs="Times New Roman"/>
          <w:b/>
          <w:bCs/>
          <w:i/>
          <w:iCs/>
          <w:sz w:val="20"/>
          <w:szCs w:val="20"/>
        </w:rPr>
        <w:t>7. What innovative approaches can we explore to collectively fund prevention and mitigation activities?</w:t>
      </w:r>
      <w:r w:rsidRPr="00622591">
        <w:rPr>
          <w:rFonts w:ascii="Area" w:hAnsi="Area" w:cs="Times New Roman"/>
          <w:b/>
          <w:bCs/>
          <w:i/>
          <w:iCs/>
          <w:sz w:val="20"/>
          <w:szCs w:val="20"/>
        </w:rPr>
        <w:t>”</w:t>
      </w:r>
    </w:p>
    <w:p w14:paraId="0F4B1F94" w14:textId="77777777" w:rsidR="00622591" w:rsidRDefault="00622591" w:rsidP="00622591">
      <w:pPr>
        <w:spacing w:after="0" w:line="276" w:lineRule="auto"/>
        <w:jc w:val="both"/>
        <w:rPr>
          <w:rFonts w:ascii="Area" w:hAnsi="Area" w:cs="Times New Roman"/>
          <w:sz w:val="20"/>
          <w:szCs w:val="20"/>
        </w:rPr>
      </w:pPr>
    </w:p>
    <w:p w14:paraId="6FC545A0" w14:textId="255D81D9" w:rsidR="007B3698" w:rsidRPr="00622591" w:rsidRDefault="007B3698" w:rsidP="00622591">
      <w:pPr>
        <w:spacing w:after="0" w:line="276" w:lineRule="auto"/>
        <w:jc w:val="both"/>
        <w:rPr>
          <w:rFonts w:ascii="Area" w:hAnsi="Area" w:cs="Times New Roman"/>
          <w:sz w:val="20"/>
          <w:szCs w:val="20"/>
        </w:rPr>
      </w:pPr>
      <w:r w:rsidRPr="00622591">
        <w:rPr>
          <w:rFonts w:ascii="Area" w:hAnsi="Area" w:cs="Times New Roman"/>
          <w:sz w:val="20"/>
          <w:szCs w:val="20"/>
        </w:rPr>
        <w:t xml:space="preserve">The OFAH </w:t>
      </w:r>
      <w:r w:rsidR="004D1BBC" w:rsidRPr="00622591">
        <w:rPr>
          <w:rFonts w:ascii="Area" w:hAnsi="Area" w:cs="Times New Roman"/>
          <w:sz w:val="20"/>
          <w:szCs w:val="20"/>
        </w:rPr>
        <w:t xml:space="preserve">suggests the MNR </w:t>
      </w:r>
      <w:r w:rsidRPr="00622591">
        <w:rPr>
          <w:rFonts w:ascii="Area" w:hAnsi="Area" w:cs="Times New Roman"/>
          <w:sz w:val="20"/>
          <w:szCs w:val="20"/>
        </w:rPr>
        <w:t>consider</w:t>
      </w:r>
      <w:r w:rsidR="004D1BBC" w:rsidRPr="00622591">
        <w:rPr>
          <w:rFonts w:ascii="Area" w:hAnsi="Area" w:cs="Times New Roman"/>
          <w:sz w:val="20"/>
          <w:szCs w:val="20"/>
        </w:rPr>
        <w:t xml:space="preserve"> an industry</w:t>
      </w:r>
      <w:r w:rsidRPr="00622591">
        <w:rPr>
          <w:rFonts w:ascii="Area" w:hAnsi="Area" w:cs="Times New Roman"/>
          <w:sz w:val="20"/>
          <w:szCs w:val="20"/>
        </w:rPr>
        <w:t xml:space="preserve"> permit</w:t>
      </w:r>
      <w:r w:rsidR="004D1BBC" w:rsidRPr="00622591">
        <w:rPr>
          <w:rFonts w:ascii="Area" w:hAnsi="Area" w:cs="Times New Roman"/>
          <w:sz w:val="20"/>
          <w:szCs w:val="20"/>
        </w:rPr>
        <w:t>ting</w:t>
      </w:r>
      <w:r w:rsidRPr="00622591">
        <w:rPr>
          <w:rFonts w:ascii="Area" w:hAnsi="Area" w:cs="Times New Roman"/>
          <w:sz w:val="20"/>
          <w:szCs w:val="20"/>
        </w:rPr>
        <w:t xml:space="preserve"> process </w:t>
      </w:r>
      <w:r w:rsidR="004D1BBC" w:rsidRPr="00622591">
        <w:rPr>
          <w:rFonts w:ascii="Area" w:hAnsi="Area" w:cs="Times New Roman"/>
          <w:sz w:val="20"/>
          <w:szCs w:val="20"/>
        </w:rPr>
        <w:t>with variable fees</w:t>
      </w:r>
      <w:r w:rsidR="001653A2" w:rsidRPr="00622591">
        <w:rPr>
          <w:rFonts w:ascii="Area" w:hAnsi="Area" w:cs="Times New Roman"/>
          <w:sz w:val="20"/>
          <w:szCs w:val="20"/>
        </w:rPr>
        <w:t xml:space="preserve"> made</w:t>
      </w:r>
      <w:r w:rsidR="004D1BBC" w:rsidRPr="00622591">
        <w:rPr>
          <w:rFonts w:ascii="Area" w:hAnsi="Area" w:cs="Times New Roman"/>
          <w:sz w:val="20"/>
          <w:szCs w:val="20"/>
        </w:rPr>
        <w:t xml:space="preserve"> proportional to </w:t>
      </w:r>
      <w:r w:rsidRPr="00622591">
        <w:rPr>
          <w:rFonts w:ascii="Area" w:hAnsi="Area" w:cs="Times New Roman"/>
          <w:sz w:val="20"/>
          <w:szCs w:val="20"/>
        </w:rPr>
        <w:t xml:space="preserve">risk and consequences of </w:t>
      </w:r>
      <w:r w:rsidR="004D1BBC" w:rsidRPr="00622591">
        <w:rPr>
          <w:rFonts w:ascii="Area" w:hAnsi="Area" w:cs="Times New Roman"/>
          <w:sz w:val="20"/>
          <w:szCs w:val="20"/>
        </w:rPr>
        <w:t>a given</w:t>
      </w:r>
      <w:r w:rsidRPr="00622591">
        <w:rPr>
          <w:rFonts w:ascii="Area" w:hAnsi="Area" w:cs="Times New Roman"/>
          <w:sz w:val="20"/>
          <w:szCs w:val="20"/>
        </w:rPr>
        <w:t xml:space="preserve"> project. </w:t>
      </w:r>
    </w:p>
    <w:p w14:paraId="7E0D0E19" w14:textId="77777777" w:rsidR="007B3698" w:rsidRPr="00622591" w:rsidRDefault="007B3698" w:rsidP="00622591">
      <w:pPr>
        <w:spacing w:after="0" w:line="276" w:lineRule="auto"/>
        <w:jc w:val="both"/>
        <w:rPr>
          <w:rFonts w:ascii="Area" w:hAnsi="Area" w:cs="Times New Roman"/>
          <w:sz w:val="20"/>
          <w:szCs w:val="20"/>
        </w:rPr>
      </w:pPr>
    </w:p>
    <w:p w14:paraId="55E2C267" w14:textId="5D50867D" w:rsidR="007B3698" w:rsidRPr="00622591" w:rsidRDefault="004629B7" w:rsidP="00622591">
      <w:pPr>
        <w:spacing w:after="0" w:line="276" w:lineRule="auto"/>
        <w:jc w:val="both"/>
        <w:rPr>
          <w:rFonts w:ascii="Area" w:hAnsi="Area" w:cs="Times New Roman"/>
          <w:b/>
          <w:i/>
          <w:sz w:val="20"/>
          <w:szCs w:val="20"/>
        </w:rPr>
      </w:pPr>
      <w:r w:rsidRPr="00622591">
        <w:rPr>
          <w:rFonts w:ascii="Area" w:hAnsi="Area" w:cs="Times New Roman"/>
          <w:b/>
          <w:i/>
          <w:sz w:val="20"/>
          <w:szCs w:val="20"/>
        </w:rPr>
        <w:t>“</w:t>
      </w:r>
      <w:r w:rsidR="007B3698" w:rsidRPr="00622591">
        <w:rPr>
          <w:rFonts w:ascii="Area" w:hAnsi="Area" w:cs="Times New Roman"/>
          <w:b/>
          <w:i/>
          <w:sz w:val="20"/>
          <w:szCs w:val="20"/>
        </w:rPr>
        <w:t>8. How should MNR better prepare and respond to wildland fires?</w:t>
      </w:r>
      <w:r w:rsidRPr="00622591">
        <w:rPr>
          <w:rFonts w:ascii="Area" w:hAnsi="Area" w:cs="Times New Roman"/>
          <w:b/>
          <w:i/>
          <w:sz w:val="20"/>
          <w:szCs w:val="20"/>
        </w:rPr>
        <w:t>”</w:t>
      </w:r>
    </w:p>
    <w:p w14:paraId="3B2345EC" w14:textId="77777777" w:rsidR="00622591" w:rsidRDefault="00622591" w:rsidP="00622591">
      <w:pPr>
        <w:spacing w:after="0" w:line="276" w:lineRule="auto"/>
        <w:jc w:val="both"/>
        <w:rPr>
          <w:rFonts w:ascii="Area" w:hAnsi="Area" w:cs="Times New Roman"/>
          <w:sz w:val="20"/>
          <w:szCs w:val="20"/>
        </w:rPr>
      </w:pPr>
    </w:p>
    <w:p w14:paraId="7748C3DA" w14:textId="4440E52A" w:rsidR="007B3698" w:rsidRDefault="007B3698" w:rsidP="00622591">
      <w:pPr>
        <w:spacing w:after="0" w:line="276" w:lineRule="auto"/>
        <w:jc w:val="both"/>
        <w:rPr>
          <w:rFonts w:ascii="Area" w:hAnsi="Area" w:cs="Times New Roman"/>
          <w:sz w:val="20"/>
          <w:szCs w:val="20"/>
        </w:rPr>
      </w:pPr>
      <w:r w:rsidRPr="00622591">
        <w:rPr>
          <w:rFonts w:ascii="Area" w:hAnsi="Area" w:cs="Times New Roman"/>
          <w:sz w:val="20"/>
          <w:szCs w:val="20"/>
        </w:rPr>
        <w:t xml:space="preserve">We strongly encourage the </w:t>
      </w:r>
      <w:r w:rsidR="00622591" w:rsidRPr="00622591">
        <w:rPr>
          <w:rFonts w:ascii="Area" w:hAnsi="Area" w:cs="Times New Roman"/>
          <w:sz w:val="20"/>
          <w:szCs w:val="20"/>
        </w:rPr>
        <w:t>province</w:t>
      </w:r>
      <w:r w:rsidRPr="00622591">
        <w:rPr>
          <w:rFonts w:ascii="Area" w:hAnsi="Area" w:cs="Times New Roman"/>
          <w:sz w:val="20"/>
          <w:szCs w:val="20"/>
        </w:rPr>
        <w:t xml:space="preserve"> to establish a risk-based model of wildland fire management which includes allowances for certain fires to play-out in a controlled manner. An affective and modern strategy should not stop at strengthening our ability to avoid or resist some of the negative social, economic and environmental consequences of wildland fires, but must also harness the positive force of fire. As per </w:t>
      </w:r>
      <w:proofErr w:type="spellStart"/>
      <w:r w:rsidRPr="00622591">
        <w:rPr>
          <w:rFonts w:ascii="Area" w:hAnsi="Area" w:cs="Times New Roman"/>
          <w:sz w:val="20"/>
          <w:szCs w:val="20"/>
        </w:rPr>
        <w:t>Tymstra</w:t>
      </w:r>
      <w:proofErr w:type="spellEnd"/>
      <w:r w:rsidRPr="00622591">
        <w:rPr>
          <w:rFonts w:ascii="Area" w:hAnsi="Area" w:cs="Times New Roman"/>
          <w:sz w:val="20"/>
          <w:szCs w:val="20"/>
        </w:rPr>
        <w:t xml:space="preserve"> et al.’s 2020 paper on wildfire management in Canada, “Strategically allowing more managed wildfire on the landscape using a risk-based approach contributes to disaster risk reduction through negative feedback.”</w:t>
      </w:r>
      <w:r w:rsidR="00622591">
        <w:rPr>
          <w:rFonts w:ascii="Area" w:hAnsi="Area" w:cs="Times New Roman"/>
          <w:sz w:val="20"/>
          <w:szCs w:val="20"/>
        </w:rPr>
        <w:t xml:space="preserve"> </w:t>
      </w:r>
      <w:r w:rsidRPr="00622591">
        <w:rPr>
          <w:rFonts w:ascii="Area" w:hAnsi="Area" w:cs="Times New Roman"/>
          <w:sz w:val="20"/>
          <w:szCs w:val="20"/>
        </w:rPr>
        <w:t>while at the same time ensuring ecological processes that rely on fire are allowed to unfold. Controlled burn</w:t>
      </w:r>
      <w:r w:rsidR="006D4AAD" w:rsidRPr="00622591">
        <w:rPr>
          <w:rFonts w:ascii="Area" w:hAnsi="Area" w:cs="Times New Roman"/>
          <w:sz w:val="20"/>
          <w:szCs w:val="20"/>
        </w:rPr>
        <w:t>ing</w:t>
      </w:r>
      <w:r w:rsidRPr="00622591">
        <w:rPr>
          <w:rFonts w:ascii="Area" w:hAnsi="Area" w:cs="Times New Roman"/>
          <w:sz w:val="20"/>
          <w:szCs w:val="20"/>
        </w:rPr>
        <w:t xml:space="preserve"> cannot fulfill this need alone. As a conservation-based organization, the OFAH</w:t>
      </w:r>
      <w:r w:rsidR="004629B7" w:rsidRPr="00622591">
        <w:rPr>
          <w:rFonts w:ascii="Area" w:hAnsi="Area" w:cs="Times New Roman"/>
          <w:sz w:val="20"/>
          <w:szCs w:val="20"/>
        </w:rPr>
        <w:t xml:space="preserve"> </w:t>
      </w:r>
      <w:r w:rsidRPr="00622591">
        <w:rPr>
          <w:rFonts w:ascii="Area" w:hAnsi="Area" w:cs="Times New Roman"/>
          <w:sz w:val="20"/>
          <w:szCs w:val="20"/>
        </w:rPr>
        <w:t>would like to see more consideration for the critical rol</w:t>
      </w:r>
      <w:r w:rsidR="00622591">
        <w:rPr>
          <w:rFonts w:ascii="Area" w:hAnsi="Area" w:cs="Times New Roman"/>
          <w:sz w:val="20"/>
          <w:szCs w:val="20"/>
        </w:rPr>
        <w:t>e</w:t>
      </w:r>
      <w:r w:rsidRPr="00622591">
        <w:rPr>
          <w:rFonts w:ascii="Area" w:hAnsi="Area" w:cs="Times New Roman"/>
          <w:sz w:val="20"/>
          <w:szCs w:val="20"/>
        </w:rPr>
        <w:t xml:space="preserve"> that wildland fires play in naturally ecology in Ontario’s management strategy, particularly </w:t>
      </w:r>
      <w:r w:rsidR="004629B7" w:rsidRPr="00622591">
        <w:rPr>
          <w:rFonts w:ascii="Area" w:hAnsi="Area" w:cs="Times New Roman"/>
          <w:sz w:val="20"/>
          <w:szCs w:val="20"/>
        </w:rPr>
        <w:t>for</w:t>
      </w:r>
      <w:r w:rsidRPr="00622591">
        <w:rPr>
          <w:rFonts w:ascii="Area" w:hAnsi="Area" w:cs="Times New Roman"/>
          <w:sz w:val="20"/>
          <w:szCs w:val="20"/>
        </w:rPr>
        <w:t xml:space="preserve"> the boreal-shield ecozone. </w:t>
      </w:r>
    </w:p>
    <w:p w14:paraId="6CF7F7A5" w14:textId="77777777" w:rsidR="00D27001" w:rsidRPr="00622591" w:rsidRDefault="00D27001" w:rsidP="00622591">
      <w:pPr>
        <w:spacing w:after="0" w:line="276" w:lineRule="auto"/>
        <w:jc w:val="both"/>
        <w:rPr>
          <w:rFonts w:ascii="Area" w:hAnsi="Area" w:cs="Times New Roman"/>
          <w:sz w:val="20"/>
          <w:szCs w:val="20"/>
        </w:rPr>
      </w:pPr>
    </w:p>
    <w:p w14:paraId="3D8E8B9D" w14:textId="7FE4560B" w:rsidR="007B3698" w:rsidRDefault="007B3698" w:rsidP="00622591">
      <w:pPr>
        <w:spacing w:after="0" w:line="276" w:lineRule="auto"/>
        <w:jc w:val="both"/>
        <w:rPr>
          <w:rFonts w:ascii="Area" w:hAnsi="Area" w:cs="Times New Roman"/>
          <w:sz w:val="20"/>
          <w:szCs w:val="20"/>
        </w:rPr>
      </w:pPr>
      <w:r w:rsidRPr="00622591">
        <w:rPr>
          <w:rFonts w:ascii="Area" w:hAnsi="Area" w:cs="Times New Roman"/>
          <w:sz w:val="20"/>
          <w:szCs w:val="20"/>
        </w:rPr>
        <w:t xml:space="preserve">We also encourage the MNR to establish a staff unit within the Ministry with the primary focus of forest-fire investigation. Relying on fire suppression teams to double as investigators is unlikely to produce an appropriate level of accountability and cost-recovery, </w:t>
      </w:r>
      <w:r w:rsidR="00936D08" w:rsidRPr="00622591">
        <w:rPr>
          <w:rFonts w:ascii="Area" w:hAnsi="Area" w:cs="Times New Roman"/>
          <w:sz w:val="20"/>
          <w:szCs w:val="20"/>
        </w:rPr>
        <w:t>making a</w:t>
      </w:r>
      <w:r w:rsidRPr="00622591">
        <w:rPr>
          <w:rFonts w:ascii="Area" w:hAnsi="Area" w:cs="Times New Roman"/>
          <w:sz w:val="20"/>
          <w:szCs w:val="20"/>
        </w:rPr>
        <w:t xml:space="preserve"> dedicated unit with training on identification, record keeping, and analysis of the fragile evidence of fire</w:t>
      </w:r>
      <w:r w:rsidR="00936D08" w:rsidRPr="00622591">
        <w:rPr>
          <w:rFonts w:ascii="Area" w:hAnsi="Area" w:cs="Times New Roman"/>
          <w:sz w:val="20"/>
          <w:szCs w:val="20"/>
        </w:rPr>
        <w:t xml:space="preserve"> necessary</w:t>
      </w:r>
      <w:r w:rsidRPr="00622591">
        <w:rPr>
          <w:rFonts w:ascii="Area" w:hAnsi="Area" w:cs="Times New Roman"/>
          <w:sz w:val="20"/>
          <w:szCs w:val="20"/>
        </w:rPr>
        <w:t xml:space="preserve">. </w:t>
      </w:r>
    </w:p>
    <w:p w14:paraId="46262F60" w14:textId="77777777" w:rsidR="00D27001" w:rsidRPr="00622591" w:rsidRDefault="00D27001" w:rsidP="00622591">
      <w:pPr>
        <w:spacing w:after="0" w:line="276" w:lineRule="auto"/>
        <w:jc w:val="both"/>
        <w:rPr>
          <w:rFonts w:ascii="Area" w:hAnsi="Area" w:cs="Times New Roman"/>
          <w:sz w:val="20"/>
          <w:szCs w:val="20"/>
        </w:rPr>
      </w:pPr>
    </w:p>
    <w:p w14:paraId="53D7DDB5" w14:textId="148FEBE5" w:rsidR="004629B7" w:rsidRDefault="004629B7" w:rsidP="00622591">
      <w:pPr>
        <w:spacing w:after="0" w:line="276" w:lineRule="auto"/>
        <w:jc w:val="both"/>
        <w:rPr>
          <w:rFonts w:ascii="Area" w:hAnsi="Area" w:cs="Times New Roman"/>
          <w:sz w:val="20"/>
          <w:szCs w:val="20"/>
        </w:rPr>
      </w:pPr>
      <w:r w:rsidRPr="00622591">
        <w:rPr>
          <w:rFonts w:ascii="Area" w:hAnsi="Area" w:cs="Times New Roman"/>
          <w:b/>
          <w:bCs/>
          <w:i/>
          <w:iCs/>
          <w:sz w:val="20"/>
          <w:szCs w:val="20"/>
        </w:rPr>
        <w:t>9.</w:t>
      </w:r>
      <w:r w:rsidRPr="00622591">
        <w:rPr>
          <w:rFonts w:ascii="Area" w:hAnsi="Area" w:cs="Times New Roman"/>
          <w:sz w:val="20"/>
          <w:szCs w:val="20"/>
        </w:rPr>
        <w:t xml:space="preserve"> N/A</w:t>
      </w:r>
    </w:p>
    <w:p w14:paraId="53A5FC88" w14:textId="77777777" w:rsidR="00D27001" w:rsidRPr="00622591" w:rsidRDefault="00D27001" w:rsidP="00622591">
      <w:pPr>
        <w:spacing w:after="0" w:line="276" w:lineRule="auto"/>
        <w:jc w:val="both"/>
        <w:rPr>
          <w:rFonts w:ascii="Area" w:hAnsi="Area" w:cs="Times New Roman"/>
          <w:sz w:val="20"/>
          <w:szCs w:val="20"/>
        </w:rPr>
      </w:pPr>
    </w:p>
    <w:p w14:paraId="2ED03A20" w14:textId="1D2D7210" w:rsidR="004629B7" w:rsidRDefault="004629B7" w:rsidP="00622591">
      <w:pPr>
        <w:spacing w:after="0" w:line="276" w:lineRule="auto"/>
        <w:jc w:val="both"/>
        <w:rPr>
          <w:rFonts w:ascii="Area" w:hAnsi="Area" w:cs="Times New Roman"/>
          <w:sz w:val="20"/>
          <w:szCs w:val="20"/>
        </w:rPr>
      </w:pPr>
      <w:r w:rsidRPr="00622591">
        <w:rPr>
          <w:rFonts w:ascii="Area" w:hAnsi="Area" w:cs="Times New Roman"/>
          <w:b/>
          <w:bCs/>
          <w:i/>
          <w:iCs/>
          <w:sz w:val="20"/>
          <w:szCs w:val="20"/>
        </w:rPr>
        <w:t>10.</w:t>
      </w:r>
      <w:r w:rsidRPr="00622591">
        <w:rPr>
          <w:rFonts w:ascii="Area" w:hAnsi="Area" w:cs="Times New Roman"/>
          <w:sz w:val="20"/>
          <w:szCs w:val="20"/>
        </w:rPr>
        <w:t xml:space="preserve"> N/A</w:t>
      </w:r>
    </w:p>
    <w:p w14:paraId="23D33055" w14:textId="77777777" w:rsidR="00D27001" w:rsidRPr="00622591" w:rsidRDefault="00D27001" w:rsidP="00622591">
      <w:pPr>
        <w:spacing w:after="0" w:line="276" w:lineRule="auto"/>
        <w:jc w:val="both"/>
        <w:rPr>
          <w:rFonts w:ascii="Area" w:hAnsi="Area" w:cs="Times New Roman"/>
          <w:sz w:val="20"/>
          <w:szCs w:val="20"/>
        </w:rPr>
      </w:pPr>
    </w:p>
    <w:p w14:paraId="141ED451" w14:textId="01CF8CAD" w:rsidR="007B3698" w:rsidRPr="00622591" w:rsidRDefault="004629B7" w:rsidP="00622591">
      <w:pPr>
        <w:spacing w:after="0" w:line="276" w:lineRule="auto"/>
        <w:jc w:val="both"/>
        <w:rPr>
          <w:rFonts w:ascii="Area" w:hAnsi="Area" w:cs="Times New Roman"/>
          <w:b/>
          <w:bCs/>
          <w:i/>
          <w:iCs/>
          <w:sz w:val="20"/>
          <w:szCs w:val="20"/>
        </w:rPr>
      </w:pPr>
      <w:r w:rsidRPr="00622591">
        <w:rPr>
          <w:rFonts w:ascii="Area" w:hAnsi="Area" w:cs="Times New Roman"/>
          <w:b/>
          <w:bCs/>
          <w:i/>
          <w:iCs/>
          <w:sz w:val="20"/>
          <w:szCs w:val="20"/>
        </w:rPr>
        <w:t>“</w:t>
      </w:r>
      <w:r w:rsidR="007B3698" w:rsidRPr="00622591">
        <w:rPr>
          <w:rFonts w:ascii="Area" w:hAnsi="Area" w:cs="Times New Roman"/>
          <w:b/>
          <w:bCs/>
          <w:i/>
          <w:iCs/>
          <w:sz w:val="20"/>
          <w:szCs w:val="20"/>
        </w:rPr>
        <w:t>11. Are these proposals the appropriate enforcement and compliance measures to support compliance?</w:t>
      </w:r>
      <w:r w:rsidRPr="00622591">
        <w:rPr>
          <w:rFonts w:ascii="Area" w:hAnsi="Area" w:cs="Times New Roman"/>
          <w:b/>
          <w:bCs/>
          <w:i/>
          <w:iCs/>
          <w:sz w:val="20"/>
          <w:szCs w:val="20"/>
        </w:rPr>
        <w:t>”</w:t>
      </w:r>
    </w:p>
    <w:p w14:paraId="15C9554A" w14:textId="2B737B51" w:rsidR="001F7259" w:rsidRDefault="007B3698" w:rsidP="00622591">
      <w:pPr>
        <w:spacing w:after="0" w:line="276" w:lineRule="auto"/>
        <w:jc w:val="both"/>
        <w:rPr>
          <w:rFonts w:ascii="Area" w:hAnsi="Area" w:cs="Times New Roman"/>
          <w:sz w:val="20"/>
          <w:szCs w:val="20"/>
        </w:rPr>
      </w:pPr>
      <w:r w:rsidRPr="00622591">
        <w:rPr>
          <w:rFonts w:ascii="Area" w:hAnsi="Area" w:cs="Times New Roman"/>
          <w:sz w:val="20"/>
          <w:szCs w:val="20"/>
        </w:rPr>
        <w:t>The FFPA is badly out-of-date in terms of inspection and enforcement authorities; the most modern statute that</w:t>
      </w:r>
      <w:r w:rsidR="005B1B72" w:rsidRPr="00622591">
        <w:rPr>
          <w:rFonts w:ascii="Area" w:hAnsi="Area" w:cs="Times New Roman"/>
          <w:sz w:val="20"/>
          <w:szCs w:val="20"/>
        </w:rPr>
        <w:t xml:space="preserve"> the</w:t>
      </w:r>
      <w:r w:rsidRPr="00622591">
        <w:rPr>
          <w:rFonts w:ascii="Area" w:hAnsi="Area" w:cs="Times New Roman"/>
          <w:sz w:val="20"/>
          <w:szCs w:val="20"/>
        </w:rPr>
        <w:t xml:space="preserve"> MNR has available is currently the Invasive Species Act (ISA). It would be a good strategy to use the ISA as a model to develop a more comprehensive suite of inspection and enforcement tools for the FFPA. </w:t>
      </w:r>
      <w:r w:rsidR="001F7259" w:rsidRPr="00622591">
        <w:rPr>
          <w:rFonts w:ascii="Area" w:hAnsi="Area" w:cs="Times New Roman"/>
          <w:sz w:val="20"/>
          <w:szCs w:val="20"/>
        </w:rPr>
        <w:t>However, one shortfall of the ISA approach to authorities is</w:t>
      </w:r>
      <w:r w:rsidR="00EC1A3F">
        <w:rPr>
          <w:rFonts w:ascii="Area" w:hAnsi="Area" w:cs="Times New Roman"/>
          <w:sz w:val="20"/>
          <w:szCs w:val="20"/>
        </w:rPr>
        <w:t xml:space="preserve"> in its</w:t>
      </w:r>
      <w:r w:rsidR="001F7259" w:rsidRPr="00622591">
        <w:rPr>
          <w:rFonts w:ascii="Area" w:hAnsi="Area" w:cs="Times New Roman"/>
          <w:sz w:val="20"/>
          <w:szCs w:val="20"/>
        </w:rPr>
        <w:t xml:space="preserve"> placing section 16 (surveys) under the heading of inspections. Survey work of this type has context in fire risk mitigation activities but is not related to regulatory inspections</w:t>
      </w:r>
      <w:r w:rsidR="00EC1A3F">
        <w:rPr>
          <w:rFonts w:ascii="Area" w:hAnsi="Area" w:cs="Times New Roman"/>
          <w:sz w:val="20"/>
          <w:szCs w:val="20"/>
        </w:rPr>
        <w:t xml:space="preserve"> and should therefore </w:t>
      </w:r>
      <w:r w:rsidR="001F7259" w:rsidRPr="00622591">
        <w:rPr>
          <w:rFonts w:ascii="Area" w:hAnsi="Area" w:cs="Times New Roman"/>
          <w:sz w:val="20"/>
          <w:szCs w:val="20"/>
        </w:rPr>
        <w:t xml:space="preserve">stand alone in the legislation. </w:t>
      </w:r>
    </w:p>
    <w:p w14:paraId="194F25A9" w14:textId="77777777" w:rsidR="00D27001" w:rsidRPr="00622591" w:rsidRDefault="00D27001" w:rsidP="00622591">
      <w:pPr>
        <w:spacing w:after="0" w:line="276" w:lineRule="auto"/>
        <w:jc w:val="both"/>
        <w:rPr>
          <w:rFonts w:ascii="Area" w:hAnsi="Area" w:cs="Times New Roman"/>
          <w:sz w:val="20"/>
          <w:szCs w:val="20"/>
        </w:rPr>
      </w:pPr>
    </w:p>
    <w:p w14:paraId="7DC3E8C3" w14:textId="2EBFB477" w:rsidR="007B3698" w:rsidRDefault="00D85B89" w:rsidP="00622591">
      <w:pPr>
        <w:spacing w:after="0" w:line="276" w:lineRule="auto"/>
        <w:jc w:val="both"/>
        <w:rPr>
          <w:rFonts w:ascii="Area" w:hAnsi="Area" w:cs="Times New Roman"/>
          <w:sz w:val="20"/>
          <w:szCs w:val="20"/>
        </w:rPr>
      </w:pPr>
      <w:r w:rsidRPr="00622591">
        <w:rPr>
          <w:rFonts w:ascii="Area" w:hAnsi="Area" w:cs="Times New Roman"/>
          <w:sz w:val="20"/>
          <w:szCs w:val="20"/>
        </w:rPr>
        <w:t>In addition to the</w:t>
      </w:r>
      <w:r w:rsidR="00984E7D" w:rsidRPr="00622591">
        <w:rPr>
          <w:rFonts w:ascii="Area" w:hAnsi="Area" w:cs="Times New Roman"/>
          <w:sz w:val="20"/>
          <w:szCs w:val="20"/>
        </w:rPr>
        <w:t xml:space="preserve"> a</w:t>
      </w:r>
      <w:r w:rsidR="00EC1A3F">
        <w:rPr>
          <w:rFonts w:ascii="Area" w:hAnsi="Area" w:cs="Times New Roman"/>
          <w:sz w:val="20"/>
          <w:szCs w:val="20"/>
        </w:rPr>
        <w:t>bove</w:t>
      </w:r>
      <w:r w:rsidR="00984E7D" w:rsidRPr="00622591">
        <w:rPr>
          <w:rFonts w:ascii="Area" w:hAnsi="Area" w:cs="Times New Roman"/>
          <w:sz w:val="20"/>
          <w:szCs w:val="20"/>
        </w:rPr>
        <w:t xml:space="preserve"> recommendations, we </w:t>
      </w:r>
      <w:r w:rsidR="003A6DC8">
        <w:rPr>
          <w:rFonts w:ascii="Area" w:hAnsi="Area" w:cs="Times New Roman"/>
          <w:sz w:val="20"/>
          <w:szCs w:val="20"/>
        </w:rPr>
        <w:t xml:space="preserve">encourage </w:t>
      </w:r>
      <w:r w:rsidR="00984E7D" w:rsidRPr="00622591">
        <w:rPr>
          <w:rFonts w:ascii="Area" w:hAnsi="Area" w:cs="Times New Roman"/>
          <w:sz w:val="20"/>
          <w:szCs w:val="20"/>
        </w:rPr>
        <w:t>the</w:t>
      </w:r>
      <w:r w:rsidR="007B3698" w:rsidRPr="00622591">
        <w:rPr>
          <w:rFonts w:ascii="Area" w:hAnsi="Area" w:cs="Times New Roman"/>
          <w:sz w:val="20"/>
          <w:szCs w:val="20"/>
        </w:rPr>
        <w:t xml:space="preserve"> </w:t>
      </w:r>
      <w:r w:rsidR="00E2434E" w:rsidRPr="00622591">
        <w:rPr>
          <w:rFonts w:ascii="Area" w:hAnsi="Area" w:cs="Times New Roman"/>
          <w:sz w:val="20"/>
          <w:szCs w:val="20"/>
        </w:rPr>
        <w:t>Ministry</w:t>
      </w:r>
      <w:r w:rsidR="003A6DC8">
        <w:rPr>
          <w:rFonts w:ascii="Area" w:hAnsi="Area" w:cs="Times New Roman"/>
          <w:sz w:val="20"/>
          <w:szCs w:val="20"/>
        </w:rPr>
        <w:t xml:space="preserve"> to</w:t>
      </w:r>
      <w:r w:rsidR="00E2434E" w:rsidRPr="00622591">
        <w:rPr>
          <w:rFonts w:ascii="Area" w:hAnsi="Area" w:cs="Times New Roman"/>
          <w:sz w:val="20"/>
          <w:szCs w:val="20"/>
        </w:rPr>
        <w:t xml:space="preserve"> </w:t>
      </w:r>
      <w:r w:rsidR="0021226E" w:rsidRPr="00622591">
        <w:rPr>
          <w:rFonts w:ascii="Area" w:hAnsi="Area" w:cs="Times New Roman"/>
          <w:sz w:val="20"/>
          <w:szCs w:val="20"/>
        </w:rPr>
        <w:t xml:space="preserve">consider how they might grant authority </w:t>
      </w:r>
      <w:r w:rsidR="003A1763">
        <w:rPr>
          <w:rFonts w:ascii="Area" w:hAnsi="Area" w:cs="Times New Roman"/>
          <w:sz w:val="20"/>
          <w:szCs w:val="20"/>
        </w:rPr>
        <w:t xml:space="preserve">for the </w:t>
      </w:r>
      <w:r w:rsidR="007B3698" w:rsidRPr="00622591">
        <w:rPr>
          <w:rFonts w:ascii="Area" w:hAnsi="Area" w:cs="Times New Roman"/>
          <w:sz w:val="20"/>
          <w:szCs w:val="20"/>
        </w:rPr>
        <w:t>cross</w:t>
      </w:r>
      <w:r w:rsidR="003A1763">
        <w:rPr>
          <w:rFonts w:ascii="Area" w:hAnsi="Area" w:cs="Times New Roman"/>
          <w:sz w:val="20"/>
          <w:szCs w:val="20"/>
        </w:rPr>
        <w:t>ing of</w:t>
      </w:r>
      <w:r w:rsidR="007B3698" w:rsidRPr="00622591">
        <w:rPr>
          <w:rFonts w:ascii="Area" w:hAnsi="Area" w:cs="Times New Roman"/>
          <w:sz w:val="20"/>
          <w:szCs w:val="20"/>
        </w:rPr>
        <w:t xml:space="preserve"> private lands to carry out FFPA duties and actions on adjacent properties. </w:t>
      </w:r>
    </w:p>
    <w:p w14:paraId="04B67EEE" w14:textId="087FDDEC" w:rsidR="00D27001" w:rsidRDefault="00D27001">
      <w:pPr>
        <w:rPr>
          <w:rFonts w:ascii="Area" w:hAnsi="Area" w:cs="Times New Roman"/>
          <w:sz w:val="20"/>
          <w:szCs w:val="20"/>
        </w:rPr>
      </w:pPr>
      <w:r>
        <w:rPr>
          <w:rFonts w:ascii="Area" w:hAnsi="Area" w:cs="Times New Roman"/>
          <w:sz w:val="20"/>
          <w:szCs w:val="20"/>
        </w:rPr>
        <w:br w:type="page"/>
      </w:r>
    </w:p>
    <w:p w14:paraId="2C7152F2" w14:textId="77777777" w:rsidR="00D27001" w:rsidRDefault="00D27001" w:rsidP="00622591">
      <w:pPr>
        <w:spacing w:after="0" w:line="276" w:lineRule="auto"/>
        <w:jc w:val="both"/>
        <w:rPr>
          <w:rFonts w:ascii="Area" w:hAnsi="Area" w:cs="Times New Roman"/>
          <w:sz w:val="20"/>
          <w:szCs w:val="20"/>
        </w:rPr>
      </w:pPr>
    </w:p>
    <w:p w14:paraId="7E0A1FE0" w14:textId="03CE380D" w:rsidR="00D27001" w:rsidRPr="00D27001" w:rsidRDefault="00D27001" w:rsidP="00D27001">
      <w:pPr>
        <w:spacing w:after="0" w:line="276" w:lineRule="auto"/>
        <w:jc w:val="center"/>
        <w:rPr>
          <w:rFonts w:ascii="Area" w:hAnsi="Area" w:cs="Times New Roman"/>
          <w:b/>
          <w:bCs/>
          <w:sz w:val="16"/>
          <w:szCs w:val="16"/>
        </w:rPr>
      </w:pPr>
      <w:r w:rsidRPr="00D27001">
        <w:rPr>
          <w:rFonts w:ascii="Area" w:hAnsi="Area" w:cs="Times New Roman"/>
          <w:b/>
          <w:bCs/>
          <w:sz w:val="16"/>
          <w:szCs w:val="16"/>
        </w:rPr>
        <w:t>ONTARIO FEDERATION OF ANGLERS AND HUNTERS</w:t>
      </w:r>
    </w:p>
    <w:p w14:paraId="208359BF" w14:textId="4724285B" w:rsidR="00D27001" w:rsidRDefault="00D27001" w:rsidP="00D27001">
      <w:pPr>
        <w:spacing w:after="0" w:line="276" w:lineRule="auto"/>
        <w:jc w:val="center"/>
        <w:rPr>
          <w:rFonts w:ascii="Area" w:hAnsi="Area" w:cs="Times New Roman"/>
          <w:sz w:val="20"/>
          <w:szCs w:val="20"/>
        </w:rPr>
      </w:pPr>
      <w:r>
        <w:rPr>
          <w:rFonts w:ascii="Area" w:hAnsi="Area" w:cs="Times New Roman"/>
          <w:sz w:val="20"/>
          <w:szCs w:val="20"/>
        </w:rPr>
        <w:t>-3-</w:t>
      </w:r>
    </w:p>
    <w:p w14:paraId="49025758" w14:textId="77777777" w:rsidR="00D27001" w:rsidRPr="00622591" w:rsidRDefault="00D27001" w:rsidP="00622591">
      <w:pPr>
        <w:spacing w:after="0" w:line="276" w:lineRule="auto"/>
        <w:jc w:val="both"/>
        <w:rPr>
          <w:rFonts w:ascii="Area" w:hAnsi="Area" w:cs="Times New Roman"/>
          <w:sz w:val="20"/>
          <w:szCs w:val="20"/>
        </w:rPr>
      </w:pPr>
    </w:p>
    <w:p w14:paraId="33737D18" w14:textId="7694EFB2" w:rsidR="007B3698" w:rsidRPr="00622591" w:rsidRDefault="004629B7" w:rsidP="00622591">
      <w:pPr>
        <w:spacing w:after="0" w:line="276" w:lineRule="auto"/>
        <w:jc w:val="both"/>
        <w:rPr>
          <w:rFonts w:ascii="Area" w:hAnsi="Area" w:cs="Times New Roman"/>
          <w:b/>
          <w:bCs/>
          <w:i/>
          <w:iCs/>
          <w:sz w:val="20"/>
          <w:szCs w:val="20"/>
        </w:rPr>
      </w:pPr>
      <w:r w:rsidRPr="00622591">
        <w:rPr>
          <w:rFonts w:ascii="Area" w:hAnsi="Area" w:cs="Times New Roman"/>
          <w:b/>
          <w:bCs/>
          <w:i/>
          <w:iCs/>
          <w:sz w:val="20"/>
          <w:szCs w:val="20"/>
        </w:rPr>
        <w:t>“</w:t>
      </w:r>
      <w:r w:rsidR="007B3698" w:rsidRPr="00622591">
        <w:rPr>
          <w:rFonts w:ascii="Area" w:hAnsi="Area" w:cs="Times New Roman"/>
          <w:b/>
          <w:bCs/>
          <w:i/>
          <w:iCs/>
          <w:sz w:val="20"/>
          <w:szCs w:val="20"/>
        </w:rPr>
        <w:t>12. What additional measures or authorities should be considered to effectively encourage compliance with the Act or the regulations?</w:t>
      </w:r>
      <w:r w:rsidRPr="00622591">
        <w:rPr>
          <w:rFonts w:ascii="Area" w:hAnsi="Area" w:cs="Times New Roman"/>
          <w:b/>
          <w:bCs/>
          <w:i/>
          <w:iCs/>
          <w:sz w:val="20"/>
          <w:szCs w:val="20"/>
        </w:rPr>
        <w:t>”</w:t>
      </w:r>
    </w:p>
    <w:p w14:paraId="19E53F9A" w14:textId="77777777" w:rsidR="00D27001" w:rsidRDefault="00D27001" w:rsidP="00622591">
      <w:pPr>
        <w:spacing w:after="0" w:line="276" w:lineRule="auto"/>
        <w:jc w:val="both"/>
        <w:rPr>
          <w:rFonts w:ascii="Area" w:hAnsi="Area" w:cs="Times New Roman"/>
          <w:sz w:val="20"/>
          <w:szCs w:val="20"/>
        </w:rPr>
      </w:pPr>
    </w:p>
    <w:p w14:paraId="7092CF7E" w14:textId="68302416" w:rsidR="007B3698" w:rsidRDefault="007B3698" w:rsidP="00622591">
      <w:pPr>
        <w:spacing w:after="0" w:line="276" w:lineRule="auto"/>
        <w:jc w:val="both"/>
        <w:rPr>
          <w:rFonts w:ascii="Area" w:hAnsi="Area" w:cs="Times New Roman"/>
          <w:sz w:val="20"/>
          <w:szCs w:val="20"/>
        </w:rPr>
      </w:pPr>
      <w:r w:rsidRPr="00622591">
        <w:rPr>
          <w:rFonts w:ascii="Area" w:hAnsi="Area" w:cs="Times New Roman"/>
          <w:sz w:val="20"/>
          <w:szCs w:val="20"/>
        </w:rPr>
        <w:t xml:space="preserve">A modern fire management regime must contain a variety of compliance actions equal to the variability in risk. </w:t>
      </w:r>
      <w:r w:rsidR="004629B7" w:rsidRPr="00622591">
        <w:rPr>
          <w:rFonts w:ascii="Area" w:hAnsi="Area" w:cs="Times New Roman"/>
          <w:sz w:val="20"/>
          <w:szCs w:val="20"/>
        </w:rPr>
        <w:t>A</w:t>
      </w:r>
      <w:r w:rsidRPr="00622591">
        <w:rPr>
          <w:rFonts w:ascii="Area" w:hAnsi="Area" w:cs="Times New Roman"/>
          <w:sz w:val="20"/>
          <w:szCs w:val="20"/>
        </w:rPr>
        <w:t>s previously stated, the AFFES is lacking industry training requirements, improved self-monitoring, and regulatory inspections</w:t>
      </w:r>
      <w:r w:rsidR="004629B7" w:rsidRPr="00622591">
        <w:rPr>
          <w:rFonts w:ascii="Area" w:hAnsi="Area" w:cs="Times New Roman"/>
          <w:sz w:val="20"/>
          <w:szCs w:val="20"/>
        </w:rPr>
        <w:t>, and these should be prioritized</w:t>
      </w:r>
      <w:r w:rsidRPr="00622591">
        <w:rPr>
          <w:rFonts w:ascii="Area" w:hAnsi="Area" w:cs="Times New Roman"/>
          <w:sz w:val="20"/>
          <w:szCs w:val="20"/>
        </w:rPr>
        <w:t xml:space="preserve">.   </w:t>
      </w:r>
    </w:p>
    <w:p w14:paraId="609A0FB1" w14:textId="77777777" w:rsidR="00D27001" w:rsidRPr="00622591" w:rsidRDefault="00D27001" w:rsidP="00622591">
      <w:pPr>
        <w:spacing w:after="0" w:line="276" w:lineRule="auto"/>
        <w:jc w:val="both"/>
        <w:rPr>
          <w:rFonts w:ascii="Area" w:hAnsi="Area" w:cs="Times New Roman"/>
          <w:sz w:val="20"/>
          <w:szCs w:val="20"/>
        </w:rPr>
      </w:pPr>
    </w:p>
    <w:p w14:paraId="4B2F0371" w14:textId="60A74726" w:rsidR="007B3698" w:rsidRPr="00622591" w:rsidRDefault="004629B7" w:rsidP="00622591">
      <w:pPr>
        <w:spacing w:after="0" w:line="276" w:lineRule="auto"/>
        <w:jc w:val="both"/>
        <w:rPr>
          <w:rFonts w:ascii="Area" w:hAnsi="Area" w:cs="Times New Roman"/>
          <w:b/>
          <w:bCs/>
          <w:i/>
          <w:iCs/>
          <w:sz w:val="20"/>
          <w:szCs w:val="20"/>
        </w:rPr>
      </w:pPr>
      <w:r w:rsidRPr="00622591">
        <w:rPr>
          <w:rFonts w:ascii="Area" w:hAnsi="Area" w:cs="Times New Roman"/>
          <w:b/>
          <w:bCs/>
          <w:i/>
          <w:iCs/>
          <w:sz w:val="20"/>
          <w:szCs w:val="20"/>
        </w:rPr>
        <w:t>“</w:t>
      </w:r>
      <w:r w:rsidR="007B3698" w:rsidRPr="00622591">
        <w:rPr>
          <w:rFonts w:ascii="Area" w:hAnsi="Area" w:cs="Times New Roman"/>
          <w:b/>
          <w:bCs/>
          <w:i/>
          <w:iCs/>
          <w:sz w:val="20"/>
          <w:szCs w:val="20"/>
        </w:rPr>
        <w:t>13. What further consequences should be contemplated for individuals, organizations and companies that fail to comply with the Act or the regulations?</w:t>
      </w:r>
      <w:r w:rsidRPr="00622591">
        <w:rPr>
          <w:rFonts w:ascii="Area" w:hAnsi="Area" w:cs="Times New Roman"/>
          <w:b/>
          <w:bCs/>
          <w:i/>
          <w:iCs/>
          <w:sz w:val="20"/>
          <w:szCs w:val="20"/>
        </w:rPr>
        <w:t>”</w:t>
      </w:r>
    </w:p>
    <w:p w14:paraId="1A3E0002" w14:textId="77777777" w:rsidR="00D27001" w:rsidRDefault="00D27001" w:rsidP="00622591">
      <w:pPr>
        <w:spacing w:after="0" w:line="276" w:lineRule="auto"/>
        <w:jc w:val="both"/>
        <w:rPr>
          <w:rFonts w:ascii="Area" w:hAnsi="Area" w:cs="Times New Roman"/>
          <w:sz w:val="20"/>
          <w:szCs w:val="20"/>
        </w:rPr>
      </w:pPr>
    </w:p>
    <w:p w14:paraId="03CEB1A4" w14:textId="1158E460" w:rsidR="1B51E790" w:rsidRPr="00622591" w:rsidRDefault="1B51E790" w:rsidP="00622591">
      <w:pPr>
        <w:spacing w:after="0" w:line="276" w:lineRule="auto"/>
        <w:jc w:val="both"/>
        <w:rPr>
          <w:rFonts w:ascii="Area" w:hAnsi="Area" w:cs="Times New Roman"/>
          <w:sz w:val="20"/>
          <w:szCs w:val="20"/>
        </w:rPr>
      </w:pPr>
      <w:r w:rsidRPr="00622591">
        <w:rPr>
          <w:rFonts w:ascii="Area" w:hAnsi="Area" w:cs="Times New Roman"/>
          <w:sz w:val="20"/>
          <w:szCs w:val="20"/>
        </w:rPr>
        <w:t xml:space="preserve">We recognize that AMPs are a potentially helpful tool in the toolbox of compliance </w:t>
      </w:r>
      <w:r w:rsidR="007F1275" w:rsidRPr="00622591">
        <w:rPr>
          <w:rFonts w:ascii="Area" w:hAnsi="Area" w:cs="Times New Roman"/>
          <w:sz w:val="20"/>
          <w:szCs w:val="20"/>
        </w:rPr>
        <w:t>incentivization</w:t>
      </w:r>
      <w:r w:rsidR="210D23D3" w:rsidRPr="00622591">
        <w:rPr>
          <w:rFonts w:ascii="Area" w:hAnsi="Area" w:cs="Times New Roman"/>
          <w:sz w:val="20"/>
          <w:szCs w:val="20"/>
        </w:rPr>
        <w:t xml:space="preserve"> and enforcement</w:t>
      </w:r>
      <w:r w:rsidRPr="00622591">
        <w:rPr>
          <w:rFonts w:ascii="Area" w:hAnsi="Area" w:cs="Times New Roman"/>
          <w:sz w:val="20"/>
          <w:szCs w:val="20"/>
        </w:rPr>
        <w:t xml:space="preserve">. However, we have several concerns </w:t>
      </w:r>
      <w:r w:rsidR="71C9F10E" w:rsidRPr="00622591">
        <w:rPr>
          <w:rFonts w:ascii="Area" w:hAnsi="Area" w:cs="Times New Roman"/>
          <w:sz w:val="20"/>
          <w:szCs w:val="20"/>
        </w:rPr>
        <w:t>a</w:t>
      </w:r>
      <w:r w:rsidR="3A498C0D" w:rsidRPr="00622591">
        <w:rPr>
          <w:rFonts w:ascii="Area" w:hAnsi="Area" w:cs="Times New Roman"/>
          <w:sz w:val="20"/>
          <w:szCs w:val="20"/>
        </w:rPr>
        <w:t>b</w:t>
      </w:r>
      <w:r w:rsidR="71C9F10E" w:rsidRPr="00622591">
        <w:rPr>
          <w:rFonts w:ascii="Area" w:hAnsi="Area" w:cs="Times New Roman"/>
          <w:sz w:val="20"/>
          <w:szCs w:val="20"/>
        </w:rPr>
        <w:t>out</w:t>
      </w:r>
      <w:r w:rsidRPr="00622591">
        <w:rPr>
          <w:rFonts w:ascii="Area" w:hAnsi="Area" w:cs="Times New Roman"/>
          <w:sz w:val="20"/>
          <w:szCs w:val="20"/>
        </w:rPr>
        <w:t xml:space="preserve"> their use in th</w:t>
      </w:r>
      <w:r w:rsidR="73A13E66" w:rsidRPr="00622591">
        <w:rPr>
          <w:rFonts w:ascii="Area" w:hAnsi="Area" w:cs="Times New Roman"/>
          <w:sz w:val="20"/>
          <w:szCs w:val="20"/>
        </w:rPr>
        <w:t>e case of the FFPA:</w:t>
      </w:r>
    </w:p>
    <w:p w14:paraId="016B7F18" w14:textId="2BACB8EC" w:rsidR="007B3698" w:rsidRPr="00622591" w:rsidRDefault="7A16A6C2" w:rsidP="00622591">
      <w:pPr>
        <w:pStyle w:val="ListParagraph"/>
        <w:numPr>
          <w:ilvl w:val="0"/>
          <w:numId w:val="1"/>
        </w:numPr>
        <w:spacing w:after="0" w:line="276" w:lineRule="auto"/>
        <w:jc w:val="both"/>
        <w:rPr>
          <w:rFonts w:ascii="Area" w:hAnsi="Area" w:cs="Times New Roman"/>
          <w:sz w:val="20"/>
          <w:szCs w:val="20"/>
        </w:rPr>
      </w:pPr>
      <w:r w:rsidRPr="00622591">
        <w:rPr>
          <w:rFonts w:ascii="Area" w:hAnsi="Area" w:cs="Times New Roman"/>
          <w:sz w:val="20"/>
          <w:szCs w:val="20"/>
        </w:rPr>
        <w:t>AMPs may</w:t>
      </w:r>
      <w:r w:rsidR="27F329D8" w:rsidRPr="00622591">
        <w:rPr>
          <w:rFonts w:ascii="Area" w:hAnsi="Area" w:cs="Times New Roman"/>
          <w:sz w:val="20"/>
          <w:szCs w:val="20"/>
        </w:rPr>
        <w:t xml:space="preserve"> confuse the </w:t>
      </w:r>
      <w:r w:rsidR="007B3698" w:rsidRPr="00622591">
        <w:rPr>
          <w:rFonts w:ascii="Area" w:hAnsi="Area" w:cs="Times New Roman"/>
          <w:sz w:val="20"/>
          <w:szCs w:val="20"/>
        </w:rPr>
        <w:t>public</w:t>
      </w:r>
      <w:r w:rsidR="4EE4CA06" w:rsidRPr="00622591">
        <w:rPr>
          <w:rFonts w:ascii="Area" w:hAnsi="Area" w:cs="Times New Roman"/>
          <w:sz w:val="20"/>
          <w:szCs w:val="20"/>
        </w:rPr>
        <w:t>, due to</w:t>
      </w:r>
      <w:r w:rsidR="4D2961CD" w:rsidRPr="00622591">
        <w:rPr>
          <w:rFonts w:ascii="Area" w:hAnsi="Area" w:cs="Times New Roman"/>
          <w:sz w:val="20"/>
          <w:szCs w:val="20"/>
        </w:rPr>
        <w:t xml:space="preserve"> the degree to which they vary from t</w:t>
      </w:r>
      <w:r w:rsidR="007B3698" w:rsidRPr="00622591">
        <w:rPr>
          <w:rFonts w:ascii="Area" w:hAnsi="Area" w:cs="Times New Roman"/>
          <w:sz w:val="20"/>
          <w:szCs w:val="20"/>
        </w:rPr>
        <w:t>he penal system of ticketing</w:t>
      </w:r>
      <w:r w:rsidR="00D714BF" w:rsidRPr="00622591">
        <w:rPr>
          <w:rFonts w:ascii="Area" w:hAnsi="Area" w:cs="Times New Roman"/>
          <w:sz w:val="20"/>
          <w:szCs w:val="20"/>
        </w:rPr>
        <w:t>/c</w:t>
      </w:r>
      <w:r w:rsidR="007B3698" w:rsidRPr="00622591">
        <w:rPr>
          <w:rFonts w:ascii="Area" w:hAnsi="Area" w:cs="Times New Roman"/>
          <w:sz w:val="20"/>
          <w:szCs w:val="20"/>
        </w:rPr>
        <w:t>ourt attendance</w:t>
      </w:r>
      <w:r w:rsidR="51D32084" w:rsidRPr="00622591">
        <w:rPr>
          <w:rFonts w:ascii="Area" w:hAnsi="Area" w:cs="Times New Roman"/>
          <w:sz w:val="20"/>
          <w:szCs w:val="20"/>
        </w:rPr>
        <w:t>.</w:t>
      </w:r>
    </w:p>
    <w:p w14:paraId="5165C8F9" w14:textId="2FC99352" w:rsidR="007B3698" w:rsidRPr="00622591" w:rsidRDefault="6F44B55B" w:rsidP="00622591">
      <w:pPr>
        <w:pStyle w:val="ListParagraph"/>
        <w:numPr>
          <w:ilvl w:val="0"/>
          <w:numId w:val="1"/>
        </w:numPr>
        <w:spacing w:after="0" w:line="276" w:lineRule="auto"/>
        <w:jc w:val="both"/>
        <w:rPr>
          <w:rFonts w:ascii="Area" w:hAnsi="Area" w:cs="Times New Roman"/>
          <w:sz w:val="20"/>
          <w:szCs w:val="20"/>
        </w:rPr>
      </w:pPr>
      <w:r w:rsidRPr="00622591">
        <w:rPr>
          <w:rFonts w:ascii="Area" w:hAnsi="Area" w:cs="Times New Roman"/>
          <w:sz w:val="20"/>
          <w:szCs w:val="20"/>
        </w:rPr>
        <w:t>In the past</w:t>
      </w:r>
      <w:r w:rsidR="00D714BF" w:rsidRPr="00622591">
        <w:rPr>
          <w:rFonts w:ascii="Area" w:hAnsi="Area" w:cs="Times New Roman"/>
          <w:sz w:val="20"/>
          <w:szCs w:val="20"/>
        </w:rPr>
        <w:t>,</w:t>
      </w:r>
      <w:r w:rsidRPr="00622591">
        <w:rPr>
          <w:rFonts w:ascii="Area" w:hAnsi="Area" w:cs="Times New Roman"/>
          <w:sz w:val="20"/>
          <w:szCs w:val="20"/>
        </w:rPr>
        <w:t xml:space="preserve"> AMPs have not c</w:t>
      </w:r>
      <w:r w:rsidR="504AA7DD" w:rsidRPr="00622591">
        <w:rPr>
          <w:rFonts w:ascii="Area" w:hAnsi="Area" w:cs="Times New Roman"/>
          <w:sz w:val="20"/>
          <w:szCs w:val="20"/>
        </w:rPr>
        <w:t>onsider</w:t>
      </w:r>
      <w:r w:rsidR="28B5F7F7" w:rsidRPr="00622591">
        <w:rPr>
          <w:rFonts w:ascii="Area" w:hAnsi="Area" w:cs="Times New Roman"/>
          <w:sz w:val="20"/>
          <w:szCs w:val="20"/>
        </w:rPr>
        <w:t>ed</w:t>
      </w:r>
      <w:r w:rsidR="504AA7DD" w:rsidRPr="00622591">
        <w:rPr>
          <w:rFonts w:ascii="Area" w:hAnsi="Area" w:cs="Times New Roman"/>
          <w:sz w:val="20"/>
          <w:szCs w:val="20"/>
        </w:rPr>
        <w:t xml:space="preserve"> t</w:t>
      </w:r>
      <w:r w:rsidR="007B3698" w:rsidRPr="00622591">
        <w:rPr>
          <w:rFonts w:ascii="Area" w:hAnsi="Area" w:cs="Times New Roman"/>
          <w:sz w:val="20"/>
          <w:szCs w:val="20"/>
        </w:rPr>
        <w:t>he application of due diligence</w:t>
      </w:r>
      <w:r w:rsidR="00D714BF" w:rsidRPr="00622591">
        <w:rPr>
          <w:rFonts w:ascii="Area" w:hAnsi="Area" w:cs="Times New Roman"/>
          <w:sz w:val="20"/>
          <w:szCs w:val="20"/>
        </w:rPr>
        <w:t xml:space="preserve"> (i.e. EVAMPA)</w:t>
      </w:r>
      <w:r w:rsidR="4272F066" w:rsidRPr="00622591">
        <w:rPr>
          <w:rFonts w:ascii="Area" w:hAnsi="Area" w:cs="Times New Roman"/>
          <w:sz w:val="20"/>
          <w:szCs w:val="20"/>
        </w:rPr>
        <w:t>. We feel this is an important consideration within the regulatory process.</w:t>
      </w:r>
    </w:p>
    <w:p w14:paraId="1F4C1EBA" w14:textId="7070C0E5" w:rsidR="007B3698" w:rsidRPr="00622591" w:rsidRDefault="700D22A7" w:rsidP="00622591">
      <w:pPr>
        <w:pStyle w:val="ListParagraph"/>
        <w:numPr>
          <w:ilvl w:val="0"/>
          <w:numId w:val="1"/>
        </w:numPr>
        <w:spacing w:after="0" w:line="276" w:lineRule="auto"/>
        <w:jc w:val="both"/>
        <w:rPr>
          <w:rFonts w:ascii="Area" w:hAnsi="Area" w:cs="Times New Roman"/>
          <w:sz w:val="20"/>
          <w:szCs w:val="20"/>
        </w:rPr>
      </w:pPr>
      <w:r w:rsidRPr="00622591">
        <w:rPr>
          <w:rFonts w:ascii="Area" w:hAnsi="Area" w:cs="Times New Roman"/>
          <w:sz w:val="20"/>
          <w:szCs w:val="20"/>
        </w:rPr>
        <w:t>AMPs r</w:t>
      </w:r>
      <w:r w:rsidR="007B3698" w:rsidRPr="00622591">
        <w:rPr>
          <w:rFonts w:ascii="Area" w:hAnsi="Area" w:cs="Times New Roman"/>
          <w:sz w:val="20"/>
          <w:szCs w:val="20"/>
        </w:rPr>
        <w:t>equire the creation of a new bureaucracy to administer and oversee the program (including appeal tribunals). This would include a separate team of people responsible for issuing the processes and collecting fine moneys – this should not be yet another expectation of Enforcement Branch staff.</w:t>
      </w:r>
    </w:p>
    <w:p w14:paraId="0FBE07AD" w14:textId="6A72A825" w:rsidR="007B3698" w:rsidRPr="00622591" w:rsidRDefault="007B3698" w:rsidP="00622591">
      <w:pPr>
        <w:pStyle w:val="ListParagraph"/>
        <w:numPr>
          <w:ilvl w:val="0"/>
          <w:numId w:val="1"/>
        </w:numPr>
        <w:spacing w:after="0" w:line="276" w:lineRule="auto"/>
        <w:jc w:val="both"/>
        <w:rPr>
          <w:rFonts w:ascii="Area" w:hAnsi="Area" w:cs="Times New Roman"/>
          <w:sz w:val="20"/>
          <w:szCs w:val="20"/>
        </w:rPr>
      </w:pPr>
      <w:r w:rsidRPr="00622591">
        <w:rPr>
          <w:rFonts w:ascii="Area" w:hAnsi="Area" w:cs="Times New Roman"/>
          <w:sz w:val="20"/>
          <w:szCs w:val="20"/>
        </w:rPr>
        <w:t>AM</w:t>
      </w:r>
      <w:r w:rsidR="003A6DC8">
        <w:rPr>
          <w:rFonts w:ascii="Area" w:hAnsi="Area" w:cs="Times New Roman"/>
          <w:sz w:val="20"/>
          <w:szCs w:val="20"/>
        </w:rPr>
        <w:t>P</w:t>
      </w:r>
      <w:r w:rsidRPr="00622591">
        <w:rPr>
          <w:rFonts w:ascii="Area" w:hAnsi="Area" w:cs="Times New Roman"/>
          <w:sz w:val="20"/>
          <w:szCs w:val="20"/>
        </w:rPr>
        <w:t>s</w:t>
      </w:r>
      <w:r w:rsidR="6BD5411C" w:rsidRPr="00622591">
        <w:rPr>
          <w:rFonts w:ascii="Area" w:hAnsi="Area" w:cs="Times New Roman"/>
          <w:sz w:val="20"/>
          <w:szCs w:val="20"/>
        </w:rPr>
        <w:t xml:space="preserve"> may</w:t>
      </w:r>
      <w:r w:rsidRPr="00622591">
        <w:rPr>
          <w:rFonts w:ascii="Area" w:hAnsi="Area" w:cs="Times New Roman"/>
          <w:sz w:val="20"/>
          <w:szCs w:val="20"/>
        </w:rPr>
        <w:t xml:space="preserve"> lack transparency</w:t>
      </w:r>
      <w:r w:rsidR="20FF1CCC" w:rsidRPr="00622591">
        <w:rPr>
          <w:rFonts w:ascii="Area" w:hAnsi="Area" w:cs="Times New Roman"/>
          <w:sz w:val="20"/>
          <w:szCs w:val="20"/>
        </w:rPr>
        <w:t>,</w:t>
      </w:r>
      <w:r w:rsidRPr="00622591">
        <w:rPr>
          <w:rFonts w:ascii="Area" w:hAnsi="Area" w:cs="Times New Roman"/>
          <w:sz w:val="20"/>
          <w:szCs w:val="20"/>
        </w:rPr>
        <w:t xml:space="preserve"> as the bureaucracy establishes the fines (including the collection of moneys), administers the program and acts as the tribunal</w:t>
      </w:r>
      <w:r w:rsidR="003A6DC8">
        <w:rPr>
          <w:rFonts w:ascii="Area" w:hAnsi="Area" w:cs="Times New Roman"/>
          <w:sz w:val="20"/>
          <w:szCs w:val="20"/>
        </w:rPr>
        <w:t xml:space="preserve"> for</w:t>
      </w:r>
      <w:r w:rsidRPr="00622591">
        <w:rPr>
          <w:rFonts w:ascii="Area" w:hAnsi="Area" w:cs="Times New Roman"/>
          <w:sz w:val="20"/>
          <w:szCs w:val="20"/>
        </w:rPr>
        <w:t xml:space="preserve"> appeals.</w:t>
      </w:r>
    </w:p>
    <w:p w14:paraId="641EF91F" w14:textId="5A682CF1" w:rsidR="007B3698" w:rsidRPr="00622591" w:rsidRDefault="007B3698" w:rsidP="00622591">
      <w:pPr>
        <w:pStyle w:val="ListParagraph"/>
        <w:numPr>
          <w:ilvl w:val="0"/>
          <w:numId w:val="1"/>
        </w:numPr>
        <w:spacing w:after="0" w:line="276" w:lineRule="auto"/>
        <w:jc w:val="both"/>
        <w:rPr>
          <w:rFonts w:ascii="Area" w:hAnsi="Area" w:cs="Times New Roman"/>
          <w:sz w:val="20"/>
          <w:szCs w:val="20"/>
        </w:rPr>
      </w:pPr>
      <w:r w:rsidRPr="00622591">
        <w:rPr>
          <w:rFonts w:ascii="Area" w:hAnsi="Area" w:cs="Times New Roman"/>
          <w:sz w:val="20"/>
          <w:szCs w:val="20"/>
        </w:rPr>
        <w:t>The current penal system allows for a graduated approach to compliance promotion</w:t>
      </w:r>
      <w:r w:rsidR="00645750" w:rsidRPr="00622591">
        <w:rPr>
          <w:rFonts w:ascii="Area" w:hAnsi="Area" w:cs="Times New Roman"/>
          <w:sz w:val="20"/>
          <w:szCs w:val="20"/>
        </w:rPr>
        <w:t>,</w:t>
      </w:r>
      <w:r w:rsidRPr="00622591">
        <w:rPr>
          <w:rFonts w:ascii="Area" w:hAnsi="Area" w:cs="Times New Roman"/>
          <w:sz w:val="20"/>
          <w:szCs w:val="20"/>
        </w:rPr>
        <w:t xml:space="preserve"> including issuing warnings, issuing tickets, making seizures, and having the accused attend court. </w:t>
      </w:r>
      <w:r w:rsidR="467C59E9" w:rsidRPr="00622591">
        <w:rPr>
          <w:rFonts w:ascii="Area" w:hAnsi="Area" w:cs="Times New Roman"/>
          <w:sz w:val="20"/>
          <w:szCs w:val="20"/>
        </w:rPr>
        <w:t xml:space="preserve"> We are concerned that the </w:t>
      </w:r>
      <w:r w:rsidRPr="00622591">
        <w:rPr>
          <w:rFonts w:ascii="Area" w:hAnsi="Area" w:cs="Times New Roman"/>
          <w:sz w:val="20"/>
          <w:szCs w:val="20"/>
        </w:rPr>
        <w:t>AMP approach does not add to the compliance promotion range of options in a meaningful way that would justify its additional burden.</w:t>
      </w:r>
    </w:p>
    <w:p w14:paraId="7579345B" w14:textId="76103F34" w:rsidR="007B3698" w:rsidRPr="00622591" w:rsidRDefault="007B3698" w:rsidP="00622591">
      <w:pPr>
        <w:pStyle w:val="ListParagraph"/>
        <w:numPr>
          <w:ilvl w:val="0"/>
          <w:numId w:val="1"/>
        </w:numPr>
        <w:spacing w:after="0" w:line="276" w:lineRule="auto"/>
        <w:jc w:val="both"/>
        <w:rPr>
          <w:rFonts w:ascii="Area" w:hAnsi="Area" w:cs="Times New Roman"/>
          <w:sz w:val="20"/>
          <w:szCs w:val="20"/>
        </w:rPr>
      </w:pPr>
      <w:r w:rsidRPr="00622591">
        <w:rPr>
          <w:rFonts w:ascii="Area" w:hAnsi="Area" w:cs="Times New Roman"/>
          <w:sz w:val="20"/>
          <w:szCs w:val="20"/>
        </w:rPr>
        <w:t xml:space="preserve">The claim that the AMP process reduces the burden on courts </w:t>
      </w:r>
      <w:r w:rsidR="5B9EC6C0" w:rsidRPr="00622591">
        <w:rPr>
          <w:rFonts w:ascii="Area" w:hAnsi="Area" w:cs="Times New Roman"/>
          <w:sz w:val="20"/>
          <w:szCs w:val="20"/>
        </w:rPr>
        <w:t>may</w:t>
      </w:r>
      <w:r w:rsidRPr="00622591">
        <w:rPr>
          <w:rFonts w:ascii="Area" w:hAnsi="Area" w:cs="Times New Roman"/>
          <w:sz w:val="20"/>
          <w:szCs w:val="20"/>
        </w:rPr>
        <w:t xml:space="preserve"> </w:t>
      </w:r>
      <w:r w:rsidR="0A4E5D17" w:rsidRPr="00622591">
        <w:rPr>
          <w:rFonts w:ascii="Area" w:hAnsi="Area" w:cs="Times New Roman"/>
          <w:sz w:val="20"/>
          <w:szCs w:val="20"/>
        </w:rPr>
        <w:t xml:space="preserve">be </w:t>
      </w:r>
      <w:r w:rsidRPr="00622591">
        <w:rPr>
          <w:rFonts w:ascii="Area" w:hAnsi="Area" w:cs="Times New Roman"/>
          <w:sz w:val="20"/>
          <w:szCs w:val="20"/>
        </w:rPr>
        <w:t>overstated</w:t>
      </w:r>
      <w:r w:rsidR="10B2C091" w:rsidRPr="00622591">
        <w:rPr>
          <w:rFonts w:ascii="Area" w:hAnsi="Area" w:cs="Times New Roman"/>
          <w:sz w:val="20"/>
          <w:szCs w:val="20"/>
        </w:rPr>
        <w:t>, since m</w:t>
      </w:r>
      <w:r w:rsidRPr="00622591">
        <w:rPr>
          <w:rFonts w:ascii="Area" w:hAnsi="Area" w:cs="Times New Roman"/>
          <w:sz w:val="20"/>
          <w:szCs w:val="20"/>
        </w:rPr>
        <w:t>ost FFPA violations are commenced by “ticket” and most tickets are paid out of court</w:t>
      </w:r>
      <w:r w:rsidR="07CCAA51" w:rsidRPr="00622591">
        <w:rPr>
          <w:rFonts w:ascii="Area" w:hAnsi="Area" w:cs="Times New Roman"/>
          <w:sz w:val="20"/>
          <w:szCs w:val="20"/>
        </w:rPr>
        <w:t>. T</w:t>
      </w:r>
      <w:r w:rsidRPr="00622591">
        <w:rPr>
          <w:rFonts w:ascii="Area" w:hAnsi="Area" w:cs="Times New Roman"/>
          <w:sz w:val="20"/>
          <w:szCs w:val="20"/>
        </w:rPr>
        <w:t>herefore</w:t>
      </w:r>
      <w:r w:rsidR="354453AE" w:rsidRPr="00622591">
        <w:rPr>
          <w:rFonts w:ascii="Area" w:hAnsi="Area" w:cs="Times New Roman"/>
          <w:sz w:val="20"/>
          <w:szCs w:val="20"/>
        </w:rPr>
        <w:t>,</w:t>
      </w:r>
      <w:r w:rsidRPr="00622591">
        <w:rPr>
          <w:rFonts w:ascii="Area" w:hAnsi="Area" w:cs="Times New Roman"/>
          <w:sz w:val="20"/>
          <w:szCs w:val="20"/>
        </w:rPr>
        <w:t xml:space="preserve"> there is very little burden on courts under the current penal process.</w:t>
      </w:r>
    </w:p>
    <w:p w14:paraId="68A1CF20" w14:textId="77777777" w:rsidR="00B107B6" w:rsidRPr="00622591" w:rsidRDefault="00B107B6" w:rsidP="00622591">
      <w:pPr>
        <w:spacing w:after="0" w:line="276" w:lineRule="auto"/>
        <w:jc w:val="both"/>
        <w:rPr>
          <w:rFonts w:ascii="Area" w:hAnsi="Area"/>
          <w:sz w:val="20"/>
          <w:szCs w:val="20"/>
        </w:rPr>
      </w:pPr>
    </w:p>
    <w:p w14:paraId="52667970" w14:textId="660312F9" w:rsidR="006B7865" w:rsidRPr="00622591" w:rsidRDefault="00EC24B5" w:rsidP="00622591">
      <w:pPr>
        <w:spacing w:after="0" w:line="276" w:lineRule="auto"/>
        <w:jc w:val="both"/>
        <w:rPr>
          <w:rFonts w:ascii="Area" w:hAnsi="Area"/>
          <w:sz w:val="20"/>
          <w:szCs w:val="20"/>
        </w:rPr>
      </w:pPr>
      <w:r w:rsidRPr="00622591">
        <w:rPr>
          <w:rFonts w:ascii="Area" w:hAnsi="Area"/>
          <w:sz w:val="20"/>
          <w:szCs w:val="20"/>
        </w:rPr>
        <w:t>We appreciate the opportunity to comment on this matter and look forward to</w:t>
      </w:r>
      <w:r w:rsidR="0083151A" w:rsidRPr="00622591">
        <w:rPr>
          <w:rFonts w:ascii="Area" w:hAnsi="Area"/>
          <w:sz w:val="20"/>
          <w:szCs w:val="20"/>
        </w:rPr>
        <w:t xml:space="preserve"> seeing the improvements to Ontario’s wildland fire management </w:t>
      </w:r>
      <w:r w:rsidR="007A0B56" w:rsidRPr="00622591">
        <w:rPr>
          <w:rFonts w:ascii="Area" w:hAnsi="Area"/>
          <w:sz w:val="20"/>
          <w:szCs w:val="20"/>
        </w:rPr>
        <w:t xml:space="preserve">put into practice. </w:t>
      </w:r>
      <w:r w:rsidR="0083151A" w:rsidRPr="00622591">
        <w:rPr>
          <w:rFonts w:ascii="Area" w:hAnsi="Area"/>
          <w:sz w:val="20"/>
          <w:szCs w:val="20"/>
        </w:rPr>
        <w:t xml:space="preserve"> </w:t>
      </w:r>
    </w:p>
    <w:p w14:paraId="7B508C7F" w14:textId="77777777" w:rsidR="006B7865" w:rsidRPr="00622591" w:rsidRDefault="006B7865" w:rsidP="00622591">
      <w:pPr>
        <w:spacing w:after="0" w:line="276" w:lineRule="auto"/>
        <w:jc w:val="both"/>
        <w:rPr>
          <w:rFonts w:ascii="Area" w:hAnsi="Area"/>
          <w:sz w:val="20"/>
          <w:szCs w:val="20"/>
        </w:rPr>
      </w:pPr>
    </w:p>
    <w:p w14:paraId="63E9ED72" w14:textId="77777777" w:rsidR="006B7865" w:rsidRPr="00622591" w:rsidRDefault="006B7865" w:rsidP="00622591">
      <w:pPr>
        <w:pStyle w:val="Default"/>
        <w:spacing w:line="276" w:lineRule="auto"/>
        <w:jc w:val="both"/>
        <w:rPr>
          <w:rFonts w:ascii="Area" w:hAnsi="Area"/>
          <w:sz w:val="20"/>
          <w:szCs w:val="20"/>
        </w:rPr>
      </w:pPr>
      <w:r w:rsidRPr="00622591">
        <w:rPr>
          <w:rFonts w:ascii="Area" w:hAnsi="Area"/>
          <w:sz w:val="20"/>
          <w:szCs w:val="20"/>
        </w:rPr>
        <w:t xml:space="preserve">Yours in Conservation, </w:t>
      </w:r>
    </w:p>
    <w:p w14:paraId="3F1989F1" w14:textId="59FDF9D0" w:rsidR="00D27001" w:rsidRDefault="00D27001" w:rsidP="00622591">
      <w:pPr>
        <w:pStyle w:val="Default"/>
        <w:spacing w:line="276" w:lineRule="auto"/>
        <w:jc w:val="both"/>
        <w:rPr>
          <w:rFonts w:ascii="Area" w:hAnsi="Area"/>
          <w:sz w:val="20"/>
          <w:szCs w:val="20"/>
        </w:rPr>
      </w:pPr>
      <w:r>
        <w:rPr>
          <w:rFonts w:ascii="Area" w:hAnsi="Area"/>
          <w:noProof/>
          <w:sz w:val="20"/>
          <w:szCs w:val="20"/>
        </w:rPr>
        <w:drawing>
          <wp:inline distT="0" distB="0" distL="0" distR="0" wp14:anchorId="7F658A48" wp14:editId="512D0665">
            <wp:extent cx="1771650" cy="550827"/>
            <wp:effectExtent l="0" t="0" r="0" b="1905"/>
            <wp:docPr id="1838931027"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31027" name="Picture 2" descr="A close-up of a signatu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8794" cy="553048"/>
                    </a:xfrm>
                    <a:prstGeom prst="rect">
                      <a:avLst/>
                    </a:prstGeom>
                  </pic:spPr>
                </pic:pic>
              </a:graphicData>
            </a:graphic>
          </wp:inline>
        </w:drawing>
      </w:r>
    </w:p>
    <w:p w14:paraId="20470B2D" w14:textId="57930AFE" w:rsidR="006B7865" w:rsidRPr="00622591" w:rsidRDefault="006B7865" w:rsidP="00622591">
      <w:pPr>
        <w:pStyle w:val="Default"/>
        <w:spacing w:line="276" w:lineRule="auto"/>
        <w:jc w:val="both"/>
        <w:rPr>
          <w:rFonts w:ascii="Area" w:hAnsi="Area"/>
          <w:sz w:val="20"/>
          <w:szCs w:val="20"/>
        </w:rPr>
      </w:pPr>
      <w:r w:rsidRPr="00622591">
        <w:rPr>
          <w:rFonts w:ascii="Area" w:hAnsi="Area"/>
          <w:sz w:val="20"/>
          <w:szCs w:val="20"/>
        </w:rPr>
        <w:t xml:space="preserve">Matthew Robbins </w:t>
      </w:r>
    </w:p>
    <w:p w14:paraId="6084923D" w14:textId="77777777" w:rsidR="006B7865" w:rsidRPr="00622591" w:rsidRDefault="006B7865" w:rsidP="00622591">
      <w:pPr>
        <w:pStyle w:val="Default"/>
        <w:spacing w:line="276" w:lineRule="auto"/>
        <w:jc w:val="both"/>
        <w:rPr>
          <w:rFonts w:ascii="Area" w:hAnsi="Area"/>
          <w:sz w:val="20"/>
          <w:szCs w:val="20"/>
        </w:rPr>
      </w:pPr>
      <w:r w:rsidRPr="00622591">
        <w:rPr>
          <w:rFonts w:ascii="Area" w:hAnsi="Area"/>
          <w:sz w:val="20"/>
          <w:szCs w:val="20"/>
        </w:rPr>
        <w:t xml:space="preserve">Fish &amp; Wildlife Biologist </w:t>
      </w:r>
    </w:p>
    <w:p w14:paraId="4EAAC659" w14:textId="77777777" w:rsidR="006B7865" w:rsidRPr="00622591" w:rsidRDefault="006B7865" w:rsidP="00622591">
      <w:pPr>
        <w:pStyle w:val="Default"/>
        <w:spacing w:line="276" w:lineRule="auto"/>
        <w:jc w:val="both"/>
        <w:rPr>
          <w:rFonts w:ascii="Area" w:hAnsi="Area"/>
          <w:sz w:val="20"/>
          <w:szCs w:val="20"/>
        </w:rPr>
      </w:pPr>
    </w:p>
    <w:p w14:paraId="58EB26A5" w14:textId="0888261E" w:rsidR="006B7865" w:rsidRPr="00622591" w:rsidRDefault="006B7865" w:rsidP="00622591">
      <w:pPr>
        <w:pStyle w:val="Default"/>
        <w:spacing w:line="276" w:lineRule="auto"/>
        <w:jc w:val="both"/>
        <w:rPr>
          <w:rFonts w:ascii="Area" w:hAnsi="Area"/>
          <w:sz w:val="20"/>
          <w:szCs w:val="20"/>
        </w:rPr>
      </w:pPr>
      <w:r w:rsidRPr="00622591">
        <w:rPr>
          <w:rFonts w:ascii="Area" w:hAnsi="Area"/>
          <w:sz w:val="20"/>
          <w:szCs w:val="20"/>
        </w:rPr>
        <w:t xml:space="preserve">cc: </w:t>
      </w:r>
      <w:r w:rsidRPr="00622591">
        <w:rPr>
          <w:rFonts w:ascii="Area" w:hAnsi="Area"/>
          <w:sz w:val="20"/>
          <w:szCs w:val="20"/>
        </w:rPr>
        <w:tab/>
        <w:t xml:space="preserve">OFAH Board of Directors </w:t>
      </w:r>
    </w:p>
    <w:p w14:paraId="503664C7" w14:textId="77777777" w:rsidR="006B7865" w:rsidRPr="00622591" w:rsidRDefault="006B7865" w:rsidP="00622591">
      <w:pPr>
        <w:pStyle w:val="Default"/>
        <w:spacing w:line="276" w:lineRule="auto"/>
        <w:ind w:left="720"/>
        <w:jc w:val="both"/>
        <w:rPr>
          <w:rFonts w:ascii="Area" w:hAnsi="Area"/>
          <w:sz w:val="20"/>
          <w:szCs w:val="20"/>
        </w:rPr>
      </w:pPr>
      <w:r w:rsidRPr="00622591">
        <w:rPr>
          <w:rFonts w:ascii="Area" w:hAnsi="Area"/>
          <w:sz w:val="20"/>
          <w:szCs w:val="20"/>
        </w:rPr>
        <w:t xml:space="preserve">OFAH Land Use/Access/Trails Advisory Committee </w:t>
      </w:r>
    </w:p>
    <w:p w14:paraId="51C50227" w14:textId="77777777" w:rsidR="006B7865" w:rsidRPr="00622591" w:rsidRDefault="006B7865" w:rsidP="00622591">
      <w:pPr>
        <w:pStyle w:val="Default"/>
        <w:spacing w:line="276" w:lineRule="auto"/>
        <w:ind w:left="720"/>
        <w:jc w:val="both"/>
        <w:rPr>
          <w:rFonts w:ascii="Area" w:hAnsi="Area"/>
          <w:sz w:val="20"/>
          <w:szCs w:val="20"/>
        </w:rPr>
      </w:pPr>
      <w:r w:rsidRPr="00622591">
        <w:rPr>
          <w:rFonts w:ascii="Area" w:hAnsi="Area"/>
          <w:sz w:val="20"/>
          <w:szCs w:val="20"/>
        </w:rPr>
        <w:t xml:space="preserve">Angelo Lombardo, OFAH Executive Director </w:t>
      </w:r>
    </w:p>
    <w:p w14:paraId="0DF08689" w14:textId="45D02AC8" w:rsidR="006B7865" w:rsidRPr="00622591" w:rsidRDefault="006B7865" w:rsidP="00622591">
      <w:pPr>
        <w:pStyle w:val="Default"/>
        <w:spacing w:line="276" w:lineRule="auto"/>
        <w:ind w:left="720"/>
        <w:jc w:val="both"/>
        <w:rPr>
          <w:rFonts w:ascii="Area" w:hAnsi="Area"/>
          <w:sz w:val="20"/>
          <w:szCs w:val="20"/>
        </w:rPr>
      </w:pPr>
      <w:r w:rsidRPr="00622591">
        <w:rPr>
          <w:rFonts w:ascii="Area" w:hAnsi="Area"/>
          <w:sz w:val="20"/>
          <w:szCs w:val="20"/>
        </w:rPr>
        <w:t xml:space="preserve">Matt DeMille, OFAH </w:t>
      </w:r>
      <w:r w:rsidR="00D27001">
        <w:rPr>
          <w:rFonts w:ascii="Area" w:hAnsi="Area"/>
          <w:sz w:val="20"/>
          <w:szCs w:val="20"/>
        </w:rPr>
        <w:t>Executive Director (</w:t>
      </w:r>
      <w:r w:rsidR="00D27001" w:rsidRPr="00D27001">
        <w:rPr>
          <w:rFonts w:ascii="Area" w:hAnsi="Area"/>
          <w:i/>
          <w:iCs/>
          <w:sz w:val="20"/>
          <w:szCs w:val="20"/>
        </w:rPr>
        <w:t>Incoming</w:t>
      </w:r>
      <w:r w:rsidR="00D27001">
        <w:rPr>
          <w:rFonts w:ascii="Area" w:hAnsi="Area"/>
          <w:sz w:val="20"/>
          <w:szCs w:val="20"/>
        </w:rPr>
        <w:t>)</w:t>
      </w:r>
      <w:r w:rsidRPr="00622591">
        <w:rPr>
          <w:rFonts w:ascii="Area" w:hAnsi="Area"/>
          <w:sz w:val="20"/>
          <w:szCs w:val="20"/>
        </w:rPr>
        <w:t xml:space="preserve"> </w:t>
      </w:r>
    </w:p>
    <w:p w14:paraId="5F65EC9E" w14:textId="77777777" w:rsidR="006B7865" w:rsidRPr="00622591" w:rsidRDefault="006B7865" w:rsidP="00622591">
      <w:pPr>
        <w:pStyle w:val="Default"/>
        <w:spacing w:line="276" w:lineRule="auto"/>
        <w:ind w:left="720"/>
        <w:jc w:val="both"/>
        <w:rPr>
          <w:rFonts w:ascii="Area" w:hAnsi="Area"/>
          <w:sz w:val="20"/>
          <w:szCs w:val="20"/>
        </w:rPr>
      </w:pPr>
      <w:r w:rsidRPr="00622591">
        <w:rPr>
          <w:rFonts w:ascii="Area" w:hAnsi="Area"/>
          <w:sz w:val="20"/>
          <w:szCs w:val="20"/>
        </w:rPr>
        <w:t xml:space="preserve">Mark Ryckman, OFAH Manager, Policy </w:t>
      </w:r>
    </w:p>
    <w:p w14:paraId="745011BB" w14:textId="643341BD" w:rsidR="006B7865" w:rsidRPr="00622591" w:rsidRDefault="006B7865" w:rsidP="00622591">
      <w:pPr>
        <w:spacing w:after="0" w:line="276" w:lineRule="auto"/>
        <w:ind w:left="720"/>
        <w:jc w:val="both"/>
        <w:rPr>
          <w:rFonts w:ascii="Area" w:hAnsi="Area"/>
          <w:sz w:val="20"/>
          <w:szCs w:val="20"/>
        </w:rPr>
      </w:pPr>
      <w:r w:rsidRPr="00622591">
        <w:rPr>
          <w:rFonts w:ascii="Area" w:hAnsi="Area"/>
          <w:sz w:val="20"/>
          <w:szCs w:val="20"/>
        </w:rPr>
        <w:t>Policy &amp; Programs Staff</w:t>
      </w:r>
    </w:p>
    <w:sectPr w:rsidR="006B7865" w:rsidRPr="00622591" w:rsidSect="00D27001">
      <w:pgSz w:w="12240" w:h="15840"/>
      <w:pgMar w:top="284" w:right="1440" w:bottom="72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ea">
    <w:altName w:val="Calibri"/>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5C9F8"/>
    <w:multiLevelType w:val="hybridMultilevel"/>
    <w:tmpl w:val="BA9223D8"/>
    <w:lvl w:ilvl="0" w:tplc="937699B0">
      <w:start w:val="1"/>
      <w:numFmt w:val="decimal"/>
      <w:lvlText w:val="%1."/>
      <w:lvlJc w:val="left"/>
      <w:pPr>
        <w:ind w:left="720" w:hanging="360"/>
      </w:pPr>
    </w:lvl>
    <w:lvl w:ilvl="1" w:tplc="94F2A022">
      <w:start w:val="1"/>
      <w:numFmt w:val="lowerLetter"/>
      <w:lvlText w:val="%2."/>
      <w:lvlJc w:val="left"/>
      <w:pPr>
        <w:ind w:left="1440" w:hanging="360"/>
      </w:pPr>
    </w:lvl>
    <w:lvl w:ilvl="2" w:tplc="A33EE97E">
      <w:start w:val="1"/>
      <w:numFmt w:val="lowerRoman"/>
      <w:lvlText w:val="%3."/>
      <w:lvlJc w:val="right"/>
      <w:pPr>
        <w:ind w:left="2160" w:hanging="180"/>
      </w:pPr>
    </w:lvl>
    <w:lvl w:ilvl="3" w:tplc="34FC0E32">
      <w:start w:val="1"/>
      <w:numFmt w:val="decimal"/>
      <w:lvlText w:val="%4."/>
      <w:lvlJc w:val="left"/>
      <w:pPr>
        <w:ind w:left="2880" w:hanging="360"/>
      </w:pPr>
    </w:lvl>
    <w:lvl w:ilvl="4" w:tplc="EC4EF014">
      <w:start w:val="1"/>
      <w:numFmt w:val="lowerLetter"/>
      <w:lvlText w:val="%5."/>
      <w:lvlJc w:val="left"/>
      <w:pPr>
        <w:ind w:left="3600" w:hanging="360"/>
      </w:pPr>
    </w:lvl>
    <w:lvl w:ilvl="5" w:tplc="F1B8DD4A">
      <w:start w:val="1"/>
      <w:numFmt w:val="lowerRoman"/>
      <w:lvlText w:val="%6."/>
      <w:lvlJc w:val="right"/>
      <w:pPr>
        <w:ind w:left="4320" w:hanging="180"/>
      </w:pPr>
    </w:lvl>
    <w:lvl w:ilvl="6" w:tplc="210AE028">
      <w:start w:val="1"/>
      <w:numFmt w:val="decimal"/>
      <w:lvlText w:val="%7."/>
      <w:lvlJc w:val="left"/>
      <w:pPr>
        <w:ind w:left="5040" w:hanging="360"/>
      </w:pPr>
    </w:lvl>
    <w:lvl w:ilvl="7" w:tplc="FC3E8702">
      <w:start w:val="1"/>
      <w:numFmt w:val="lowerLetter"/>
      <w:lvlText w:val="%8."/>
      <w:lvlJc w:val="left"/>
      <w:pPr>
        <w:ind w:left="5760" w:hanging="360"/>
      </w:pPr>
    </w:lvl>
    <w:lvl w:ilvl="8" w:tplc="BAB2B8D2">
      <w:start w:val="1"/>
      <w:numFmt w:val="lowerRoman"/>
      <w:lvlText w:val="%9."/>
      <w:lvlJc w:val="right"/>
      <w:pPr>
        <w:ind w:left="6480" w:hanging="180"/>
      </w:pPr>
    </w:lvl>
  </w:abstractNum>
  <w:num w:numId="1" w16cid:durableId="147745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98"/>
    <w:rsid w:val="00013DA5"/>
    <w:rsid w:val="000223B9"/>
    <w:rsid w:val="000530DF"/>
    <w:rsid w:val="00091638"/>
    <w:rsid w:val="001653A2"/>
    <w:rsid w:val="00172690"/>
    <w:rsid w:val="001F31E7"/>
    <w:rsid w:val="001F7259"/>
    <w:rsid w:val="0021226E"/>
    <w:rsid w:val="002B036F"/>
    <w:rsid w:val="002C09B4"/>
    <w:rsid w:val="0032237B"/>
    <w:rsid w:val="003433C0"/>
    <w:rsid w:val="003516EB"/>
    <w:rsid w:val="003800D1"/>
    <w:rsid w:val="00380C93"/>
    <w:rsid w:val="00382259"/>
    <w:rsid w:val="00390AC3"/>
    <w:rsid w:val="00395A83"/>
    <w:rsid w:val="003A1763"/>
    <w:rsid w:val="003A6DC8"/>
    <w:rsid w:val="003B084E"/>
    <w:rsid w:val="003C4357"/>
    <w:rsid w:val="003C4A24"/>
    <w:rsid w:val="003F56DA"/>
    <w:rsid w:val="004629B7"/>
    <w:rsid w:val="004C6E2B"/>
    <w:rsid w:val="004D1BBC"/>
    <w:rsid w:val="00500D5D"/>
    <w:rsid w:val="005B1B72"/>
    <w:rsid w:val="005C5468"/>
    <w:rsid w:val="005D3EBE"/>
    <w:rsid w:val="00622591"/>
    <w:rsid w:val="00641A69"/>
    <w:rsid w:val="00645750"/>
    <w:rsid w:val="00697792"/>
    <w:rsid w:val="006B7865"/>
    <w:rsid w:val="006D4AAD"/>
    <w:rsid w:val="006F03EB"/>
    <w:rsid w:val="006F1D85"/>
    <w:rsid w:val="007948DB"/>
    <w:rsid w:val="007A0B56"/>
    <w:rsid w:val="007B3698"/>
    <w:rsid w:val="007F1275"/>
    <w:rsid w:val="0083151A"/>
    <w:rsid w:val="008C3ACE"/>
    <w:rsid w:val="008D0BD0"/>
    <w:rsid w:val="00936D08"/>
    <w:rsid w:val="00984E7D"/>
    <w:rsid w:val="009D45C9"/>
    <w:rsid w:val="00A460FD"/>
    <w:rsid w:val="00A90035"/>
    <w:rsid w:val="00B107B6"/>
    <w:rsid w:val="00B6372C"/>
    <w:rsid w:val="00B96F82"/>
    <w:rsid w:val="00D27001"/>
    <w:rsid w:val="00D714BF"/>
    <w:rsid w:val="00D85B89"/>
    <w:rsid w:val="00E2434E"/>
    <w:rsid w:val="00EC1A3F"/>
    <w:rsid w:val="00EC24B5"/>
    <w:rsid w:val="00EC38B4"/>
    <w:rsid w:val="00F40F1D"/>
    <w:rsid w:val="00F55D4E"/>
    <w:rsid w:val="00F86667"/>
    <w:rsid w:val="01A2B1CE"/>
    <w:rsid w:val="030F28AF"/>
    <w:rsid w:val="07CCAA51"/>
    <w:rsid w:val="09B5C1B2"/>
    <w:rsid w:val="0A4E5D17"/>
    <w:rsid w:val="0C0AC2AE"/>
    <w:rsid w:val="10B2C091"/>
    <w:rsid w:val="11CFD92B"/>
    <w:rsid w:val="1670F635"/>
    <w:rsid w:val="1B51E790"/>
    <w:rsid w:val="1C30C366"/>
    <w:rsid w:val="20FF1CCC"/>
    <w:rsid w:val="210D23D3"/>
    <w:rsid w:val="221C8BF9"/>
    <w:rsid w:val="22F74C05"/>
    <w:rsid w:val="27F329D8"/>
    <w:rsid w:val="28B5F7F7"/>
    <w:rsid w:val="29294C76"/>
    <w:rsid w:val="354453AE"/>
    <w:rsid w:val="382B57BA"/>
    <w:rsid w:val="3A189C72"/>
    <w:rsid w:val="3A498C0D"/>
    <w:rsid w:val="3F00007F"/>
    <w:rsid w:val="408F334D"/>
    <w:rsid w:val="4272F066"/>
    <w:rsid w:val="45FB4075"/>
    <w:rsid w:val="464021CE"/>
    <w:rsid w:val="467C59E9"/>
    <w:rsid w:val="4A588096"/>
    <w:rsid w:val="4D2961CD"/>
    <w:rsid w:val="4EE4CA06"/>
    <w:rsid w:val="504AA7DD"/>
    <w:rsid w:val="51D32084"/>
    <w:rsid w:val="5311AFA1"/>
    <w:rsid w:val="5B9EC6C0"/>
    <w:rsid w:val="5F66409E"/>
    <w:rsid w:val="67357964"/>
    <w:rsid w:val="6BD5411C"/>
    <w:rsid w:val="6BF4ED73"/>
    <w:rsid w:val="6F44B55B"/>
    <w:rsid w:val="700D22A7"/>
    <w:rsid w:val="70A7599D"/>
    <w:rsid w:val="71C9F10E"/>
    <w:rsid w:val="73A13E66"/>
    <w:rsid w:val="73AB8C8B"/>
    <w:rsid w:val="7A16A6C2"/>
    <w:rsid w:val="7C908322"/>
    <w:rsid w:val="7D84DBCC"/>
    <w:rsid w:val="7D9C69D4"/>
    <w:rsid w:val="7E0964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8BD0"/>
  <w15:chartTrackingRefBased/>
  <w15:docId w15:val="{F23C2971-E417-4805-B7E3-5C9FA927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98"/>
  </w:style>
  <w:style w:type="paragraph" w:styleId="Heading1">
    <w:name w:val="heading 1"/>
    <w:basedOn w:val="Normal"/>
    <w:next w:val="Normal"/>
    <w:link w:val="Heading1Char"/>
    <w:uiPriority w:val="9"/>
    <w:qFormat/>
    <w:rsid w:val="007B3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698"/>
    <w:rPr>
      <w:rFonts w:eastAsiaTheme="majorEastAsia" w:cstheme="majorBidi"/>
      <w:color w:val="272727" w:themeColor="text1" w:themeTint="D8"/>
    </w:rPr>
  </w:style>
  <w:style w:type="paragraph" w:styleId="Title">
    <w:name w:val="Title"/>
    <w:basedOn w:val="Normal"/>
    <w:next w:val="Normal"/>
    <w:link w:val="TitleChar"/>
    <w:uiPriority w:val="10"/>
    <w:qFormat/>
    <w:rsid w:val="007B3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698"/>
    <w:pPr>
      <w:spacing w:before="160"/>
      <w:jc w:val="center"/>
    </w:pPr>
    <w:rPr>
      <w:i/>
      <w:iCs/>
      <w:color w:val="404040" w:themeColor="text1" w:themeTint="BF"/>
    </w:rPr>
  </w:style>
  <w:style w:type="character" w:customStyle="1" w:styleId="QuoteChar">
    <w:name w:val="Quote Char"/>
    <w:basedOn w:val="DefaultParagraphFont"/>
    <w:link w:val="Quote"/>
    <w:uiPriority w:val="29"/>
    <w:rsid w:val="007B3698"/>
    <w:rPr>
      <w:i/>
      <w:iCs/>
      <w:color w:val="404040" w:themeColor="text1" w:themeTint="BF"/>
    </w:rPr>
  </w:style>
  <w:style w:type="paragraph" w:styleId="ListParagraph">
    <w:name w:val="List Paragraph"/>
    <w:basedOn w:val="Normal"/>
    <w:uiPriority w:val="34"/>
    <w:qFormat/>
    <w:rsid w:val="007B3698"/>
    <w:pPr>
      <w:ind w:left="720"/>
      <w:contextualSpacing/>
    </w:pPr>
  </w:style>
  <w:style w:type="character" w:styleId="IntenseEmphasis">
    <w:name w:val="Intense Emphasis"/>
    <w:basedOn w:val="DefaultParagraphFont"/>
    <w:uiPriority w:val="21"/>
    <w:qFormat/>
    <w:rsid w:val="007B3698"/>
    <w:rPr>
      <w:i/>
      <w:iCs/>
      <w:color w:val="0F4761" w:themeColor="accent1" w:themeShade="BF"/>
    </w:rPr>
  </w:style>
  <w:style w:type="paragraph" w:styleId="IntenseQuote">
    <w:name w:val="Intense Quote"/>
    <w:basedOn w:val="Normal"/>
    <w:next w:val="Normal"/>
    <w:link w:val="IntenseQuoteChar"/>
    <w:uiPriority w:val="30"/>
    <w:qFormat/>
    <w:rsid w:val="007B3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698"/>
    <w:rPr>
      <w:i/>
      <w:iCs/>
      <w:color w:val="0F4761" w:themeColor="accent1" w:themeShade="BF"/>
    </w:rPr>
  </w:style>
  <w:style w:type="character" w:styleId="IntenseReference">
    <w:name w:val="Intense Reference"/>
    <w:basedOn w:val="DefaultParagraphFont"/>
    <w:uiPriority w:val="32"/>
    <w:qFormat/>
    <w:rsid w:val="007B3698"/>
    <w:rPr>
      <w:b/>
      <w:bCs/>
      <w:smallCaps/>
      <w:color w:val="0F4761" w:themeColor="accent1" w:themeShade="BF"/>
      <w:spacing w:val="5"/>
    </w:rPr>
  </w:style>
  <w:style w:type="paragraph" w:customStyle="1" w:styleId="Default">
    <w:name w:val="Default"/>
    <w:rsid w:val="006B7865"/>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013DA5"/>
    <w:rPr>
      <w:sz w:val="16"/>
      <w:szCs w:val="16"/>
    </w:rPr>
  </w:style>
  <w:style w:type="paragraph" w:styleId="CommentText">
    <w:name w:val="annotation text"/>
    <w:basedOn w:val="Normal"/>
    <w:link w:val="CommentTextChar"/>
    <w:uiPriority w:val="99"/>
    <w:unhideWhenUsed/>
    <w:rsid w:val="00013DA5"/>
    <w:pPr>
      <w:spacing w:line="240" w:lineRule="auto"/>
    </w:pPr>
    <w:rPr>
      <w:sz w:val="20"/>
      <w:szCs w:val="20"/>
    </w:rPr>
  </w:style>
  <w:style w:type="character" w:customStyle="1" w:styleId="CommentTextChar">
    <w:name w:val="Comment Text Char"/>
    <w:basedOn w:val="DefaultParagraphFont"/>
    <w:link w:val="CommentText"/>
    <w:uiPriority w:val="99"/>
    <w:rsid w:val="00013DA5"/>
    <w:rPr>
      <w:sz w:val="20"/>
      <w:szCs w:val="20"/>
    </w:rPr>
  </w:style>
  <w:style w:type="paragraph" w:styleId="CommentSubject">
    <w:name w:val="annotation subject"/>
    <w:basedOn w:val="CommentText"/>
    <w:next w:val="CommentText"/>
    <w:link w:val="CommentSubjectChar"/>
    <w:uiPriority w:val="99"/>
    <w:semiHidden/>
    <w:unhideWhenUsed/>
    <w:rsid w:val="00013DA5"/>
    <w:rPr>
      <w:b/>
      <w:bCs/>
    </w:rPr>
  </w:style>
  <w:style w:type="character" w:customStyle="1" w:styleId="CommentSubjectChar">
    <w:name w:val="Comment Subject Char"/>
    <w:basedOn w:val="CommentTextChar"/>
    <w:link w:val="CommentSubject"/>
    <w:uiPriority w:val="99"/>
    <w:semiHidden/>
    <w:rsid w:val="00013DA5"/>
    <w:rPr>
      <w:b/>
      <w:bCs/>
      <w:sz w:val="20"/>
      <w:szCs w:val="20"/>
    </w:rPr>
  </w:style>
  <w:style w:type="character" w:styleId="Hyperlink">
    <w:name w:val="Hyperlink"/>
    <w:basedOn w:val="DefaultParagraphFont"/>
    <w:uiPriority w:val="99"/>
    <w:unhideWhenUsed/>
    <w:rsid w:val="00622591"/>
    <w:rPr>
      <w:color w:val="467886" w:themeColor="hyperlink"/>
      <w:u w:val="single"/>
    </w:rPr>
  </w:style>
  <w:style w:type="character" w:styleId="UnresolvedMention">
    <w:name w:val="Unresolved Mention"/>
    <w:basedOn w:val="DefaultParagraphFont"/>
    <w:uiPriority w:val="99"/>
    <w:semiHidden/>
    <w:unhideWhenUsed/>
    <w:rsid w:val="00622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dlandFire@ontario.ca" TargetMode="Externa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AE06A2534E5145BD9A62B9DCB763A4" ma:contentTypeVersion="15" ma:contentTypeDescription="Create a new document." ma:contentTypeScope="" ma:versionID="2ffd757563f1c205644a3fe6d47202d9">
  <xsd:schema xmlns:xsd="http://www.w3.org/2001/XMLSchema" xmlns:xs="http://www.w3.org/2001/XMLSchema" xmlns:p="http://schemas.microsoft.com/office/2006/metadata/properties" xmlns:ns2="0095fa76-c0ae-4abf-8a1c-a35d47fc76af" xmlns:ns3="720b5896-c077-48e8-b03c-8562733342ba" targetNamespace="http://schemas.microsoft.com/office/2006/metadata/properties" ma:root="true" ma:fieldsID="0965f99a1d427ae392aa10bec030ab38" ns2:_="" ns3:_="">
    <xsd:import namespace="0095fa76-c0ae-4abf-8a1c-a35d47fc76af"/>
    <xsd:import namespace="720b5896-c077-48e8-b03c-8562733342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5fa76-c0ae-4abf-8a1c-a35d47fc7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39bbb9-f962-491e-8294-e8740ee5c2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b5896-c077-48e8-b03c-8562733342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c1e2e19-28f8-4f34-81c2-021d3b5b869d}" ma:internalName="TaxCatchAll" ma:showField="CatchAllData" ma:web="720b5896-c077-48e8-b03c-856273334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187B8-3044-4B32-BFF3-C2C8A327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5fa76-c0ae-4abf-8a1c-a35d47fc76af"/>
    <ds:schemaRef ds:uri="720b5896-c077-48e8-b03c-856273334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2A514-4529-4F9E-AFE2-AC6510773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1180</Words>
  <Characters>6729</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Robbins</dc:creator>
  <cp:keywords/>
  <dc:description/>
  <cp:lastModifiedBy>Matthew Robbins</cp:lastModifiedBy>
  <cp:revision>5</cp:revision>
  <dcterms:created xsi:type="dcterms:W3CDTF">2024-08-20T18:45:00Z</dcterms:created>
  <dcterms:modified xsi:type="dcterms:W3CDTF">2024-08-28T15:06:00Z</dcterms:modified>
</cp:coreProperties>
</file>