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F56" w:rsidRPr="00E44F56" w:rsidRDefault="00E44F56" w:rsidP="00E44F56">
      <w:pPr>
        <w:spacing w:after="0"/>
        <w:jc w:val="center"/>
        <w:rPr>
          <w:rStyle w:val="Strong"/>
          <w:rFonts w:ascii="Arial" w:hAnsi="Arial" w:cs="Arial"/>
          <w:sz w:val="28"/>
          <w:szCs w:val="28"/>
        </w:rPr>
      </w:pPr>
      <w:r w:rsidRPr="00E44F56">
        <w:rPr>
          <w:rStyle w:val="Strong"/>
          <w:rFonts w:ascii="Arial" w:hAnsi="Arial" w:cs="Arial"/>
          <w:sz w:val="28"/>
          <w:szCs w:val="28"/>
        </w:rPr>
        <w:t xml:space="preserve">Additional Residential Units (ARUs):  </w:t>
      </w:r>
    </w:p>
    <w:p w:rsidR="00E44F56" w:rsidRPr="00E44F56" w:rsidRDefault="00E44F56" w:rsidP="00E44F56">
      <w:pPr>
        <w:spacing w:after="0"/>
        <w:jc w:val="center"/>
        <w:rPr>
          <w:rStyle w:val="Strong"/>
          <w:rFonts w:ascii="Arial" w:hAnsi="Arial" w:cs="Arial"/>
          <w:sz w:val="28"/>
          <w:szCs w:val="28"/>
        </w:rPr>
      </w:pPr>
      <w:r w:rsidRPr="00E44F56">
        <w:rPr>
          <w:rStyle w:val="Strong"/>
          <w:rFonts w:ascii="Arial" w:hAnsi="Arial" w:cs="Arial"/>
          <w:sz w:val="28"/>
          <w:szCs w:val="28"/>
        </w:rPr>
        <w:t xml:space="preserve">Proposed Amendment to Ontario Regulation 299/19 </w:t>
      </w:r>
    </w:p>
    <w:p w:rsidR="00E44F56" w:rsidRPr="00E44F56" w:rsidRDefault="00E44F56" w:rsidP="00E44F56">
      <w:pPr>
        <w:spacing w:after="0"/>
        <w:jc w:val="center"/>
        <w:rPr>
          <w:rStyle w:val="Strong"/>
          <w:rFonts w:ascii="Arial" w:hAnsi="Arial" w:cs="Arial"/>
          <w:sz w:val="28"/>
          <w:szCs w:val="28"/>
        </w:rPr>
      </w:pPr>
      <w:proofErr w:type="gramStart"/>
      <w:r w:rsidRPr="00E44F56">
        <w:rPr>
          <w:rStyle w:val="Strong"/>
          <w:rFonts w:ascii="Arial" w:hAnsi="Arial" w:cs="Arial"/>
          <w:sz w:val="28"/>
          <w:szCs w:val="28"/>
        </w:rPr>
        <w:t>under</w:t>
      </w:r>
      <w:proofErr w:type="gramEnd"/>
      <w:r w:rsidRPr="00E44F56">
        <w:rPr>
          <w:rStyle w:val="Strong"/>
          <w:rFonts w:ascii="Arial" w:hAnsi="Arial" w:cs="Arial"/>
          <w:sz w:val="28"/>
          <w:szCs w:val="28"/>
        </w:rPr>
        <w:t xml:space="preserve"> the Planning Act </w:t>
      </w:r>
    </w:p>
    <w:p w:rsidR="00E44F56" w:rsidRPr="00E44F56" w:rsidRDefault="00E44F56" w:rsidP="00E44F56">
      <w:pPr>
        <w:spacing w:after="0"/>
        <w:jc w:val="center"/>
        <w:rPr>
          <w:rStyle w:val="Strong"/>
          <w:rFonts w:ascii="Arial" w:hAnsi="Arial" w:cs="Arial"/>
          <w:sz w:val="28"/>
          <w:szCs w:val="28"/>
        </w:rPr>
      </w:pPr>
      <w:r w:rsidRPr="00E44F56">
        <w:rPr>
          <w:rStyle w:val="Strong"/>
          <w:rFonts w:ascii="Arial" w:hAnsi="Arial" w:cs="Arial"/>
          <w:sz w:val="28"/>
          <w:szCs w:val="28"/>
        </w:rPr>
        <w:t xml:space="preserve">(ERO 019-9210 </w:t>
      </w:r>
    </w:p>
    <w:p w:rsidR="00E44F56" w:rsidRPr="00E44F56" w:rsidRDefault="00E44F56" w:rsidP="00E44F56">
      <w:pPr>
        <w:spacing w:after="0"/>
        <w:jc w:val="center"/>
        <w:rPr>
          <w:rStyle w:val="Strong"/>
          <w:rFonts w:ascii="Arial" w:hAnsi="Arial" w:cs="Arial"/>
          <w:sz w:val="36"/>
          <w:szCs w:val="36"/>
        </w:rPr>
      </w:pPr>
      <w:r w:rsidRPr="00E44F56">
        <w:rPr>
          <w:rStyle w:val="Strong"/>
          <w:rFonts w:ascii="Arial" w:hAnsi="Arial" w:cs="Arial"/>
          <w:sz w:val="36"/>
          <w:szCs w:val="36"/>
        </w:rPr>
        <w:t>DRAFT</w:t>
      </w:r>
    </w:p>
    <w:p w:rsidR="00E44F56" w:rsidRPr="00E44F56" w:rsidRDefault="00E44F56">
      <w:pPr>
        <w:rPr>
          <w:rStyle w:val="hgkelc"/>
          <w:rFonts w:ascii="Arial" w:hAnsi="Arial" w:cs="Arial"/>
          <w:sz w:val="24"/>
          <w:szCs w:val="24"/>
          <w:lang/>
        </w:rPr>
      </w:pPr>
    </w:p>
    <w:p w:rsidR="00E44F56" w:rsidRPr="00E44F56" w:rsidRDefault="00E44F56">
      <w:pPr>
        <w:rPr>
          <w:rStyle w:val="hgkelc"/>
          <w:rFonts w:ascii="Arial" w:hAnsi="Arial" w:cs="Arial"/>
          <w:sz w:val="24"/>
          <w:szCs w:val="24"/>
          <w:lang/>
        </w:rPr>
      </w:pPr>
      <w:r w:rsidRPr="00E44F56">
        <w:rPr>
          <w:rStyle w:val="hgkelc"/>
          <w:rFonts w:ascii="Arial" w:hAnsi="Arial" w:cs="Arial"/>
          <w:sz w:val="24"/>
          <w:szCs w:val="24"/>
          <w:lang/>
        </w:rPr>
        <w:t xml:space="preserve">This proposed regulation is pursuant to Bill 185, the </w:t>
      </w:r>
      <w:r w:rsidRPr="00E44F56">
        <w:rPr>
          <w:rStyle w:val="hgkelc"/>
          <w:rFonts w:ascii="Arial" w:hAnsi="Arial" w:cs="Arial"/>
          <w:b/>
          <w:sz w:val="24"/>
          <w:szCs w:val="24"/>
          <w:lang/>
        </w:rPr>
        <w:t xml:space="preserve">Cutting Red Tape to Build More Homes Act, 2024. </w:t>
      </w:r>
      <w:r w:rsidRPr="00E44F56">
        <w:rPr>
          <w:rStyle w:val="hgkelc"/>
          <w:rFonts w:ascii="Arial" w:hAnsi="Arial" w:cs="Arial"/>
          <w:sz w:val="24"/>
          <w:szCs w:val="24"/>
          <w:lang/>
        </w:rPr>
        <w:t xml:space="preserve"> This omnibus bill with the stated intent of </w:t>
      </w:r>
      <w:r w:rsidRPr="00E44F56">
        <w:rPr>
          <w:rStyle w:val="hgkelc"/>
          <w:rFonts w:ascii="Arial" w:hAnsi="Arial" w:cs="Arial"/>
          <w:bCs/>
          <w:sz w:val="24"/>
          <w:szCs w:val="24"/>
          <w:lang/>
        </w:rPr>
        <w:t xml:space="preserve">removing barriers to building 1.5 million homes by 2031 </w:t>
      </w:r>
      <w:r w:rsidRPr="00E44F56">
        <w:rPr>
          <w:rStyle w:val="hgkelc"/>
          <w:rFonts w:ascii="Arial" w:hAnsi="Arial" w:cs="Arial"/>
          <w:sz w:val="24"/>
          <w:szCs w:val="24"/>
          <w:lang/>
        </w:rPr>
        <w:t>included changes to a range of legislation including:</w:t>
      </w:r>
    </w:p>
    <w:p w:rsidR="00E44F56" w:rsidRPr="00E44F56" w:rsidRDefault="00E44F56" w:rsidP="00E44F56">
      <w:pPr>
        <w:pStyle w:val="ListParagraph"/>
        <w:numPr>
          <w:ilvl w:val="0"/>
          <w:numId w:val="2"/>
        </w:numPr>
        <w:rPr>
          <w:rStyle w:val="hgkelc"/>
          <w:rFonts w:ascii="Arial" w:hAnsi="Arial" w:cs="Arial"/>
          <w:sz w:val="24"/>
          <w:szCs w:val="24"/>
        </w:rPr>
      </w:pPr>
      <w:r w:rsidRPr="00E44F56">
        <w:rPr>
          <w:rStyle w:val="hgkelc"/>
          <w:rFonts w:ascii="Arial" w:hAnsi="Arial" w:cs="Arial"/>
          <w:sz w:val="24"/>
          <w:szCs w:val="24"/>
          <w:lang/>
        </w:rPr>
        <w:t xml:space="preserve">changes to development charges and </w:t>
      </w:r>
    </w:p>
    <w:p w:rsidR="00E44F56" w:rsidRPr="00E44F56" w:rsidRDefault="00E44F56" w:rsidP="00E44F56">
      <w:pPr>
        <w:pStyle w:val="ListParagraph"/>
        <w:numPr>
          <w:ilvl w:val="0"/>
          <w:numId w:val="2"/>
        </w:numPr>
        <w:rPr>
          <w:rFonts w:ascii="Arial" w:hAnsi="Arial" w:cs="Arial"/>
          <w:sz w:val="24"/>
          <w:szCs w:val="24"/>
        </w:rPr>
      </w:pPr>
      <w:r w:rsidRPr="00E44F56">
        <w:rPr>
          <w:rStyle w:val="hgkelc"/>
          <w:rFonts w:ascii="Arial" w:hAnsi="Arial" w:cs="Arial"/>
          <w:sz w:val="24"/>
          <w:szCs w:val="24"/>
          <w:lang/>
        </w:rPr>
        <w:t xml:space="preserve">changes to Ontario's land-use planning framework including giving the minister of the day </w:t>
      </w:r>
      <w:r w:rsidR="006E4818" w:rsidRPr="00E44F56">
        <w:rPr>
          <w:rFonts w:ascii="Arial" w:hAnsi="Arial" w:cs="Arial"/>
          <w:sz w:val="24"/>
          <w:szCs w:val="24"/>
        </w:rPr>
        <w:t xml:space="preserve">more regulation-making powers </w:t>
      </w:r>
      <w:r w:rsidRPr="00E44F56">
        <w:rPr>
          <w:rFonts w:ascii="Arial" w:hAnsi="Arial" w:cs="Arial"/>
          <w:sz w:val="24"/>
          <w:szCs w:val="24"/>
        </w:rPr>
        <w:t xml:space="preserve"> </w:t>
      </w:r>
    </w:p>
    <w:p w:rsidR="00E44F56" w:rsidRPr="00E44F56" w:rsidRDefault="00E44F56" w:rsidP="00E44F56">
      <w:pPr>
        <w:spacing w:after="0"/>
        <w:rPr>
          <w:rFonts w:ascii="Arial" w:hAnsi="Arial" w:cs="Arial"/>
          <w:sz w:val="24"/>
          <w:szCs w:val="24"/>
        </w:rPr>
      </w:pPr>
      <w:r w:rsidRPr="00E44F56">
        <w:rPr>
          <w:rFonts w:ascii="Arial" w:hAnsi="Arial" w:cs="Arial"/>
          <w:sz w:val="24"/>
          <w:szCs w:val="24"/>
        </w:rPr>
        <w:t>The regulatory proposal currently being consulted on would r</w:t>
      </w:r>
      <w:r w:rsidR="006E4818" w:rsidRPr="00E44F56">
        <w:rPr>
          <w:rFonts w:ascii="Arial" w:hAnsi="Arial" w:cs="Arial"/>
          <w:sz w:val="24"/>
          <w:szCs w:val="24"/>
        </w:rPr>
        <w:t>emov</w:t>
      </w:r>
      <w:r w:rsidRPr="00E44F56">
        <w:rPr>
          <w:rFonts w:ascii="Arial" w:hAnsi="Arial" w:cs="Arial"/>
          <w:sz w:val="24"/>
          <w:szCs w:val="24"/>
        </w:rPr>
        <w:t>e</w:t>
      </w:r>
      <w:r w:rsidR="006E4818" w:rsidRPr="00E44F56">
        <w:rPr>
          <w:rFonts w:ascii="Arial" w:hAnsi="Arial" w:cs="Arial"/>
          <w:sz w:val="24"/>
          <w:szCs w:val="24"/>
        </w:rPr>
        <w:t xml:space="preserve"> zoning barriers that discourage additional </w:t>
      </w:r>
      <w:r w:rsidRPr="00E44F56">
        <w:rPr>
          <w:rFonts w:ascii="Arial" w:hAnsi="Arial" w:cs="Arial"/>
          <w:sz w:val="24"/>
          <w:szCs w:val="24"/>
        </w:rPr>
        <w:t xml:space="preserve">residential </w:t>
      </w:r>
      <w:r w:rsidR="006E4818" w:rsidRPr="00E44F56">
        <w:rPr>
          <w:rFonts w:ascii="Arial" w:hAnsi="Arial" w:cs="Arial"/>
          <w:sz w:val="24"/>
          <w:szCs w:val="24"/>
        </w:rPr>
        <w:t>units on a single lot, like basement suites</w:t>
      </w:r>
      <w:r w:rsidRPr="00E44F56">
        <w:rPr>
          <w:rFonts w:ascii="Arial" w:hAnsi="Arial" w:cs="Arial"/>
          <w:sz w:val="24"/>
          <w:szCs w:val="24"/>
        </w:rPr>
        <w:t>, laneway suites and garden suites</w:t>
      </w:r>
      <w:r w:rsidR="006E4818" w:rsidRPr="00E44F56">
        <w:rPr>
          <w:rFonts w:ascii="Arial" w:hAnsi="Arial" w:cs="Arial"/>
          <w:sz w:val="24"/>
          <w:szCs w:val="24"/>
        </w:rPr>
        <w:t>.</w:t>
      </w:r>
    </w:p>
    <w:p w:rsidR="00E44F56" w:rsidRPr="00E44F56" w:rsidRDefault="00E44F56" w:rsidP="00E44F56">
      <w:pPr>
        <w:spacing w:after="0"/>
        <w:rPr>
          <w:rFonts w:ascii="Arial" w:hAnsi="Arial" w:cs="Arial"/>
          <w:sz w:val="24"/>
          <w:szCs w:val="24"/>
        </w:rPr>
      </w:pPr>
    </w:p>
    <w:p w:rsidR="00E44F56" w:rsidRPr="00E44F56" w:rsidRDefault="00E44F56" w:rsidP="00E44F56">
      <w:pPr>
        <w:rPr>
          <w:rFonts w:ascii="Arial" w:hAnsi="Arial" w:cs="Arial"/>
          <w:b/>
          <w:sz w:val="24"/>
          <w:szCs w:val="24"/>
        </w:rPr>
      </w:pPr>
      <w:r w:rsidRPr="00E44F56">
        <w:rPr>
          <w:rFonts w:ascii="Arial" w:hAnsi="Arial" w:cs="Arial"/>
          <w:b/>
          <w:sz w:val="24"/>
          <w:szCs w:val="24"/>
        </w:rPr>
        <w:t xml:space="preserve">Jurisdictional overreach </w:t>
      </w:r>
    </w:p>
    <w:p w:rsidR="00E44F56" w:rsidRPr="00E44F56" w:rsidRDefault="00E44F56" w:rsidP="00E44F56">
      <w:pPr>
        <w:rPr>
          <w:rFonts w:ascii="Arial" w:hAnsi="Arial" w:cs="Arial"/>
          <w:sz w:val="24"/>
          <w:szCs w:val="24"/>
        </w:rPr>
      </w:pPr>
      <w:r w:rsidRPr="00E44F56">
        <w:rPr>
          <w:rFonts w:ascii="Arial" w:hAnsi="Arial" w:cs="Arial"/>
          <w:sz w:val="24"/>
          <w:szCs w:val="24"/>
        </w:rPr>
        <w:t xml:space="preserve">At a governance level, this provision amounts to a jurisdictional overreach of the Province into the municipal land use planning sphere.  While the Province sets the land use planning framework through the Planning Act, regulations and policy statements (PPS), municipalities have been responsible for developing and implementing the municipal Official Plan and zoning bylaws, relying on community input.  As such </w:t>
      </w:r>
      <w:r w:rsidRPr="00E44F56">
        <w:rPr>
          <w:rFonts w:ascii="Arial" w:hAnsi="Arial" w:cs="Arial"/>
          <w:b/>
          <w:sz w:val="24"/>
          <w:szCs w:val="24"/>
        </w:rPr>
        <w:t>we oppose the proposed measure in principle</w:t>
      </w:r>
      <w:r w:rsidRPr="00E44F56">
        <w:rPr>
          <w:rFonts w:ascii="Arial" w:hAnsi="Arial" w:cs="Arial"/>
          <w:sz w:val="24"/>
          <w:szCs w:val="24"/>
        </w:rPr>
        <w:t xml:space="preserve"> as taking away the ability of the municipality to plan for local land use and housing needs within a provincial framework.  </w:t>
      </w:r>
    </w:p>
    <w:p w:rsidR="00E44F56" w:rsidRPr="00E44F56" w:rsidRDefault="00E44F56" w:rsidP="00E44F56">
      <w:pPr>
        <w:rPr>
          <w:rFonts w:ascii="Arial" w:hAnsi="Arial" w:cs="Arial"/>
          <w:b/>
          <w:sz w:val="24"/>
          <w:szCs w:val="24"/>
        </w:rPr>
      </w:pPr>
      <w:r w:rsidRPr="00E44F56">
        <w:rPr>
          <w:rFonts w:ascii="Arial" w:hAnsi="Arial" w:cs="Arial"/>
          <w:b/>
          <w:sz w:val="24"/>
          <w:szCs w:val="24"/>
        </w:rPr>
        <w:t xml:space="preserve">Zoning Policy re ARUs </w:t>
      </w:r>
    </w:p>
    <w:p w:rsidR="00E44F56" w:rsidRPr="00E44F56" w:rsidRDefault="00E44F56" w:rsidP="00E44F56">
      <w:pPr>
        <w:rPr>
          <w:rFonts w:ascii="Arial" w:hAnsi="Arial" w:cs="Arial"/>
          <w:sz w:val="24"/>
          <w:szCs w:val="24"/>
        </w:rPr>
      </w:pPr>
      <w:r w:rsidRPr="00E44F56">
        <w:rPr>
          <w:rFonts w:ascii="Arial" w:hAnsi="Arial" w:cs="Arial"/>
          <w:sz w:val="24"/>
          <w:szCs w:val="24"/>
        </w:rPr>
        <w:t>Through Bill23 (the More Homes Built Faster Act, 2022), changes were made to the Planning Act to accelerate implementation of the province’s additional residential unit (ARU) framework.</w:t>
      </w:r>
    </w:p>
    <w:p w:rsidR="00E44F56" w:rsidRPr="00E44F56" w:rsidRDefault="00E44F56" w:rsidP="00E44F56">
      <w:pPr>
        <w:spacing w:after="0"/>
        <w:rPr>
          <w:rFonts w:ascii="Arial" w:hAnsi="Arial" w:cs="Arial"/>
          <w:sz w:val="24"/>
          <w:szCs w:val="24"/>
        </w:rPr>
      </w:pPr>
      <w:r w:rsidRPr="00E44F56">
        <w:rPr>
          <w:rFonts w:ascii="Arial" w:hAnsi="Arial" w:cs="Arial"/>
          <w:sz w:val="24"/>
          <w:szCs w:val="24"/>
        </w:rPr>
        <w:t xml:space="preserve">These changes allow “as-of-right” the use of up to 3 units per lot in many existing residential areas (i.e., up to 3 units allowed in the primary building, or up to 2 units allowed in the primary building and 1 unit allowed in an ancillary building such as a garage). This as-of-right permission applies province-wide to any parcel of land where residential uses are permitted in settlement areas with full municipal water and sewage services (excepting for legal non-conforming uses such as existing houses on hazard lands). Changes were also made to remove certain barriers (i.e., development charges, </w:t>
      </w:r>
      <w:r w:rsidRPr="00E44F56">
        <w:rPr>
          <w:rFonts w:ascii="Arial" w:hAnsi="Arial" w:cs="Arial"/>
          <w:sz w:val="24"/>
          <w:szCs w:val="24"/>
        </w:rPr>
        <w:lastRenderedPageBreak/>
        <w:t>parkland requirements, minimum unit sizes and parking requirements) to encourage the creation of more additional residential units.</w:t>
      </w:r>
    </w:p>
    <w:p w:rsidR="00E44F56" w:rsidRPr="00E44F56" w:rsidRDefault="00E44F56" w:rsidP="00E44F56">
      <w:pPr>
        <w:spacing w:after="0"/>
        <w:rPr>
          <w:rFonts w:ascii="Arial" w:hAnsi="Arial" w:cs="Arial"/>
          <w:sz w:val="24"/>
          <w:szCs w:val="24"/>
        </w:rPr>
      </w:pPr>
    </w:p>
    <w:p w:rsidR="00E44F56" w:rsidRDefault="00E44F56" w:rsidP="00E44F56">
      <w:pPr>
        <w:rPr>
          <w:rFonts w:ascii="Arial" w:hAnsi="Arial" w:cs="Arial"/>
          <w:sz w:val="24"/>
          <w:szCs w:val="24"/>
        </w:rPr>
      </w:pPr>
      <w:r>
        <w:rPr>
          <w:rFonts w:ascii="Arial" w:hAnsi="Arial" w:cs="Arial"/>
          <w:sz w:val="24"/>
          <w:szCs w:val="24"/>
        </w:rPr>
        <w:t>T</w:t>
      </w:r>
      <w:r w:rsidRPr="00E44F56">
        <w:rPr>
          <w:rFonts w:ascii="Arial" w:hAnsi="Arial" w:cs="Arial"/>
          <w:sz w:val="24"/>
          <w:szCs w:val="24"/>
        </w:rPr>
        <w:t>he proposal include</w:t>
      </w:r>
      <w:r>
        <w:rPr>
          <w:rFonts w:ascii="Arial" w:hAnsi="Arial" w:cs="Arial"/>
          <w:sz w:val="24"/>
          <w:szCs w:val="24"/>
        </w:rPr>
        <w:t>s</w:t>
      </w:r>
      <w:r w:rsidRPr="00E44F56">
        <w:rPr>
          <w:rFonts w:ascii="Arial" w:hAnsi="Arial" w:cs="Arial"/>
          <w:sz w:val="24"/>
          <w:szCs w:val="24"/>
        </w:rPr>
        <w:t xml:space="preserve"> the following performance standards in the regulation that would apply to the same lands as the current ARU framework (i.e., urban</w:t>
      </w:r>
      <w:r>
        <w:rPr>
          <w:rFonts w:ascii="Arial" w:hAnsi="Arial" w:cs="Arial"/>
          <w:sz w:val="24"/>
          <w:szCs w:val="24"/>
        </w:rPr>
        <w:t xml:space="preserve"> </w:t>
      </w:r>
      <w:r w:rsidRPr="00E44F56">
        <w:rPr>
          <w:rFonts w:ascii="Arial" w:hAnsi="Arial" w:cs="Arial"/>
          <w:sz w:val="24"/>
          <w:szCs w:val="24"/>
        </w:rPr>
        <w:t>residential land permitting up to 3 units per lot). The proposed performance standards would not</w:t>
      </w:r>
      <w:r>
        <w:rPr>
          <w:rFonts w:ascii="Arial" w:hAnsi="Arial" w:cs="Arial"/>
          <w:sz w:val="24"/>
          <w:szCs w:val="24"/>
        </w:rPr>
        <w:t xml:space="preserve"> </w:t>
      </w:r>
      <w:r w:rsidRPr="00E44F56">
        <w:rPr>
          <w:rFonts w:ascii="Arial" w:hAnsi="Arial" w:cs="Arial"/>
          <w:sz w:val="24"/>
          <w:szCs w:val="24"/>
        </w:rPr>
        <w:t xml:space="preserve">apply to rural </w:t>
      </w:r>
      <w:proofErr w:type="gramStart"/>
      <w:r w:rsidRPr="00E44F56">
        <w:rPr>
          <w:rFonts w:ascii="Arial" w:hAnsi="Arial" w:cs="Arial"/>
          <w:sz w:val="24"/>
          <w:szCs w:val="24"/>
        </w:rPr>
        <w:t>areas,</w:t>
      </w:r>
      <w:proofErr w:type="gramEnd"/>
      <w:r w:rsidRPr="00E44F56">
        <w:rPr>
          <w:rFonts w:ascii="Arial" w:hAnsi="Arial" w:cs="Arial"/>
          <w:sz w:val="24"/>
          <w:szCs w:val="24"/>
        </w:rPr>
        <w:t xml:space="preserve"> or settlement areas without full municipal servicing:</w:t>
      </w:r>
    </w:p>
    <w:p w:rsidR="00E44F56" w:rsidRDefault="00E44F56" w:rsidP="00E44F56">
      <w:pPr>
        <w:pStyle w:val="ListParagraph"/>
        <w:numPr>
          <w:ilvl w:val="0"/>
          <w:numId w:val="3"/>
        </w:numPr>
        <w:rPr>
          <w:rFonts w:ascii="Arial" w:hAnsi="Arial" w:cs="Arial"/>
          <w:sz w:val="24"/>
          <w:szCs w:val="24"/>
        </w:rPr>
      </w:pPr>
      <w:r>
        <w:rPr>
          <w:rFonts w:ascii="Arial" w:hAnsi="Arial" w:cs="Arial"/>
          <w:sz w:val="24"/>
          <w:szCs w:val="24"/>
        </w:rPr>
        <w:t xml:space="preserve">Angular plane </w:t>
      </w:r>
    </w:p>
    <w:p w:rsidR="00E44F56" w:rsidRDefault="00E44F56" w:rsidP="00E44F56">
      <w:pPr>
        <w:pStyle w:val="ListParagraph"/>
        <w:numPr>
          <w:ilvl w:val="0"/>
          <w:numId w:val="3"/>
        </w:numPr>
        <w:rPr>
          <w:rFonts w:ascii="Arial" w:hAnsi="Arial" w:cs="Arial"/>
          <w:sz w:val="24"/>
          <w:szCs w:val="24"/>
        </w:rPr>
      </w:pPr>
      <w:r>
        <w:rPr>
          <w:rFonts w:ascii="Arial" w:hAnsi="Arial" w:cs="Arial"/>
          <w:sz w:val="24"/>
          <w:szCs w:val="24"/>
        </w:rPr>
        <w:t xml:space="preserve">Maximum lot coverage </w:t>
      </w:r>
    </w:p>
    <w:p w:rsidR="00E44F56" w:rsidRDefault="00E44F56" w:rsidP="00E44F56">
      <w:pPr>
        <w:pStyle w:val="ListParagraph"/>
        <w:numPr>
          <w:ilvl w:val="0"/>
          <w:numId w:val="3"/>
        </w:numPr>
        <w:rPr>
          <w:rFonts w:ascii="Arial" w:hAnsi="Arial" w:cs="Arial"/>
          <w:sz w:val="24"/>
          <w:szCs w:val="24"/>
        </w:rPr>
      </w:pPr>
      <w:r>
        <w:rPr>
          <w:rFonts w:ascii="Arial" w:hAnsi="Arial" w:cs="Arial"/>
          <w:sz w:val="24"/>
          <w:szCs w:val="24"/>
        </w:rPr>
        <w:t xml:space="preserve">Floor Space Index (FSI) </w:t>
      </w:r>
    </w:p>
    <w:p w:rsidR="00E44F56" w:rsidRDefault="00E44F56" w:rsidP="00E44F56">
      <w:pPr>
        <w:pStyle w:val="ListParagraph"/>
        <w:numPr>
          <w:ilvl w:val="0"/>
          <w:numId w:val="3"/>
        </w:numPr>
        <w:rPr>
          <w:rFonts w:ascii="Arial" w:hAnsi="Arial" w:cs="Arial"/>
          <w:sz w:val="24"/>
          <w:szCs w:val="24"/>
        </w:rPr>
      </w:pPr>
      <w:r>
        <w:rPr>
          <w:rFonts w:ascii="Arial" w:hAnsi="Arial" w:cs="Arial"/>
          <w:sz w:val="24"/>
          <w:szCs w:val="24"/>
        </w:rPr>
        <w:t xml:space="preserve">Minimum lot size </w:t>
      </w:r>
    </w:p>
    <w:p w:rsidR="00E44F56" w:rsidRPr="00E44F56" w:rsidRDefault="00E44F56" w:rsidP="00E44F56">
      <w:pPr>
        <w:pStyle w:val="ListParagraph"/>
        <w:numPr>
          <w:ilvl w:val="0"/>
          <w:numId w:val="3"/>
        </w:numPr>
        <w:rPr>
          <w:rFonts w:ascii="Arial" w:hAnsi="Arial" w:cs="Arial"/>
          <w:sz w:val="24"/>
          <w:szCs w:val="24"/>
        </w:rPr>
      </w:pPr>
      <w:r>
        <w:rPr>
          <w:rFonts w:ascii="Arial" w:hAnsi="Arial" w:cs="Arial"/>
          <w:sz w:val="24"/>
          <w:szCs w:val="24"/>
        </w:rPr>
        <w:t xml:space="preserve">Building distance separation </w:t>
      </w:r>
    </w:p>
    <w:p w:rsidR="00E44F56" w:rsidRPr="00E44F56" w:rsidRDefault="00E44F56" w:rsidP="00E44F56">
      <w:pPr>
        <w:rPr>
          <w:rFonts w:ascii="Arial" w:hAnsi="Arial" w:cs="Arial"/>
          <w:sz w:val="24"/>
          <w:szCs w:val="24"/>
        </w:rPr>
      </w:pPr>
      <w:r w:rsidRPr="00E44F56">
        <w:rPr>
          <w:rFonts w:ascii="Arial" w:hAnsi="Arial" w:cs="Arial"/>
          <w:sz w:val="24"/>
          <w:szCs w:val="24"/>
        </w:rPr>
        <w:t xml:space="preserve">The </w:t>
      </w:r>
      <w:r>
        <w:rPr>
          <w:rFonts w:ascii="Arial" w:hAnsi="Arial" w:cs="Arial"/>
          <w:sz w:val="24"/>
          <w:szCs w:val="24"/>
        </w:rPr>
        <w:t xml:space="preserve">selected </w:t>
      </w:r>
      <w:r w:rsidRPr="00E44F56">
        <w:rPr>
          <w:rFonts w:ascii="Arial" w:hAnsi="Arial" w:cs="Arial"/>
          <w:sz w:val="24"/>
          <w:szCs w:val="24"/>
        </w:rPr>
        <w:t>per</w:t>
      </w:r>
      <w:r>
        <w:rPr>
          <w:rFonts w:ascii="Arial" w:hAnsi="Arial" w:cs="Arial"/>
          <w:sz w:val="24"/>
          <w:szCs w:val="24"/>
        </w:rPr>
        <w:t xml:space="preserve">formance standards are among the most commonly regulated by municipal planning departments across the province, </w:t>
      </w:r>
    </w:p>
    <w:tbl>
      <w:tblPr>
        <w:tblStyle w:val="TableGrid"/>
        <w:tblW w:w="0" w:type="auto"/>
        <w:tblLook w:val="04A0"/>
      </w:tblPr>
      <w:tblGrid>
        <w:gridCol w:w="2497"/>
        <w:gridCol w:w="2149"/>
        <w:gridCol w:w="2550"/>
        <w:gridCol w:w="2380"/>
      </w:tblGrid>
      <w:tr w:rsidR="00E44F56" w:rsidTr="00E44F56">
        <w:tc>
          <w:tcPr>
            <w:tcW w:w="2497" w:type="dxa"/>
          </w:tcPr>
          <w:p w:rsidR="00E44F56" w:rsidRPr="00E44F56" w:rsidRDefault="00E44F56">
            <w:pPr>
              <w:rPr>
                <w:rFonts w:ascii="Arial" w:hAnsi="Arial" w:cs="Arial"/>
                <w:sz w:val="24"/>
                <w:szCs w:val="24"/>
              </w:rPr>
            </w:pPr>
            <w:r w:rsidRPr="00E44F56">
              <w:rPr>
                <w:rFonts w:ascii="Arial" w:hAnsi="Arial" w:cs="Arial"/>
                <w:sz w:val="24"/>
                <w:szCs w:val="24"/>
              </w:rPr>
              <w:t xml:space="preserve">Performance measure </w:t>
            </w:r>
          </w:p>
        </w:tc>
        <w:tc>
          <w:tcPr>
            <w:tcW w:w="2149" w:type="dxa"/>
          </w:tcPr>
          <w:p w:rsidR="00E44F56" w:rsidRPr="00E44F56" w:rsidRDefault="00E44F56">
            <w:pPr>
              <w:rPr>
                <w:rFonts w:ascii="Arial" w:hAnsi="Arial" w:cs="Arial"/>
                <w:sz w:val="24"/>
                <w:szCs w:val="24"/>
              </w:rPr>
            </w:pPr>
            <w:r w:rsidRPr="00E44F56">
              <w:rPr>
                <w:rFonts w:ascii="Arial" w:hAnsi="Arial" w:cs="Arial"/>
                <w:sz w:val="24"/>
                <w:szCs w:val="24"/>
              </w:rPr>
              <w:t xml:space="preserve">Proposal </w:t>
            </w:r>
          </w:p>
        </w:tc>
        <w:tc>
          <w:tcPr>
            <w:tcW w:w="2550" w:type="dxa"/>
          </w:tcPr>
          <w:p w:rsidR="00E44F56" w:rsidRPr="00E44F56" w:rsidRDefault="00E44F56">
            <w:pPr>
              <w:rPr>
                <w:rFonts w:ascii="Arial" w:hAnsi="Arial" w:cs="Arial"/>
              </w:rPr>
            </w:pPr>
            <w:r w:rsidRPr="00E44F56">
              <w:rPr>
                <w:rFonts w:ascii="Arial" w:hAnsi="Arial" w:cs="Arial"/>
              </w:rPr>
              <w:t xml:space="preserve">Comment </w:t>
            </w:r>
          </w:p>
        </w:tc>
        <w:tc>
          <w:tcPr>
            <w:tcW w:w="2380" w:type="dxa"/>
          </w:tcPr>
          <w:p w:rsidR="00E44F56" w:rsidRPr="00E44F56" w:rsidRDefault="00E44F56">
            <w:pPr>
              <w:rPr>
                <w:rFonts w:ascii="Arial" w:hAnsi="Arial" w:cs="Arial"/>
              </w:rPr>
            </w:pPr>
            <w:r>
              <w:rPr>
                <w:rFonts w:ascii="Arial" w:hAnsi="Arial" w:cs="Arial"/>
              </w:rPr>
              <w:t xml:space="preserve">Recommendation </w:t>
            </w:r>
          </w:p>
        </w:tc>
      </w:tr>
      <w:tr w:rsidR="00E44F56" w:rsidTr="00E44F56">
        <w:tc>
          <w:tcPr>
            <w:tcW w:w="2497" w:type="dxa"/>
          </w:tcPr>
          <w:p w:rsidR="00E44F56" w:rsidRPr="00E44F56" w:rsidRDefault="00E44F56" w:rsidP="00E44F56">
            <w:pPr>
              <w:pStyle w:val="ListParagraph"/>
              <w:numPr>
                <w:ilvl w:val="0"/>
                <w:numId w:val="4"/>
              </w:numPr>
              <w:rPr>
                <w:rFonts w:ascii="Arial" w:hAnsi="Arial" w:cs="Arial"/>
                <w:sz w:val="24"/>
                <w:szCs w:val="24"/>
              </w:rPr>
            </w:pPr>
            <w:r w:rsidRPr="00E44F56">
              <w:rPr>
                <w:rFonts w:ascii="Arial" w:hAnsi="Arial" w:cs="Arial"/>
                <w:sz w:val="24"/>
                <w:szCs w:val="24"/>
              </w:rPr>
              <w:t xml:space="preserve">Angular plane </w:t>
            </w:r>
          </w:p>
        </w:tc>
        <w:tc>
          <w:tcPr>
            <w:tcW w:w="2149" w:type="dxa"/>
          </w:tcPr>
          <w:p w:rsidR="00E44F56" w:rsidRPr="00E44F56" w:rsidRDefault="00E44F56" w:rsidP="00E44F56">
            <w:pPr>
              <w:rPr>
                <w:rFonts w:ascii="Arial" w:hAnsi="Arial" w:cs="Arial"/>
                <w:sz w:val="24"/>
                <w:szCs w:val="24"/>
              </w:rPr>
            </w:pPr>
            <w:r w:rsidRPr="00E44F56">
              <w:rPr>
                <w:rFonts w:ascii="Arial" w:hAnsi="Arial" w:cs="Arial"/>
                <w:sz w:val="24"/>
                <w:szCs w:val="24"/>
              </w:rPr>
              <w:t>Override all angular plane requirements in zoning bylaws for buildings with ARUs</w:t>
            </w:r>
          </w:p>
        </w:tc>
        <w:tc>
          <w:tcPr>
            <w:tcW w:w="2550" w:type="dxa"/>
          </w:tcPr>
          <w:p w:rsidR="00E44F56" w:rsidRPr="00E44F56" w:rsidRDefault="00E44F56" w:rsidP="00E44F56">
            <w:pPr>
              <w:rPr>
                <w:rFonts w:ascii="Arial" w:hAnsi="Arial" w:cs="Arial"/>
                <w:sz w:val="24"/>
                <w:szCs w:val="24"/>
              </w:rPr>
            </w:pPr>
            <w:r>
              <w:rPr>
                <w:rFonts w:ascii="Arial" w:hAnsi="Arial" w:cs="Arial"/>
                <w:sz w:val="24"/>
                <w:szCs w:val="24"/>
              </w:rPr>
              <w:t>Intent of a</w:t>
            </w:r>
            <w:r w:rsidRPr="00E44F56">
              <w:rPr>
                <w:rFonts w:ascii="Arial" w:hAnsi="Arial" w:cs="Arial"/>
                <w:sz w:val="24"/>
                <w:szCs w:val="24"/>
              </w:rPr>
              <w:t xml:space="preserve">ngular plane </w:t>
            </w:r>
            <w:r>
              <w:rPr>
                <w:rFonts w:ascii="Arial" w:hAnsi="Arial" w:cs="Arial"/>
                <w:sz w:val="24"/>
                <w:szCs w:val="24"/>
              </w:rPr>
              <w:t xml:space="preserve">is reduce </w:t>
            </w:r>
            <w:r w:rsidRPr="00E44F56">
              <w:rPr>
                <w:rFonts w:ascii="Arial" w:hAnsi="Arial" w:cs="Arial"/>
                <w:sz w:val="24"/>
                <w:szCs w:val="24"/>
              </w:rPr>
              <w:t xml:space="preserve">the shadowing impacts of a building </w:t>
            </w:r>
            <w:r>
              <w:rPr>
                <w:rFonts w:ascii="Arial" w:hAnsi="Arial" w:cs="Arial"/>
                <w:sz w:val="24"/>
                <w:szCs w:val="24"/>
              </w:rPr>
              <w:t xml:space="preserve"> and is appropriately applied to buildings regardless of whether they have ARUs </w:t>
            </w:r>
          </w:p>
        </w:tc>
        <w:tc>
          <w:tcPr>
            <w:tcW w:w="2380" w:type="dxa"/>
          </w:tcPr>
          <w:p w:rsidR="00E44F56" w:rsidRPr="00E44F56" w:rsidRDefault="00E44F56" w:rsidP="00E44F56">
            <w:pPr>
              <w:rPr>
                <w:rFonts w:ascii="Arial" w:hAnsi="Arial" w:cs="Arial"/>
                <w:sz w:val="24"/>
                <w:szCs w:val="24"/>
              </w:rPr>
            </w:pPr>
            <w:r w:rsidRPr="00E44F56">
              <w:rPr>
                <w:rFonts w:ascii="Arial" w:hAnsi="Arial" w:cs="Arial"/>
                <w:sz w:val="24"/>
                <w:szCs w:val="24"/>
              </w:rPr>
              <w:t xml:space="preserve">Oppose </w:t>
            </w:r>
          </w:p>
        </w:tc>
      </w:tr>
      <w:tr w:rsidR="00E44F56" w:rsidTr="00E44F56">
        <w:tc>
          <w:tcPr>
            <w:tcW w:w="2497" w:type="dxa"/>
          </w:tcPr>
          <w:p w:rsidR="00E44F56" w:rsidRPr="00E44F56" w:rsidRDefault="00E44F56" w:rsidP="00E44F56">
            <w:pPr>
              <w:pStyle w:val="ListParagraph"/>
              <w:numPr>
                <w:ilvl w:val="0"/>
                <w:numId w:val="4"/>
              </w:numPr>
              <w:rPr>
                <w:rFonts w:ascii="Arial" w:hAnsi="Arial" w:cs="Arial"/>
                <w:sz w:val="24"/>
                <w:szCs w:val="24"/>
              </w:rPr>
            </w:pPr>
            <w:r w:rsidRPr="00E44F56">
              <w:rPr>
                <w:rFonts w:ascii="Arial" w:hAnsi="Arial" w:cs="Arial"/>
                <w:sz w:val="24"/>
                <w:szCs w:val="24"/>
              </w:rPr>
              <w:t xml:space="preserve">Maximum lot coverage  </w:t>
            </w:r>
          </w:p>
        </w:tc>
        <w:tc>
          <w:tcPr>
            <w:tcW w:w="2149" w:type="dxa"/>
          </w:tcPr>
          <w:p w:rsidR="00E44F56" w:rsidRPr="00E44F56" w:rsidRDefault="00E44F56" w:rsidP="00E44F56">
            <w:pPr>
              <w:rPr>
                <w:rFonts w:ascii="Arial" w:hAnsi="Arial" w:cs="Arial"/>
                <w:sz w:val="24"/>
                <w:szCs w:val="24"/>
              </w:rPr>
            </w:pPr>
            <w:r w:rsidRPr="00E44F56">
              <w:rPr>
                <w:rFonts w:ascii="Arial" w:hAnsi="Arial" w:cs="Arial"/>
                <w:sz w:val="24"/>
                <w:szCs w:val="24"/>
              </w:rPr>
              <w:t xml:space="preserve">Allow at least 45% lot coverage for all buildings and structures on parcels with ARUs </w:t>
            </w:r>
          </w:p>
        </w:tc>
        <w:tc>
          <w:tcPr>
            <w:tcW w:w="2550" w:type="dxa"/>
          </w:tcPr>
          <w:p w:rsidR="00E44F56" w:rsidRDefault="00E44F56" w:rsidP="00E44F56">
            <w:pPr>
              <w:rPr>
                <w:rFonts w:ascii="Arial" w:hAnsi="Arial" w:cs="Arial"/>
                <w:sz w:val="24"/>
                <w:szCs w:val="24"/>
              </w:rPr>
            </w:pPr>
            <w:r>
              <w:rPr>
                <w:rFonts w:ascii="Arial" w:hAnsi="Arial" w:cs="Arial"/>
                <w:sz w:val="24"/>
                <w:szCs w:val="24"/>
              </w:rPr>
              <w:t xml:space="preserve">There is no argument   for an increase in the case of a basement apartment </w:t>
            </w:r>
          </w:p>
          <w:p w:rsidR="00E44F56" w:rsidRPr="00E44F56" w:rsidRDefault="00E44F56" w:rsidP="00E44F56">
            <w:pPr>
              <w:rPr>
                <w:rFonts w:ascii="Arial" w:hAnsi="Arial" w:cs="Arial"/>
                <w:sz w:val="24"/>
                <w:szCs w:val="24"/>
              </w:rPr>
            </w:pPr>
            <w:r>
              <w:rPr>
                <w:rFonts w:ascii="Arial" w:hAnsi="Arial" w:cs="Arial"/>
                <w:sz w:val="24"/>
                <w:szCs w:val="24"/>
              </w:rPr>
              <w:t xml:space="preserve">“At least” is “fuzzy” and inappropriate language </w:t>
            </w:r>
          </w:p>
        </w:tc>
        <w:tc>
          <w:tcPr>
            <w:tcW w:w="2380" w:type="dxa"/>
          </w:tcPr>
          <w:p w:rsidR="00E44F56" w:rsidRPr="00E44F56" w:rsidRDefault="00E44F56" w:rsidP="00E44F56">
            <w:pPr>
              <w:rPr>
                <w:rFonts w:ascii="Arial" w:hAnsi="Arial" w:cs="Arial"/>
                <w:sz w:val="24"/>
                <w:szCs w:val="24"/>
              </w:rPr>
            </w:pPr>
            <w:r>
              <w:rPr>
                <w:rFonts w:ascii="Arial" w:hAnsi="Arial" w:cs="Arial"/>
                <w:sz w:val="24"/>
                <w:szCs w:val="24"/>
              </w:rPr>
              <w:t xml:space="preserve">Oppose. A more rational basis would be to allow 10% additional lot coverage (for example 0.7 instead of 0.6)  above the regulated FSI for a laneway suite or garden suite - but not basement suite </w:t>
            </w:r>
          </w:p>
        </w:tc>
      </w:tr>
      <w:tr w:rsidR="00E44F56" w:rsidTr="00E44F56">
        <w:tc>
          <w:tcPr>
            <w:tcW w:w="2497" w:type="dxa"/>
          </w:tcPr>
          <w:p w:rsidR="00E44F56" w:rsidRPr="00E44F56" w:rsidRDefault="00E44F56" w:rsidP="00E44F56">
            <w:pPr>
              <w:pStyle w:val="ListParagraph"/>
              <w:numPr>
                <w:ilvl w:val="0"/>
                <w:numId w:val="4"/>
              </w:numPr>
              <w:rPr>
                <w:rFonts w:ascii="Arial" w:hAnsi="Arial" w:cs="Arial"/>
                <w:sz w:val="24"/>
                <w:szCs w:val="24"/>
              </w:rPr>
            </w:pPr>
            <w:r w:rsidRPr="00E44F56">
              <w:rPr>
                <w:rFonts w:ascii="Arial" w:hAnsi="Arial" w:cs="Arial"/>
                <w:sz w:val="24"/>
                <w:szCs w:val="24"/>
              </w:rPr>
              <w:t xml:space="preserve">Floor Space Index (FSI) </w:t>
            </w:r>
          </w:p>
        </w:tc>
        <w:tc>
          <w:tcPr>
            <w:tcW w:w="2149" w:type="dxa"/>
          </w:tcPr>
          <w:p w:rsidR="00E44F56" w:rsidRPr="00E44F56" w:rsidRDefault="00E44F56" w:rsidP="00E44F56">
            <w:pPr>
              <w:rPr>
                <w:rFonts w:ascii="Arial" w:hAnsi="Arial" w:cs="Arial"/>
                <w:sz w:val="24"/>
                <w:szCs w:val="24"/>
              </w:rPr>
            </w:pPr>
            <w:r w:rsidRPr="00E44F56">
              <w:rPr>
                <w:rFonts w:ascii="Arial" w:hAnsi="Arial" w:cs="Arial"/>
                <w:sz w:val="24"/>
                <w:szCs w:val="24"/>
              </w:rPr>
              <w:t xml:space="preserve">Override all FSI requirements in zoning bylaws that apply to parcels with ARUs </w:t>
            </w:r>
          </w:p>
        </w:tc>
        <w:tc>
          <w:tcPr>
            <w:tcW w:w="2550" w:type="dxa"/>
          </w:tcPr>
          <w:p w:rsidR="00E44F56" w:rsidRPr="00E44F56" w:rsidRDefault="00E44F56" w:rsidP="00E44F56">
            <w:pPr>
              <w:rPr>
                <w:rFonts w:ascii="Arial" w:hAnsi="Arial" w:cs="Arial"/>
                <w:sz w:val="24"/>
                <w:szCs w:val="24"/>
              </w:rPr>
            </w:pPr>
            <w:r>
              <w:rPr>
                <w:rFonts w:ascii="Arial" w:hAnsi="Arial" w:cs="Arial"/>
                <w:sz w:val="24"/>
                <w:szCs w:val="24"/>
              </w:rPr>
              <w:t>FSI measures density and needs to be maintained in all building types. As in (2) there is no argument for an increase in the case of a basement apartment</w:t>
            </w:r>
          </w:p>
        </w:tc>
        <w:tc>
          <w:tcPr>
            <w:tcW w:w="2380" w:type="dxa"/>
          </w:tcPr>
          <w:p w:rsidR="00E44F56" w:rsidRPr="00E44F56" w:rsidRDefault="00E44F56">
            <w:pPr>
              <w:rPr>
                <w:rFonts w:ascii="Arial" w:hAnsi="Arial" w:cs="Arial"/>
                <w:sz w:val="24"/>
                <w:szCs w:val="24"/>
              </w:rPr>
            </w:pPr>
            <w:r>
              <w:rPr>
                <w:rFonts w:ascii="Arial" w:hAnsi="Arial" w:cs="Arial"/>
                <w:sz w:val="24"/>
                <w:szCs w:val="24"/>
              </w:rPr>
              <w:t xml:space="preserve">Oppose </w:t>
            </w:r>
          </w:p>
        </w:tc>
      </w:tr>
      <w:tr w:rsidR="00E44F56" w:rsidTr="00E44F56">
        <w:tc>
          <w:tcPr>
            <w:tcW w:w="2497" w:type="dxa"/>
          </w:tcPr>
          <w:p w:rsidR="00E44F56" w:rsidRPr="00E44F56" w:rsidRDefault="00E44F56" w:rsidP="00E44F56">
            <w:pPr>
              <w:pStyle w:val="ListParagraph"/>
              <w:numPr>
                <w:ilvl w:val="0"/>
                <w:numId w:val="4"/>
              </w:numPr>
              <w:rPr>
                <w:rFonts w:ascii="Arial" w:hAnsi="Arial" w:cs="Arial"/>
                <w:sz w:val="24"/>
                <w:szCs w:val="24"/>
              </w:rPr>
            </w:pPr>
            <w:r w:rsidRPr="00E44F56">
              <w:rPr>
                <w:rFonts w:ascii="Arial" w:hAnsi="Arial" w:cs="Arial"/>
                <w:sz w:val="24"/>
                <w:szCs w:val="24"/>
              </w:rPr>
              <w:t>Minimum Lot Size</w:t>
            </w:r>
          </w:p>
          <w:p w:rsidR="00E44F56" w:rsidRPr="00E44F56" w:rsidRDefault="00E44F56" w:rsidP="00E44F56">
            <w:pPr>
              <w:ind w:left="360"/>
              <w:rPr>
                <w:rFonts w:ascii="Arial" w:hAnsi="Arial" w:cs="Arial"/>
                <w:sz w:val="24"/>
                <w:szCs w:val="24"/>
              </w:rPr>
            </w:pPr>
          </w:p>
        </w:tc>
        <w:tc>
          <w:tcPr>
            <w:tcW w:w="2149" w:type="dxa"/>
          </w:tcPr>
          <w:p w:rsidR="00E44F56" w:rsidRPr="00E44F56" w:rsidRDefault="00E44F56" w:rsidP="00E44F56">
            <w:pPr>
              <w:rPr>
                <w:rFonts w:ascii="Arial" w:hAnsi="Arial" w:cs="Arial"/>
                <w:sz w:val="24"/>
                <w:szCs w:val="24"/>
              </w:rPr>
            </w:pPr>
            <w:r w:rsidRPr="00E44F56">
              <w:rPr>
                <w:rFonts w:ascii="Arial" w:hAnsi="Arial" w:cs="Arial"/>
                <w:sz w:val="24"/>
                <w:szCs w:val="24"/>
              </w:rPr>
              <w:t xml:space="preserve">Override all minimum lot size/area requirements that are specific to parcels with ARUs </w:t>
            </w:r>
          </w:p>
        </w:tc>
        <w:tc>
          <w:tcPr>
            <w:tcW w:w="2550" w:type="dxa"/>
          </w:tcPr>
          <w:p w:rsidR="00E44F56" w:rsidRPr="00E44F56" w:rsidRDefault="00E44F56" w:rsidP="00E44F56">
            <w:pPr>
              <w:rPr>
                <w:rFonts w:ascii="Arial" w:hAnsi="Arial" w:cs="Arial"/>
                <w:sz w:val="24"/>
                <w:szCs w:val="24"/>
              </w:rPr>
            </w:pPr>
            <w:r>
              <w:rPr>
                <w:rFonts w:ascii="Arial" w:hAnsi="Arial" w:cs="Arial"/>
                <w:sz w:val="24"/>
                <w:szCs w:val="24"/>
              </w:rPr>
              <w:t xml:space="preserve">No argument to make an exception for this </w:t>
            </w:r>
            <w:proofErr w:type="spellStart"/>
            <w:r>
              <w:rPr>
                <w:rFonts w:ascii="Arial" w:hAnsi="Arial" w:cs="Arial"/>
                <w:sz w:val="24"/>
                <w:szCs w:val="24"/>
              </w:rPr>
              <w:t>i</w:t>
            </w:r>
            <w:proofErr w:type="spellEnd"/>
            <w:r>
              <w:rPr>
                <w:rFonts w:ascii="Arial" w:hAnsi="Arial" w:cs="Arial"/>
                <w:sz w:val="24"/>
                <w:szCs w:val="24"/>
              </w:rPr>
              <w:t xml:space="preserve">  </w:t>
            </w:r>
          </w:p>
        </w:tc>
        <w:tc>
          <w:tcPr>
            <w:tcW w:w="2380" w:type="dxa"/>
          </w:tcPr>
          <w:p w:rsidR="00E44F56" w:rsidRPr="00E44F56" w:rsidRDefault="00E44F56">
            <w:pPr>
              <w:rPr>
                <w:rFonts w:ascii="Arial" w:hAnsi="Arial" w:cs="Arial"/>
                <w:sz w:val="24"/>
                <w:szCs w:val="24"/>
              </w:rPr>
            </w:pPr>
            <w:r>
              <w:rPr>
                <w:rFonts w:ascii="Arial" w:hAnsi="Arial" w:cs="Arial"/>
                <w:sz w:val="24"/>
                <w:szCs w:val="24"/>
              </w:rPr>
              <w:t>Oppose</w:t>
            </w:r>
          </w:p>
        </w:tc>
      </w:tr>
      <w:tr w:rsidR="00E44F56" w:rsidTr="00E44F56">
        <w:tc>
          <w:tcPr>
            <w:tcW w:w="2497" w:type="dxa"/>
          </w:tcPr>
          <w:p w:rsidR="00E44F56" w:rsidRPr="00E44F56" w:rsidRDefault="00E44F56" w:rsidP="00E44F56">
            <w:pPr>
              <w:pStyle w:val="ListParagraph"/>
              <w:numPr>
                <w:ilvl w:val="0"/>
                <w:numId w:val="4"/>
              </w:numPr>
              <w:rPr>
                <w:rFonts w:ascii="Arial" w:hAnsi="Arial" w:cs="Arial"/>
                <w:sz w:val="24"/>
                <w:szCs w:val="24"/>
              </w:rPr>
            </w:pPr>
            <w:r w:rsidRPr="00E44F56">
              <w:rPr>
                <w:rFonts w:ascii="Arial" w:hAnsi="Arial" w:cs="Arial"/>
                <w:sz w:val="24"/>
                <w:szCs w:val="24"/>
              </w:rPr>
              <w:t xml:space="preserve">Building Distance separation </w:t>
            </w:r>
          </w:p>
        </w:tc>
        <w:tc>
          <w:tcPr>
            <w:tcW w:w="2149" w:type="dxa"/>
          </w:tcPr>
          <w:p w:rsidR="00E44F56" w:rsidRPr="00E44F56" w:rsidRDefault="00E44F56" w:rsidP="00E44F56">
            <w:pPr>
              <w:rPr>
                <w:rFonts w:ascii="Arial" w:hAnsi="Arial" w:cs="Arial"/>
                <w:sz w:val="24"/>
                <w:szCs w:val="24"/>
              </w:rPr>
            </w:pPr>
            <w:r w:rsidRPr="00E44F56">
              <w:rPr>
                <w:rFonts w:ascii="Arial" w:hAnsi="Arial" w:cs="Arial"/>
                <w:sz w:val="24"/>
                <w:szCs w:val="24"/>
              </w:rPr>
              <w:t xml:space="preserve">Restrict building distance separation requirements associated with any building containing ARUs to a maximum of 4 metres </w:t>
            </w:r>
          </w:p>
        </w:tc>
        <w:tc>
          <w:tcPr>
            <w:tcW w:w="2550" w:type="dxa"/>
          </w:tcPr>
          <w:p w:rsidR="00E44F56" w:rsidRDefault="00E44F56" w:rsidP="00E44F56">
            <w:pPr>
              <w:rPr>
                <w:rFonts w:ascii="Arial" w:hAnsi="Arial" w:cs="Arial"/>
                <w:sz w:val="24"/>
                <w:szCs w:val="24"/>
              </w:rPr>
            </w:pPr>
            <w:r>
              <w:rPr>
                <w:rFonts w:ascii="Arial" w:hAnsi="Arial" w:cs="Arial"/>
                <w:sz w:val="24"/>
                <w:szCs w:val="24"/>
              </w:rPr>
              <w:t>Stating a specific distance reflects a remarkable level of micro-</w:t>
            </w:r>
            <w:proofErr w:type="gramStart"/>
            <w:r>
              <w:rPr>
                <w:rFonts w:ascii="Arial" w:hAnsi="Arial" w:cs="Arial"/>
                <w:sz w:val="24"/>
                <w:szCs w:val="24"/>
              </w:rPr>
              <w:t>management .</w:t>
            </w:r>
            <w:proofErr w:type="gramEnd"/>
            <w:r>
              <w:rPr>
                <w:rFonts w:ascii="Arial" w:hAnsi="Arial" w:cs="Arial"/>
                <w:sz w:val="24"/>
                <w:szCs w:val="24"/>
              </w:rPr>
              <w:t xml:space="preserve"> </w:t>
            </w:r>
          </w:p>
          <w:p w:rsidR="00E44F56" w:rsidRPr="00E44F56" w:rsidRDefault="00E44F56" w:rsidP="00E44F56">
            <w:pPr>
              <w:rPr>
                <w:rFonts w:ascii="Arial" w:hAnsi="Arial" w:cs="Arial"/>
                <w:sz w:val="24"/>
                <w:szCs w:val="24"/>
              </w:rPr>
            </w:pPr>
            <w:r>
              <w:rPr>
                <w:rFonts w:ascii="Arial" w:hAnsi="Arial" w:cs="Arial"/>
                <w:sz w:val="24"/>
                <w:szCs w:val="24"/>
              </w:rPr>
              <w:t xml:space="preserve">A better approach would be to base it on lot size not on especially in view of #4 which removes minimum lot size </w:t>
            </w:r>
          </w:p>
        </w:tc>
        <w:tc>
          <w:tcPr>
            <w:tcW w:w="2380" w:type="dxa"/>
          </w:tcPr>
          <w:p w:rsidR="00E44F56" w:rsidRPr="00E44F56" w:rsidRDefault="00E44F56">
            <w:pPr>
              <w:rPr>
                <w:rFonts w:ascii="Arial" w:hAnsi="Arial" w:cs="Arial"/>
                <w:sz w:val="24"/>
                <w:szCs w:val="24"/>
              </w:rPr>
            </w:pPr>
            <w:r>
              <w:rPr>
                <w:rFonts w:ascii="Arial" w:hAnsi="Arial" w:cs="Arial"/>
                <w:sz w:val="24"/>
                <w:szCs w:val="24"/>
              </w:rPr>
              <w:t xml:space="preserve">Oppose </w:t>
            </w:r>
          </w:p>
        </w:tc>
      </w:tr>
    </w:tbl>
    <w:p w:rsidR="006E4818" w:rsidRDefault="006E4818"/>
    <w:p w:rsidR="00E44F56" w:rsidRDefault="00E44F56"/>
    <w:p w:rsidR="00E44F56" w:rsidRDefault="00E44F56"/>
    <w:p w:rsidR="00E44F56" w:rsidRDefault="00E44F56"/>
    <w:sectPr w:rsidR="00E44F56" w:rsidSect="0080743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031B5"/>
    <w:multiLevelType w:val="hybridMultilevel"/>
    <w:tmpl w:val="6FAC7D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37C7EC6"/>
    <w:multiLevelType w:val="hybridMultilevel"/>
    <w:tmpl w:val="D9FAF4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1307D3B"/>
    <w:multiLevelType w:val="hybridMultilevel"/>
    <w:tmpl w:val="C5C006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75C48AE"/>
    <w:multiLevelType w:val="hybridMultilevel"/>
    <w:tmpl w:val="FBEACACE"/>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6E4818"/>
    <w:rsid w:val="006E4818"/>
    <w:rsid w:val="00807435"/>
    <w:rsid w:val="00E44F5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E4818"/>
    <w:rPr>
      <w:b/>
      <w:bCs/>
    </w:rPr>
  </w:style>
  <w:style w:type="character" w:styleId="Hyperlink">
    <w:name w:val="Hyperlink"/>
    <w:basedOn w:val="DefaultParagraphFont"/>
    <w:uiPriority w:val="99"/>
    <w:semiHidden/>
    <w:unhideWhenUsed/>
    <w:rsid w:val="006E4818"/>
    <w:rPr>
      <w:color w:val="0000FF"/>
      <w:u w:val="single"/>
    </w:rPr>
  </w:style>
  <w:style w:type="character" w:customStyle="1" w:styleId="hgkelc">
    <w:name w:val="hgkelc"/>
    <w:basedOn w:val="DefaultParagraphFont"/>
    <w:rsid w:val="00E44F56"/>
  </w:style>
  <w:style w:type="paragraph" w:styleId="ListParagraph">
    <w:name w:val="List Paragraph"/>
    <w:basedOn w:val="Normal"/>
    <w:uiPriority w:val="34"/>
    <w:qFormat/>
    <w:rsid w:val="00E44F56"/>
    <w:pPr>
      <w:ind w:left="720"/>
      <w:contextualSpacing/>
    </w:pPr>
  </w:style>
  <w:style w:type="table" w:styleId="TableGrid">
    <w:name w:val="Table Grid"/>
    <w:basedOn w:val="TableNormal"/>
    <w:uiPriority w:val="59"/>
    <w:rsid w:val="00E44F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95279165">
      <w:bodyDiv w:val="1"/>
      <w:marLeft w:val="0"/>
      <w:marRight w:val="0"/>
      <w:marTop w:val="0"/>
      <w:marBottom w:val="0"/>
      <w:divBdr>
        <w:top w:val="none" w:sz="0" w:space="0" w:color="auto"/>
        <w:left w:val="none" w:sz="0" w:space="0" w:color="auto"/>
        <w:bottom w:val="none" w:sz="0" w:space="0" w:color="auto"/>
        <w:right w:val="none" w:sz="0" w:space="0" w:color="auto"/>
      </w:divBdr>
      <w:divsChild>
        <w:div w:id="134835810">
          <w:marLeft w:val="0"/>
          <w:marRight w:val="0"/>
          <w:marTop w:val="0"/>
          <w:marBottom w:val="0"/>
          <w:divBdr>
            <w:top w:val="none" w:sz="0" w:space="0" w:color="auto"/>
            <w:left w:val="none" w:sz="0" w:space="0" w:color="auto"/>
            <w:bottom w:val="none" w:sz="0" w:space="0" w:color="auto"/>
            <w:right w:val="none" w:sz="0" w:space="0" w:color="auto"/>
          </w:divBdr>
        </w:div>
        <w:div w:id="373581486">
          <w:marLeft w:val="0"/>
          <w:marRight w:val="0"/>
          <w:marTop w:val="0"/>
          <w:marBottom w:val="0"/>
          <w:divBdr>
            <w:top w:val="none" w:sz="0" w:space="0" w:color="auto"/>
            <w:left w:val="none" w:sz="0" w:space="0" w:color="auto"/>
            <w:bottom w:val="none" w:sz="0" w:space="0" w:color="auto"/>
            <w:right w:val="none" w:sz="0" w:space="0" w:color="auto"/>
          </w:divBdr>
        </w:div>
        <w:div w:id="590821902">
          <w:marLeft w:val="0"/>
          <w:marRight w:val="0"/>
          <w:marTop w:val="0"/>
          <w:marBottom w:val="0"/>
          <w:divBdr>
            <w:top w:val="none" w:sz="0" w:space="0" w:color="auto"/>
            <w:left w:val="none" w:sz="0" w:space="0" w:color="auto"/>
            <w:bottom w:val="none" w:sz="0" w:space="0" w:color="auto"/>
            <w:right w:val="none" w:sz="0" w:space="0" w:color="auto"/>
          </w:divBdr>
        </w:div>
        <w:div w:id="890504983">
          <w:marLeft w:val="0"/>
          <w:marRight w:val="0"/>
          <w:marTop w:val="0"/>
          <w:marBottom w:val="0"/>
          <w:divBdr>
            <w:top w:val="none" w:sz="0" w:space="0" w:color="auto"/>
            <w:left w:val="none" w:sz="0" w:space="0" w:color="auto"/>
            <w:bottom w:val="none" w:sz="0" w:space="0" w:color="auto"/>
            <w:right w:val="none" w:sz="0" w:space="0" w:color="auto"/>
          </w:divBdr>
        </w:div>
        <w:div w:id="982002567">
          <w:marLeft w:val="0"/>
          <w:marRight w:val="0"/>
          <w:marTop w:val="0"/>
          <w:marBottom w:val="0"/>
          <w:divBdr>
            <w:top w:val="none" w:sz="0" w:space="0" w:color="auto"/>
            <w:left w:val="none" w:sz="0" w:space="0" w:color="auto"/>
            <w:bottom w:val="none" w:sz="0" w:space="0" w:color="auto"/>
            <w:right w:val="none" w:sz="0" w:space="0" w:color="auto"/>
          </w:divBdr>
        </w:div>
        <w:div w:id="1057633016">
          <w:marLeft w:val="0"/>
          <w:marRight w:val="0"/>
          <w:marTop w:val="0"/>
          <w:marBottom w:val="0"/>
          <w:divBdr>
            <w:top w:val="none" w:sz="0" w:space="0" w:color="auto"/>
            <w:left w:val="none" w:sz="0" w:space="0" w:color="auto"/>
            <w:bottom w:val="none" w:sz="0" w:space="0" w:color="auto"/>
            <w:right w:val="none" w:sz="0" w:space="0" w:color="auto"/>
          </w:divBdr>
        </w:div>
        <w:div w:id="1113861711">
          <w:marLeft w:val="0"/>
          <w:marRight w:val="0"/>
          <w:marTop w:val="0"/>
          <w:marBottom w:val="0"/>
          <w:divBdr>
            <w:top w:val="none" w:sz="0" w:space="0" w:color="auto"/>
            <w:left w:val="none" w:sz="0" w:space="0" w:color="auto"/>
            <w:bottom w:val="none" w:sz="0" w:space="0" w:color="auto"/>
            <w:right w:val="none" w:sz="0" w:space="0" w:color="auto"/>
          </w:divBdr>
        </w:div>
        <w:div w:id="1211184037">
          <w:marLeft w:val="0"/>
          <w:marRight w:val="0"/>
          <w:marTop w:val="0"/>
          <w:marBottom w:val="0"/>
          <w:divBdr>
            <w:top w:val="none" w:sz="0" w:space="0" w:color="auto"/>
            <w:left w:val="none" w:sz="0" w:space="0" w:color="auto"/>
            <w:bottom w:val="none" w:sz="0" w:space="0" w:color="auto"/>
            <w:right w:val="none" w:sz="0" w:space="0" w:color="auto"/>
          </w:divBdr>
        </w:div>
        <w:div w:id="1323267938">
          <w:marLeft w:val="0"/>
          <w:marRight w:val="0"/>
          <w:marTop w:val="0"/>
          <w:marBottom w:val="0"/>
          <w:divBdr>
            <w:top w:val="none" w:sz="0" w:space="0" w:color="auto"/>
            <w:left w:val="none" w:sz="0" w:space="0" w:color="auto"/>
            <w:bottom w:val="none" w:sz="0" w:space="0" w:color="auto"/>
            <w:right w:val="none" w:sz="0" w:space="0" w:color="auto"/>
          </w:divBdr>
        </w:div>
        <w:div w:id="1431851810">
          <w:marLeft w:val="0"/>
          <w:marRight w:val="0"/>
          <w:marTop w:val="0"/>
          <w:marBottom w:val="0"/>
          <w:divBdr>
            <w:top w:val="none" w:sz="0" w:space="0" w:color="auto"/>
            <w:left w:val="none" w:sz="0" w:space="0" w:color="auto"/>
            <w:bottom w:val="none" w:sz="0" w:space="0" w:color="auto"/>
            <w:right w:val="none" w:sz="0" w:space="0" w:color="auto"/>
          </w:divBdr>
        </w:div>
        <w:div w:id="1512258717">
          <w:marLeft w:val="0"/>
          <w:marRight w:val="0"/>
          <w:marTop w:val="0"/>
          <w:marBottom w:val="0"/>
          <w:divBdr>
            <w:top w:val="none" w:sz="0" w:space="0" w:color="auto"/>
            <w:left w:val="none" w:sz="0" w:space="0" w:color="auto"/>
            <w:bottom w:val="none" w:sz="0" w:space="0" w:color="auto"/>
            <w:right w:val="none" w:sz="0" w:space="0" w:color="auto"/>
          </w:divBdr>
        </w:div>
        <w:div w:id="1607467163">
          <w:marLeft w:val="0"/>
          <w:marRight w:val="0"/>
          <w:marTop w:val="0"/>
          <w:marBottom w:val="0"/>
          <w:divBdr>
            <w:top w:val="none" w:sz="0" w:space="0" w:color="auto"/>
            <w:left w:val="none" w:sz="0" w:space="0" w:color="auto"/>
            <w:bottom w:val="none" w:sz="0" w:space="0" w:color="auto"/>
            <w:right w:val="none" w:sz="0" w:space="0" w:color="auto"/>
          </w:divBdr>
        </w:div>
        <w:div w:id="1671983617">
          <w:marLeft w:val="0"/>
          <w:marRight w:val="0"/>
          <w:marTop w:val="0"/>
          <w:marBottom w:val="0"/>
          <w:divBdr>
            <w:top w:val="none" w:sz="0" w:space="0" w:color="auto"/>
            <w:left w:val="none" w:sz="0" w:space="0" w:color="auto"/>
            <w:bottom w:val="none" w:sz="0" w:space="0" w:color="auto"/>
            <w:right w:val="none" w:sz="0" w:space="0" w:color="auto"/>
          </w:divBdr>
        </w:div>
        <w:div w:id="1685083755">
          <w:marLeft w:val="0"/>
          <w:marRight w:val="0"/>
          <w:marTop w:val="0"/>
          <w:marBottom w:val="0"/>
          <w:divBdr>
            <w:top w:val="none" w:sz="0" w:space="0" w:color="auto"/>
            <w:left w:val="none" w:sz="0" w:space="0" w:color="auto"/>
            <w:bottom w:val="none" w:sz="0" w:space="0" w:color="auto"/>
            <w:right w:val="none" w:sz="0" w:space="0" w:color="auto"/>
          </w:divBdr>
        </w:div>
        <w:div w:id="2045985978">
          <w:marLeft w:val="0"/>
          <w:marRight w:val="0"/>
          <w:marTop w:val="0"/>
          <w:marBottom w:val="0"/>
          <w:divBdr>
            <w:top w:val="none" w:sz="0" w:space="0" w:color="auto"/>
            <w:left w:val="none" w:sz="0" w:space="0" w:color="auto"/>
            <w:bottom w:val="none" w:sz="0" w:space="0" w:color="auto"/>
            <w:right w:val="none" w:sz="0" w:space="0" w:color="auto"/>
          </w:divBdr>
        </w:div>
      </w:divsChild>
    </w:div>
    <w:div w:id="165525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Kettel</dc:creator>
  <cp:lastModifiedBy>Geoff Kettel</cp:lastModifiedBy>
  <cp:revision>1</cp:revision>
  <dcterms:created xsi:type="dcterms:W3CDTF">2024-10-22T12:48:00Z</dcterms:created>
  <dcterms:modified xsi:type="dcterms:W3CDTF">2024-10-22T21:57:00Z</dcterms:modified>
</cp:coreProperties>
</file>