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FF5C2" w14:textId="77777777" w:rsidR="008603AC" w:rsidRPr="00D36D94" w:rsidRDefault="008603AC" w:rsidP="00C3495A">
      <w:pPr>
        <w:rPr>
          <w:rFonts w:ascii="Verdana" w:hAnsi="Verdana"/>
          <w:sz w:val="20"/>
          <w:szCs w:val="20"/>
        </w:rPr>
      </w:pPr>
    </w:p>
    <w:p w14:paraId="46C3C7DA" w14:textId="77777777" w:rsidR="008603AC" w:rsidRPr="00D36D94" w:rsidRDefault="008603AC" w:rsidP="00C3495A">
      <w:pPr>
        <w:rPr>
          <w:rFonts w:ascii="Verdana" w:hAnsi="Verdana"/>
          <w:sz w:val="20"/>
          <w:szCs w:val="20"/>
        </w:rPr>
      </w:pPr>
      <w:r w:rsidRPr="00D36D94">
        <w:rPr>
          <w:rFonts w:ascii="Verdana" w:hAnsi="Verdana"/>
          <w:sz w:val="20"/>
          <w:szCs w:val="20"/>
        </w:rPr>
        <w:t>December 13</w:t>
      </w:r>
      <w:r w:rsidRPr="00D36D94">
        <w:rPr>
          <w:rFonts w:ascii="Verdana" w:hAnsi="Verdana"/>
          <w:sz w:val="20"/>
          <w:szCs w:val="20"/>
          <w:vertAlign w:val="superscript"/>
        </w:rPr>
        <w:t>th</w:t>
      </w:r>
      <w:r w:rsidRPr="00D36D94">
        <w:rPr>
          <w:rFonts w:ascii="Verdana" w:hAnsi="Verdana"/>
          <w:sz w:val="20"/>
          <w:szCs w:val="20"/>
        </w:rPr>
        <w:t>, 2024</w:t>
      </w:r>
    </w:p>
    <w:p w14:paraId="5FD6CEC2" w14:textId="77777777" w:rsidR="008603AC" w:rsidRPr="00D36D94" w:rsidRDefault="008603AC" w:rsidP="00C3495A">
      <w:pPr>
        <w:rPr>
          <w:rFonts w:ascii="Verdana" w:hAnsi="Verdana"/>
          <w:sz w:val="20"/>
          <w:szCs w:val="20"/>
        </w:rPr>
      </w:pPr>
    </w:p>
    <w:p w14:paraId="6957A976" w14:textId="52FDEF68" w:rsidR="00EC079C" w:rsidRDefault="00EC079C" w:rsidP="00C3495A">
      <w:pPr>
        <w:rPr>
          <w:rFonts w:ascii="Verdana" w:hAnsi="Verdana"/>
          <w:sz w:val="20"/>
          <w:szCs w:val="20"/>
        </w:rPr>
      </w:pPr>
      <w:r>
        <w:rPr>
          <w:rFonts w:ascii="Verdana" w:hAnsi="Verdana"/>
          <w:sz w:val="20"/>
          <w:szCs w:val="20"/>
        </w:rPr>
        <w:t>Ste</w:t>
      </w:r>
      <w:r w:rsidR="001E31E1">
        <w:rPr>
          <w:rFonts w:ascii="Verdana" w:hAnsi="Verdana"/>
          <w:sz w:val="20"/>
          <w:szCs w:val="20"/>
        </w:rPr>
        <w:t>ph</w:t>
      </w:r>
      <w:r>
        <w:rPr>
          <w:rFonts w:ascii="Verdana" w:hAnsi="Verdana"/>
          <w:sz w:val="20"/>
          <w:szCs w:val="20"/>
        </w:rPr>
        <w:t>en Lecce</w:t>
      </w:r>
    </w:p>
    <w:p w14:paraId="4EC6DD24" w14:textId="714C65D5" w:rsidR="008603AC" w:rsidRPr="00D36D94" w:rsidRDefault="008603AC" w:rsidP="00C3495A">
      <w:pPr>
        <w:rPr>
          <w:rFonts w:ascii="Verdana" w:hAnsi="Verdana"/>
          <w:sz w:val="20"/>
          <w:szCs w:val="20"/>
        </w:rPr>
      </w:pPr>
      <w:r w:rsidRPr="00D36D94">
        <w:rPr>
          <w:rFonts w:ascii="Verdana" w:hAnsi="Verdana"/>
          <w:sz w:val="20"/>
          <w:szCs w:val="20"/>
        </w:rPr>
        <w:t>Minister of Energy</w:t>
      </w:r>
      <w:r w:rsidR="00DB2FD0">
        <w:rPr>
          <w:rFonts w:ascii="Verdana" w:hAnsi="Verdana"/>
          <w:sz w:val="20"/>
          <w:szCs w:val="20"/>
        </w:rPr>
        <w:t xml:space="preserve"> </w:t>
      </w:r>
      <w:r w:rsidR="00EC079C">
        <w:rPr>
          <w:rFonts w:ascii="Verdana" w:hAnsi="Verdana"/>
          <w:sz w:val="20"/>
          <w:szCs w:val="20"/>
        </w:rPr>
        <w:t>and</w:t>
      </w:r>
      <w:r w:rsidR="00DB2FD0">
        <w:rPr>
          <w:rFonts w:ascii="Verdana" w:hAnsi="Verdana"/>
          <w:sz w:val="20"/>
          <w:szCs w:val="20"/>
        </w:rPr>
        <w:t xml:space="preserve"> Electrification</w:t>
      </w:r>
      <w:r w:rsidRPr="00D36D94">
        <w:rPr>
          <w:rFonts w:ascii="Verdana" w:hAnsi="Verdana"/>
          <w:sz w:val="20"/>
          <w:szCs w:val="20"/>
        </w:rPr>
        <w:br/>
        <w:t>Government of Ontario</w:t>
      </w:r>
      <w:r w:rsidRPr="00D36D94">
        <w:rPr>
          <w:rFonts w:ascii="Verdana" w:hAnsi="Verdana"/>
          <w:sz w:val="20"/>
          <w:szCs w:val="20"/>
        </w:rPr>
        <w:br/>
      </w:r>
      <w:r w:rsidR="00A0288A" w:rsidRPr="00A0288A">
        <w:rPr>
          <w:rFonts w:ascii="Verdana" w:hAnsi="Verdana"/>
          <w:sz w:val="20"/>
          <w:szCs w:val="20"/>
        </w:rPr>
        <w:t>77 Grenville Stree</w:t>
      </w:r>
      <w:r w:rsidR="00DB2FD0">
        <w:rPr>
          <w:rFonts w:ascii="Verdana" w:hAnsi="Verdana"/>
          <w:sz w:val="20"/>
          <w:szCs w:val="20"/>
        </w:rPr>
        <w:t>t</w:t>
      </w:r>
      <w:r w:rsidRPr="00D36D94">
        <w:rPr>
          <w:rFonts w:ascii="Verdana" w:hAnsi="Verdana"/>
          <w:sz w:val="20"/>
          <w:szCs w:val="20"/>
        </w:rPr>
        <w:br/>
        <w:t xml:space="preserve">Toronto, </w:t>
      </w:r>
      <w:proofErr w:type="gramStart"/>
      <w:r w:rsidRPr="00D36D94">
        <w:rPr>
          <w:rFonts w:ascii="Verdana" w:hAnsi="Verdana"/>
          <w:sz w:val="20"/>
          <w:szCs w:val="20"/>
        </w:rPr>
        <w:t>Ontario</w:t>
      </w:r>
      <w:r w:rsidR="001E31E1">
        <w:rPr>
          <w:rFonts w:ascii="Verdana" w:hAnsi="Verdana"/>
          <w:sz w:val="20"/>
          <w:szCs w:val="20"/>
        </w:rPr>
        <w:t xml:space="preserve">  </w:t>
      </w:r>
      <w:r w:rsidR="001E31E1" w:rsidRPr="001E31E1">
        <w:rPr>
          <w:rFonts w:ascii="Verdana" w:hAnsi="Verdana"/>
          <w:sz w:val="20"/>
          <w:szCs w:val="20"/>
        </w:rPr>
        <w:t>M</w:t>
      </w:r>
      <w:proofErr w:type="gramEnd"/>
      <w:r w:rsidR="001E31E1" w:rsidRPr="001E31E1">
        <w:rPr>
          <w:rFonts w:ascii="Verdana" w:hAnsi="Verdana"/>
          <w:sz w:val="20"/>
          <w:szCs w:val="20"/>
        </w:rPr>
        <w:t>7A 2C1</w:t>
      </w:r>
    </w:p>
    <w:p w14:paraId="383F2800" w14:textId="77777777" w:rsidR="008603AC" w:rsidRPr="00D36D94" w:rsidRDefault="008603AC" w:rsidP="00C3495A">
      <w:pPr>
        <w:rPr>
          <w:rFonts w:ascii="Verdana" w:hAnsi="Verdana"/>
          <w:b/>
          <w:bCs/>
          <w:sz w:val="20"/>
          <w:szCs w:val="20"/>
        </w:rPr>
      </w:pPr>
    </w:p>
    <w:p w14:paraId="3E1E80CD" w14:textId="1820AAA5" w:rsidR="008603AC" w:rsidRPr="00D36D94" w:rsidRDefault="008603AC" w:rsidP="00C3495A">
      <w:pPr>
        <w:rPr>
          <w:rFonts w:ascii="Verdana" w:hAnsi="Verdana"/>
          <w:sz w:val="20"/>
          <w:szCs w:val="20"/>
        </w:rPr>
      </w:pPr>
      <w:r w:rsidRPr="00D36D94">
        <w:rPr>
          <w:rFonts w:ascii="Verdana" w:hAnsi="Verdana"/>
          <w:b/>
          <w:bCs/>
          <w:sz w:val="20"/>
          <w:szCs w:val="20"/>
        </w:rPr>
        <w:t>Subject:</w:t>
      </w:r>
      <w:r w:rsidRPr="00D36D94">
        <w:rPr>
          <w:rFonts w:ascii="Verdana" w:hAnsi="Verdana"/>
          <w:sz w:val="20"/>
          <w:szCs w:val="20"/>
        </w:rPr>
        <w:t xml:space="preserve"> Recommendations on Ontario's Integrated Energy Resource Plan (ERO 019-9285)</w:t>
      </w:r>
    </w:p>
    <w:p w14:paraId="780CD3B5" w14:textId="77777777" w:rsidR="008603AC" w:rsidRPr="00D36D94" w:rsidRDefault="008603AC" w:rsidP="00C3495A">
      <w:pPr>
        <w:rPr>
          <w:rFonts w:ascii="Verdana" w:hAnsi="Verdana"/>
          <w:sz w:val="20"/>
          <w:szCs w:val="20"/>
        </w:rPr>
      </w:pPr>
    </w:p>
    <w:p w14:paraId="33400054" w14:textId="69EE5A58" w:rsidR="008603AC" w:rsidRPr="00D36D94" w:rsidRDefault="008603AC" w:rsidP="00F97571">
      <w:pPr>
        <w:jc w:val="both"/>
        <w:rPr>
          <w:rFonts w:ascii="Verdana" w:hAnsi="Verdana"/>
          <w:sz w:val="20"/>
          <w:szCs w:val="20"/>
        </w:rPr>
      </w:pPr>
      <w:r w:rsidRPr="00D36D94">
        <w:rPr>
          <w:rFonts w:ascii="Verdana" w:hAnsi="Verdana"/>
          <w:sz w:val="20"/>
          <w:szCs w:val="20"/>
        </w:rPr>
        <w:t>Dear Minister,</w:t>
      </w:r>
    </w:p>
    <w:p w14:paraId="12AAC89A" w14:textId="77777777" w:rsidR="008603AC" w:rsidRPr="00D36D94" w:rsidRDefault="008603AC" w:rsidP="00F97571">
      <w:pPr>
        <w:jc w:val="both"/>
        <w:rPr>
          <w:rFonts w:ascii="Verdana" w:hAnsi="Verdana"/>
          <w:sz w:val="20"/>
          <w:szCs w:val="20"/>
        </w:rPr>
      </w:pPr>
    </w:p>
    <w:p w14:paraId="2BD94C1D" w14:textId="6A0F9187" w:rsidR="00B1646C" w:rsidRDefault="008603AC" w:rsidP="00F97571">
      <w:pPr>
        <w:jc w:val="both"/>
        <w:rPr>
          <w:rFonts w:ascii="Verdana" w:hAnsi="Verdana"/>
          <w:sz w:val="20"/>
          <w:szCs w:val="20"/>
        </w:rPr>
      </w:pPr>
      <w:r w:rsidRPr="00D36D94">
        <w:rPr>
          <w:rFonts w:ascii="Verdana" w:hAnsi="Verdana"/>
          <w:sz w:val="20"/>
          <w:szCs w:val="20"/>
        </w:rPr>
        <w:t xml:space="preserve">On behalf of REALPAC, representing </w:t>
      </w:r>
      <w:r w:rsidR="003D0C2B">
        <w:rPr>
          <w:rFonts w:ascii="Verdana" w:hAnsi="Verdana"/>
          <w:sz w:val="20"/>
          <w:szCs w:val="20"/>
        </w:rPr>
        <w:t xml:space="preserve">commercial real estate </w:t>
      </w:r>
      <w:r w:rsidR="008B1B6E">
        <w:rPr>
          <w:rFonts w:ascii="Verdana" w:hAnsi="Verdana"/>
          <w:sz w:val="20"/>
          <w:szCs w:val="20"/>
        </w:rPr>
        <w:t>investors and owners</w:t>
      </w:r>
      <w:r w:rsidR="00C9380F">
        <w:rPr>
          <w:rFonts w:ascii="Verdana" w:hAnsi="Verdana"/>
          <w:sz w:val="20"/>
          <w:szCs w:val="20"/>
        </w:rPr>
        <w:t xml:space="preserve"> </w:t>
      </w:r>
      <w:r w:rsidR="001A376C">
        <w:rPr>
          <w:rFonts w:ascii="Verdana" w:hAnsi="Verdana"/>
          <w:sz w:val="20"/>
          <w:szCs w:val="20"/>
        </w:rPr>
        <w:t>with over $400</w:t>
      </w:r>
      <w:r w:rsidR="0015752D">
        <w:rPr>
          <w:rFonts w:ascii="Verdana" w:hAnsi="Verdana"/>
          <w:sz w:val="20"/>
          <w:szCs w:val="20"/>
        </w:rPr>
        <w:t xml:space="preserve"> billion</w:t>
      </w:r>
      <w:r w:rsidR="001A376C">
        <w:rPr>
          <w:rFonts w:ascii="Verdana" w:hAnsi="Verdana"/>
          <w:sz w:val="20"/>
          <w:szCs w:val="20"/>
        </w:rPr>
        <w:t xml:space="preserve"> in assets under </w:t>
      </w:r>
      <w:r w:rsidR="001D4D8F">
        <w:rPr>
          <w:rFonts w:ascii="Verdana" w:hAnsi="Verdana"/>
          <w:sz w:val="20"/>
          <w:szCs w:val="20"/>
        </w:rPr>
        <w:t>management</w:t>
      </w:r>
      <w:r w:rsidR="00032086">
        <w:rPr>
          <w:rFonts w:ascii="Verdana" w:hAnsi="Verdana"/>
          <w:sz w:val="20"/>
          <w:szCs w:val="20"/>
        </w:rPr>
        <w:t xml:space="preserve"> in Ontario</w:t>
      </w:r>
      <w:r w:rsidRPr="00D36D94">
        <w:rPr>
          <w:rFonts w:ascii="Verdana" w:hAnsi="Verdana"/>
          <w:sz w:val="20"/>
          <w:szCs w:val="20"/>
        </w:rPr>
        <w:t xml:space="preserve">, we are grateful for the opportunity to provide input on </w:t>
      </w:r>
      <w:r w:rsidR="00E32ECD">
        <w:rPr>
          <w:rFonts w:ascii="Verdana" w:hAnsi="Verdana"/>
          <w:sz w:val="20"/>
          <w:szCs w:val="20"/>
        </w:rPr>
        <w:t>the Ministry of Energy</w:t>
      </w:r>
      <w:r w:rsidR="006635C7">
        <w:rPr>
          <w:rFonts w:ascii="Verdana" w:hAnsi="Verdana"/>
          <w:sz w:val="20"/>
          <w:szCs w:val="20"/>
        </w:rPr>
        <w:t xml:space="preserve"> and Electrification</w:t>
      </w:r>
      <w:r w:rsidR="00E32ECD">
        <w:rPr>
          <w:rFonts w:ascii="Verdana" w:hAnsi="Verdana"/>
          <w:sz w:val="20"/>
          <w:szCs w:val="20"/>
        </w:rPr>
        <w:t xml:space="preserve">’s Proposed </w:t>
      </w:r>
      <w:r w:rsidRPr="00D36D94">
        <w:rPr>
          <w:rFonts w:ascii="Verdana" w:hAnsi="Verdana"/>
          <w:sz w:val="20"/>
          <w:szCs w:val="20"/>
        </w:rPr>
        <w:t xml:space="preserve">Integrated Energy Resource Plan (IERP). </w:t>
      </w:r>
    </w:p>
    <w:p w14:paraId="4A7B30A2" w14:textId="77777777" w:rsidR="0031317A" w:rsidRDefault="0031317A" w:rsidP="00F97571">
      <w:pPr>
        <w:jc w:val="both"/>
        <w:rPr>
          <w:rFonts w:ascii="Verdana" w:hAnsi="Verdana"/>
          <w:sz w:val="20"/>
          <w:szCs w:val="20"/>
        </w:rPr>
      </w:pPr>
    </w:p>
    <w:p w14:paraId="252F4C53" w14:textId="77777777" w:rsidR="0031317A" w:rsidRPr="00E94385" w:rsidRDefault="0031317A" w:rsidP="0031317A">
      <w:pPr>
        <w:jc w:val="both"/>
        <w:rPr>
          <w:rFonts w:ascii="Verdana" w:hAnsi="Verdana"/>
          <w:sz w:val="20"/>
          <w:szCs w:val="20"/>
        </w:rPr>
      </w:pPr>
      <w:r w:rsidRPr="00E94385">
        <w:rPr>
          <w:rFonts w:ascii="Verdana" w:hAnsi="Verdana"/>
          <w:sz w:val="20"/>
          <w:szCs w:val="20"/>
        </w:rPr>
        <w:t xml:space="preserve">We strongly advocate for the inclusion and facilitation of Virtual Power Purchase Agreements (VPPAs) and Distributed Energy Resources (DERs) in the IERP to unlock the potential for unprecedented private capital investment, clean energy generation and emission reductions from across the commercial real estate sector. </w:t>
      </w:r>
    </w:p>
    <w:p w14:paraId="02357874" w14:textId="77777777" w:rsidR="0031317A" w:rsidRPr="00E94385" w:rsidRDefault="0031317A" w:rsidP="0031317A">
      <w:pPr>
        <w:jc w:val="both"/>
        <w:rPr>
          <w:rFonts w:ascii="Verdana" w:hAnsi="Verdana"/>
          <w:sz w:val="20"/>
          <w:szCs w:val="20"/>
        </w:rPr>
      </w:pPr>
    </w:p>
    <w:p w14:paraId="76B29D05" w14:textId="228FD044" w:rsidR="0031317A" w:rsidRDefault="0031317A" w:rsidP="0031317A">
      <w:pPr>
        <w:jc w:val="both"/>
        <w:rPr>
          <w:rFonts w:ascii="Verdana" w:hAnsi="Verdana"/>
          <w:sz w:val="20"/>
          <w:szCs w:val="20"/>
        </w:rPr>
      </w:pPr>
      <w:r w:rsidRPr="00E94385">
        <w:rPr>
          <w:rFonts w:ascii="Verdana" w:hAnsi="Verdana"/>
          <w:sz w:val="20"/>
          <w:szCs w:val="20"/>
        </w:rPr>
        <w:t>The industry needs the Ontario Government to pass the Ontario Ministry of Energy’s proposed Amendments to O. Reg. 429/04 as soon as possible.</w:t>
      </w:r>
    </w:p>
    <w:p w14:paraId="38A37B6E" w14:textId="2490E801" w:rsidR="0031317A" w:rsidRDefault="0031317A" w:rsidP="00F97571">
      <w:pPr>
        <w:jc w:val="both"/>
        <w:rPr>
          <w:rFonts w:ascii="Verdana" w:hAnsi="Verdana"/>
          <w:sz w:val="20"/>
          <w:szCs w:val="20"/>
        </w:rPr>
      </w:pPr>
    </w:p>
    <w:p w14:paraId="468DAFAC" w14:textId="77777777" w:rsidR="00383D89" w:rsidRDefault="00383D89" w:rsidP="00F97571">
      <w:pPr>
        <w:jc w:val="both"/>
        <w:rPr>
          <w:rFonts w:ascii="Verdana" w:hAnsi="Verdana"/>
          <w:sz w:val="20"/>
          <w:szCs w:val="20"/>
        </w:rPr>
      </w:pPr>
    </w:p>
    <w:p w14:paraId="3691C8B9" w14:textId="69A7EFB8" w:rsidR="00383D89" w:rsidRPr="00D36D94" w:rsidRDefault="00383D89" w:rsidP="00F97571">
      <w:pPr>
        <w:jc w:val="both"/>
        <w:rPr>
          <w:rFonts w:ascii="Verdana" w:hAnsi="Verdana"/>
          <w:sz w:val="20"/>
          <w:szCs w:val="20"/>
        </w:rPr>
      </w:pPr>
      <w:r>
        <w:rPr>
          <w:rFonts w:ascii="Verdana" w:hAnsi="Verdana"/>
          <w:sz w:val="20"/>
          <w:szCs w:val="20"/>
        </w:rPr>
        <w:t>W</w:t>
      </w:r>
      <w:r w:rsidRPr="00D36D94">
        <w:rPr>
          <w:rFonts w:ascii="Verdana" w:hAnsi="Verdana"/>
          <w:sz w:val="20"/>
          <w:szCs w:val="20"/>
        </w:rPr>
        <w:t xml:space="preserve">e believe it is imperative that Ontario’s energy strategy </w:t>
      </w:r>
      <w:r>
        <w:rPr>
          <w:rFonts w:ascii="Verdana" w:hAnsi="Verdana"/>
          <w:sz w:val="20"/>
          <w:szCs w:val="20"/>
        </w:rPr>
        <w:t>ensures energy remains clean, affordable and reliable – and supports customer choice</w:t>
      </w:r>
      <w:r w:rsidR="0067412F">
        <w:rPr>
          <w:rFonts w:ascii="Verdana" w:hAnsi="Verdana"/>
          <w:sz w:val="20"/>
          <w:szCs w:val="20"/>
        </w:rPr>
        <w:t xml:space="preserve"> </w:t>
      </w:r>
      <w:r w:rsidR="004958DE">
        <w:rPr>
          <w:rFonts w:ascii="Verdana" w:hAnsi="Verdana"/>
          <w:sz w:val="20"/>
          <w:szCs w:val="20"/>
        </w:rPr>
        <w:t xml:space="preserve">for </w:t>
      </w:r>
      <w:r w:rsidR="0067412F">
        <w:rPr>
          <w:rFonts w:ascii="Verdana" w:hAnsi="Verdana"/>
          <w:sz w:val="20"/>
          <w:szCs w:val="20"/>
        </w:rPr>
        <w:t>supplier</w:t>
      </w:r>
      <w:r w:rsidR="004958DE">
        <w:rPr>
          <w:rFonts w:ascii="Verdana" w:hAnsi="Verdana"/>
          <w:sz w:val="20"/>
          <w:szCs w:val="20"/>
        </w:rPr>
        <w:t>s</w:t>
      </w:r>
      <w:r>
        <w:rPr>
          <w:rFonts w:ascii="Verdana" w:hAnsi="Verdana"/>
          <w:sz w:val="20"/>
          <w:szCs w:val="20"/>
        </w:rPr>
        <w:t xml:space="preserve">. </w:t>
      </w:r>
    </w:p>
    <w:p w14:paraId="787898A3" w14:textId="77777777" w:rsidR="00416FDE" w:rsidRDefault="00416FDE" w:rsidP="00F97571">
      <w:pPr>
        <w:jc w:val="both"/>
        <w:rPr>
          <w:rFonts w:ascii="Verdana" w:hAnsi="Verdana"/>
          <w:sz w:val="20"/>
          <w:szCs w:val="20"/>
        </w:rPr>
      </w:pPr>
    </w:p>
    <w:p w14:paraId="2AF6B7C0" w14:textId="1F50B022" w:rsidR="00B3364E" w:rsidRDefault="008603AC" w:rsidP="00F97571">
      <w:pPr>
        <w:jc w:val="both"/>
        <w:rPr>
          <w:rFonts w:ascii="Verdana" w:hAnsi="Verdana"/>
          <w:sz w:val="20"/>
          <w:szCs w:val="20"/>
        </w:rPr>
      </w:pPr>
      <w:r w:rsidRPr="00D36D94">
        <w:rPr>
          <w:rFonts w:ascii="Verdana" w:hAnsi="Verdana"/>
          <w:sz w:val="20"/>
          <w:szCs w:val="20"/>
        </w:rPr>
        <w:t>Our industry contributes significantly to the provincial and national economies, with a GDP impact of $148 billion and over one million jobs across Canada</w:t>
      </w:r>
      <w:r w:rsidR="00432751">
        <w:rPr>
          <w:rFonts w:ascii="Verdana" w:hAnsi="Verdana"/>
          <w:sz w:val="20"/>
          <w:szCs w:val="20"/>
        </w:rPr>
        <w:t xml:space="preserve">.  Our </w:t>
      </w:r>
      <w:r w:rsidR="00EA5F07">
        <w:rPr>
          <w:rFonts w:ascii="Verdana" w:hAnsi="Verdana"/>
          <w:sz w:val="20"/>
          <w:szCs w:val="20"/>
        </w:rPr>
        <w:t>industry also makes up 18% of Canada’s total greenhouse gas emission</w:t>
      </w:r>
      <w:r w:rsidR="005A357A">
        <w:rPr>
          <w:rFonts w:ascii="Verdana" w:hAnsi="Verdana"/>
          <w:sz w:val="20"/>
          <w:szCs w:val="20"/>
        </w:rPr>
        <w:t xml:space="preserve">s – with over 90% of these emissions coming from space </w:t>
      </w:r>
      <w:r w:rsidR="00383D89">
        <w:rPr>
          <w:rFonts w:ascii="Verdana" w:hAnsi="Verdana"/>
          <w:sz w:val="20"/>
          <w:szCs w:val="20"/>
        </w:rPr>
        <w:t>and water heating, primarily powered by natural gas.</w:t>
      </w:r>
    </w:p>
    <w:p w14:paraId="0E2EC13E" w14:textId="77777777" w:rsidR="00B3364E" w:rsidRDefault="00B3364E" w:rsidP="00F97571">
      <w:pPr>
        <w:jc w:val="both"/>
        <w:rPr>
          <w:rFonts w:ascii="Verdana" w:hAnsi="Verdana"/>
          <w:sz w:val="20"/>
          <w:szCs w:val="20"/>
        </w:rPr>
      </w:pPr>
    </w:p>
    <w:p w14:paraId="417E9375" w14:textId="2CE2B2CB" w:rsidR="008A622C" w:rsidRDefault="000E07D9" w:rsidP="00F97571">
      <w:pPr>
        <w:jc w:val="both"/>
        <w:rPr>
          <w:rFonts w:ascii="Verdana" w:hAnsi="Verdana"/>
          <w:sz w:val="20"/>
          <w:szCs w:val="20"/>
        </w:rPr>
      </w:pPr>
      <w:r>
        <w:rPr>
          <w:rFonts w:ascii="Verdana" w:hAnsi="Verdana"/>
          <w:sz w:val="20"/>
          <w:szCs w:val="20"/>
        </w:rPr>
        <w:t xml:space="preserve">Our members are in business </w:t>
      </w:r>
      <w:r w:rsidR="006A5CFB">
        <w:rPr>
          <w:rFonts w:ascii="Verdana" w:hAnsi="Verdana"/>
          <w:sz w:val="20"/>
          <w:szCs w:val="20"/>
        </w:rPr>
        <w:t xml:space="preserve">to </w:t>
      </w:r>
      <w:r>
        <w:rPr>
          <w:rFonts w:ascii="Verdana" w:hAnsi="Verdana"/>
          <w:sz w:val="20"/>
          <w:szCs w:val="20"/>
        </w:rPr>
        <w:t>generat</w:t>
      </w:r>
      <w:r w:rsidR="006A5CFB">
        <w:rPr>
          <w:rFonts w:ascii="Verdana" w:hAnsi="Verdana"/>
          <w:sz w:val="20"/>
          <w:szCs w:val="20"/>
        </w:rPr>
        <w:t>e</w:t>
      </w:r>
      <w:r>
        <w:rPr>
          <w:rFonts w:ascii="Verdana" w:hAnsi="Verdana"/>
          <w:sz w:val="20"/>
          <w:szCs w:val="20"/>
        </w:rPr>
        <w:t xml:space="preserve"> returns for their shareholder</w:t>
      </w:r>
      <w:r w:rsidR="005D496B">
        <w:rPr>
          <w:rFonts w:ascii="Verdana" w:hAnsi="Verdana"/>
          <w:sz w:val="20"/>
          <w:szCs w:val="20"/>
        </w:rPr>
        <w:t>s.  Many of these shareholders have committed to achieving net zero carbon across their investment</w:t>
      </w:r>
      <w:r w:rsidR="00A80B1C">
        <w:rPr>
          <w:rFonts w:ascii="Verdana" w:hAnsi="Verdana"/>
          <w:sz w:val="20"/>
          <w:szCs w:val="20"/>
        </w:rPr>
        <w:t xml:space="preserve"> portfolios</w:t>
      </w:r>
      <w:r w:rsidR="00894644">
        <w:rPr>
          <w:rFonts w:ascii="Verdana" w:hAnsi="Verdana"/>
          <w:sz w:val="20"/>
          <w:szCs w:val="20"/>
        </w:rPr>
        <w:t>.  This</w:t>
      </w:r>
      <w:r w:rsidR="008A0FFF">
        <w:rPr>
          <w:rFonts w:ascii="Verdana" w:hAnsi="Verdana"/>
          <w:sz w:val="20"/>
          <w:szCs w:val="20"/>
        </w:rPr>
        <w:t xml:space="preserve"> is one of the key drivers for </w:t>
      </w:r>
      <w:r w:rsidR="00B8726C">
        <w:rPr>
          <w:rFonts w:ascii="Verdana" w:hAnsi="Verdana"/>
          <w:sz w:val="20"/>
          <w:szCs w:val="20"/>
        </w:rPr>
        <w:t xml:space="preserve">decarbonization </w:t>
      </w:r>
      <w:r w:rsidR="008A0FFF">
        <w:rPr>
          <w:rFonts w:ascii="Verdana" w:hAnsi="Verdana"/>
          <w:sz w:val="20"/>
          <w:szCs w:val="20"/>
        </w:rPr>
        <w:t xml:space="preserve">action </w:t>
      </w:r>
      <w:r w:rsidR="00A80B1C">
        <w:rPr>
          <w:rFonts w:ascii="Verdana" w:hAnsi="Verdana"/>
          <w:sz w:val="20"/>
          <w:szCs w:val="20"/>
        </w:rPr>
        <w:t>from commercial real estate owners</w:t>
      </w:r>
      <w:r w:rsidR="00211D09">
        <w:rPr>
          <w:rFonts w:ascii="Verdana" w:hAnsi="Verdana"/>
          <w:sz w:val="20"/>
          <w:szCs w:val="20"/>
        </w:rPr>
        <w:t xml:space="preserve"> and is why</w:t>
      </w:r>
      <w:r w:rsidR="00A80B1C">
        <w:rPr>
          <w:rFonts w:ascii="Verdana" w:hAnsi="Verdana"/>
          <w:sz w:val="20"/>
          <w:szCs w:val="20"/>
        </w:rPr>
        <w:t xml:space="preserve"> </w:t>
      </w:r>
      <w:r w:rsidR="00F569B3">
        <w:rPr>
          <w:rFonts w:ascii="Verdana" w:hAnsi="Verdana"/>
          <w:sz w:val="20"/>
          <w:szCs w:val="20"/>
        </w:rPr>
        <w:t xml:space="preserve">70% of our members report on their Scope 1 and 2 Greenhouse Gas emissions and 50% </w:t>
      </w:r>
      <w:r w:rsidR="00FF47FC">
        <w:rPr>
          <w:rFonts w:ascii="Verdana" w:hAnsi="Verdana"/>
          <w:sz w:val="20"/>
          <w:szCs w:val="20"/>
        </w:rPr>
        <w:t xml:space="preserve">have set a public Net Zero Carbon target. </w:t>
      </w:r>
    </w:p>
    <w:p w14:paraId="58069D76" w14:textId="77777777" w:rsidR="008A622C" w:rsidRDefault="008A622C" w:rsidP="00F97571">
      <w:pPr>
        <w:jc w:val="both"/>
        <w:rPr>
          <w:rFonts w:ascii="Verdana" w:hAnsi="Verdana"/>
          <w:sz w:val="20"/>
          <w:szCs w:val="20"/>
        </w:rPr>
      </w:pPr>
    </w:p>
    <w:p w14:paraId="6C6DA9AC" w14:textId="0FF1D31E" w:rsidR="00FF47FC" w:rsidRDefault="0067412F" w:rsidP="00F97571">
      <w:pPr>
        <w:jc w:val="both"/>
        <w:rPr>
          <w:rFonts w:ascii="Verdana" w:hAnsi="Verdana"/>
          <w:sz w:val="20"/>
          <w:szCs w:val="20"/>
        </w:rPr>
      </w:pPr>
      <w:r>
        <w:rPr>
          <w:rFonts w:ascii="Verdana" w:hAnsi="Verdana"/>
          <w:sz w:val="20"/>
          <w:szCs w:val="20"/>
        </w:rPr>
        <w:t>A critical element of our members’ long-term strategy to achiev</w:t>
      </w:r>
      <w:r w:rsidR="005F0E32">
        <w:rPr>
          <w:rFonts w:ascii="Verdana" w:hAnsi="Verdana"/>
          <w:sz w:val="20"/>
          <w:szCs w:val="20"/>
        </w:rPr>
        <w:t>ing</w:t>
      </w:r>
      <w:r>
        <w:rPr>
          <w:rFonts w:ascii="Verdana" w:hAnsi="Verdana"/>
          <w:sz w:val="20"/>
          <w:szCs w:val="20"/>
        </w:rPr>
        <w:t xml:space="preserve"> net zero</w:t>
      </w:r>
      <w:r w:rsidR="007977F4">
        <w:rPr>
          <w:rFonts w:ascii="Verdana" w:hAnsi="Verdana"/>
          <w:sz w:val="20"/>
          <w:szCs w:val="20"/>
        </w:rPr>
        <w:t xml:space="preserve"> carbon</w:t>
      </w:r>
      <w:r>
        <w:rPr>
          <w:rFonts w:ascii="Verdana" w:hAnsi="Verdana"/>
          <w:sz w:val="20"/>
          <w:szCs w:val="20"/>
        </w:rPr>
        <w:t xml:space="preserve"> is the benefit provided by Ontario’s low-carbon electricity generation mix, and the expectation that this will persist</w:t>
      </w:r>
      <w:r w:rsidR="00FB6251">
        <w:rPr>
          <w:rFonts w:ascii="Verdana" w:hAnsi="Verdana"/>
          <w:sz w:val="20"/>
          <w:szCs w:val="20"/>
        </w:rPr>
        <w:t>, and indeed improve,</w:t>
      </w:r>
      <w:r>
        <w:rPr>
          <w:rFonts w:ascii="Verdana" w:hAnsi="Verdana"/>
          <w:sz w:val="20"/>
          <w:szCs w:val="20"/>
        </w:rPr>
        <w:t xml:space="preserve"> </w:t>
      </w:r>
      <w:r w:rsidR="008A622C">
        <w:rPr>
          <w:rFonts w:ascii="Verdana" w:hAnsi="Verdana"/>
          <w:sz w:val="20"/>
          <w:szCs w:val="20"/>
        </w:rPr>
        <w:t>in the near and long term</w:t>
      </w:r>
      <w:r>
        <w:rPr>
          <w:rFonts w:ascii="Verdana" w:hAnsi="Verdana"/>
          <w:sz w:val="20"/>
          <w:szCs w:val="20"/>
        </w:rPr>
        <w:t xml:space="preserve">. </w:t>
      </w:r>
    </w:p>
    <w:p w14:paraId="0AF360D5" w14:textId="77777777" w:rsidR="00416FDE" w:rsidRDefault="00416FDE" w:rsidP="00F97571">
      <w:pPr>
        <w:jc w:val="both"/>
        <w:rPr>
          <w:rFonts w:ascii="Verdana" w:hAnsi="Verdana"/>
          <w:sz w:val="20"/>
          <w:szCs w:val="20"/>
        </w:rPr>
      </w:pPr>
    </w:p>
    <w:p w14:paraId="7F694A0E" w14:textId="0DBA56FC" w:rsidR="008B57F6" w:rsidRPr="008B57F6" w:rsidRDefault="008B57F6" w:rsidP="00F97571">
      <w:pPr>
        <w:jc w:val="both"/>
        <w:rPr>
          <w:rFonts w:ascii="Verdana" w:hAnsi="Verdana"/>
          <w:b/>
          <w:bCs/>
          <w:sz w:val="20"/>
          <w:szCs w:val="20"/>
        </w:rPr>
      </w:pPr>
      <w:r w:rsidRPr="008B57F6">
        <w:rPr>
          <w:rFonts w:ascii="Verdana" w:hAnsi="Verdana"/>
          <w:b/>
          <w:bCs/>
          <w:sz w:val="20"/>
          <w:szCs w:val="20"/>
        </w:rPr>
        <w:t>Our Key Message</w:t>
      </w:r>
    </w:p>
    <w:p w14:paraId="7D0676C7" w14:textId="77777777" w:rsidR="008B57F6" w:rsidRDefault="008B57F6" w:rsidP="00F97571">
      <w:pPr>
        <w:jc w:val="both"/>
        <w:rPr>
          <w:rFonts w:ascii="Verdana" w:hAnsi="Verdana"/>
          <w:sz w:val="20"/>
          <w:szCs w:val="20"/>
        </w:rPr>
      </w:pPr>
    </w:p>
    <w:p w14:paraId="680F2E76" w14:textId="4703D686" w:rsidR="00AA6687" w:rsidRDefault="00526D95" w:rsidP="00F97571">
      <w:pPr>
        <w:jc w:val="both"/>
        <w:rPr>
          <w:rFonts w:ascii="Verdana" w:hAnsi="Verdana"/>
          <w:sz w:val="20"/>
          <w:szCs w:val="20"/>
        </w:rPr>
      </w:pPr>
      <w:r>
        <w:rPr>
          <w:rFonts w:ascii="Verdana" w:hAnsi="Verdana"/>
          <w:sz w:val="20"/>
          <w:szCs w:val="20"/>
        </w:rPr>
        <w:lastRenderedPageBreak/>
        <w:t xml:space="preserve">Ontario’s commercial real estate industry is critically dependent </w:t>
      </w:r>
      <w:r w:rsidR="007D7CB7">
        <w:rPr>
          <w:rFonts w:ascii="Verdana" w:hAnsi="Verdana"/>
          <w:sz w:val="20"/>
          <w:szCs w:val="20"/>
        </w:rPr>
        <w:t>on</w:t>
      </w:r>
      <w:r w:rsidR="00A4408D">
        <w:rPr>
          <w:rFonts w:ascii="Verdana" w:hAnsi="Verdana"/>
          <w:sz w:val="20"/>
          <w:szCs w:val="20"/>
        </w:rPr>
        <w:t xml:space="preserve"> a stable supply of </w:t>
      </w:r>
      <w:r w:rsidR="007D7CB7">
        <w:rPr>
          <w:rFonts w:ascii="Verdana" w:hAnsi="Verdana"/>
          <w:sz w:val="20"/>
          <w:szCs w:val="20"/>
        </w:rPr>
        <w:t>clean</w:t>
      </w:r>
      <w:r w:rsidR="00A4408D">
        <w:rPr>
          <w:rFonts w:ascii="Verdana" w:hAnsi="Verdana"/>
          <w:sz w:val="20"/>
          <w:szCs w:val="20"/>
        </w:rPr>
        <w:t xml:space="preserve"> and</w:t>
      </w:r>
      <w:r w:rsidR="007D7CB7">
        <w:rPr>
          <w:rFonts w:ascii="Verdana" w:hAnsi="Verdana"/>
          <w:sz w:val="20"/>
          <w:szCs w:val="20"/>
        </w:rPr>
        <w:t xml:space="preserve"> </w:t>
      </w:r>
      <w:r w:rsidR="00963BC3">
        <w:rPr>
          <w:rFonts w:ascii="Verdana" w:hAnsi="Verdana"/>
          <w:sz w:val="20"/>
          <w:szCs w:val="20"/>
        </w:rPr>
        <w:t xml:space="preserve">affordable energy to power our status as a key economic engine </w:t>
      </w:r>
      <w:r w:rsidR="009C3011">
        <w:rPr>
          <w:rFonts w:ascii="Verdana" w:hAnsi="Verdana"/>
          <w:sz w:val="20"/>
          <w:szCs w:val="20"/>
        </w:rPr>
        <w:t>across the province</w:t>
      </w:r>
      <w:r w:rsidR="008548F0">
        <w:rPr>
          <w:rFonts w:ascii="Verdana" w:hAnsi="Verdana"/>
          <w:sz w:val="20"/>
          <w:szCs w:val="20"/>
        </w:rPr>
        <w:t xml:space="preserve"> – </w:t>
      </w:r>
      <w:r w:rsidR="0031317A">
        <w:rPr>
          <w:rFonts w:ascii="Verdana" w:hAnsi="Verdana"/>
          <w:sz w:val="20"/>
          <w:szCs w:val="20"/>
        </w:rPr>
        <w:t xml:space="preserve">and country - </w:t>
      </w:r>
      <w:r w:rsidR="00D84D9A">
        <w:rPr>
          <w:rFonts w:ascii="Verdana" w:hAnsi="Verdana"/>
          <w:sz w:val="20"/>
          <w:szCs w:val="20"/>
        </w:rPr>
        <w:t xml:space="preserve">and the demand for electricity from </w:t>
      </w:r>
      <w:r w:rsidR="002B0DC7">
        <w:rPr>
          <w:rFonts w:ascii="Verdana" w:hAnsi="Verdana"/>
          <w:sz w:val="20"/>
          <w:szCs w:val="20"/>
        </w:rPr>
        <w:t>the industry</w:t>
      </w:r>
      <w:r w:rsidR="00D84D9A">
        <w:rPr>
          <w:rFonts w:ascii="Verdana" w:hAnsi="Verdana"/>
          <w:sz w:val="20"/>
          <w:szCs w:val="20"/>
        </w:rPr>
        <w:t xml:space="preserve"> is </w:t>
      </w:r>
      <w:r w:rsidR="00AA6687">
        <w:rPr>
          <w:rFonts w:ascii="Verdana" w:hAnsi="Verdana"/>
          <w:sz w:val="20"/>
          <w:szCs w:val="20"/>
        </w:rPr>
        <w:t>set to increase exponentially</w:t>
      </w:r>
      <w:r w:rsidR="00420BD0">
        <w:rPr>
          <w:rFonts w:ascii="Verdana" w:hAnsi="Verdana"/>
          <w:sz w:val="20"/>
          <w:szCs w:val="20"/>
        </w:rPr>
        <w:t xml:space="preserve"> as </w:t>
      </w:r>
      <w:r w:rsidR="001936C9">
        <w:rPr>
          <w:rFonts w:ascii="Verdana" w:hAnsi="Verdana"/>
          <w:sz w:val="20"/>
          <w:szCs w:val="20"/>
        </w:rPr>
        <w:t xml:space="preserve">commercial buildings </w:t>
      </w:r>
      <w:r w:rsidR="00C44DB5">
        <w:rPr>
          <w:rFonts w:ascii="Verdana" w:hAnsi="Verdana"/>
          <w:sz w:val="20"/>
          <w:szCs w:val="20"/>
        </w:rPr>
        <w:t xml:space="preserve">shift towards </w:t>
      </w:r>
      <w:r w:rsidR="001936C9">
        <w:rPr>
          <w:rFonts w:ascii="Verdana" w:hAnsi="Verdana"/>
          <w:sz w:val="20"/>
          <w:szCs w:val="20"/>
        </w:rPr>
        <w:t>electri</w:t>
      </w:r>
      <w:r w:rsidR="00C44DB5">
        <w:rPr>
          <w:rFonts w:ascii="Verdana" w:hAnsi="Verdana"/>
          <w:sz w:val="20"/>
          <w:szCs w:val="20"/>
        </w:rPr>
        <w:t>city for</w:t>
      </w:r>
      <w:r w:rsidR="001936C9">
        <w:rPr>
          <w:rFonts w:ascii="Verdana" w:hAnsi="Verdana"/>
          <w:sz w:val="20"/>
          <w:szCs w:val="20"/>
        </w:rPr>
        <w:t xml:space="preserve"> </w:t>
      </w:r>
      <w:r w:rsidR="00C8706D">
        <w:rPr>
          <w:rFonts w:ascii="Verdana" w:hAnsi="Verdana"/>
          <w:sz w:val="20"/>
          <w:szCs w:val="20"/>
        </w:rPr>
        <w:t>space and water heating</w:t>
      </w:r>
      <w:r w:rsidR="00AA6687">
        <w:rPr>
          <w:rFonts w:ascii="Verdana" w:hAnsi="Verdana"/>
          <w:sz w:val="20"/>
          <w:szCs w:val="20"/>
        </w:rPr>
        <w:t xml:space="preserve">. </w:t>
      </w:r>
    </w:p>
    <w:p w14:paraId="3D190055" w14:textId="77777777" w:rsidR="00AA6687" w:rsidRDefault="00AA6687" w:rsidP="00F97571">
      <w:pPr>
        <w:jc w:val="both"/>
        <w:rPr>
          <w:rFonts w:ascii="Verdana" w:hAnsi="Verdana"/>
          <w:sz w:val="20"/>
          <w:szCs w:val="20"/>
        </w:rPr>
      </w:pPr>
    </w:p>
    <w:p w14:paraId="0E610443" w14:textId="724ED8BB" w:rsidR="00E65B74" w:rsidRDefault="00AA6687" w:rsidP="00F97571">
      <w:pPr>
        <w:jc w:val="both"/>
        <w:rPr>
          <w:rFonts w:ascii="Verdana" w:hAnsi="Verdana"/>
          <w:sz w:val="20"/>
          <w:szCs w:val="20"/>
        </w:rPr>
      </w:pPr>
      <w:r>
        <w:rPr>
          <w:rFonts w:ascii="Verdana" w:hAnsi="Verdana"/>
          <w:sz w:val="20"/>
          <w:szCs w:val="20"/>
        </w:rPr>
        <w:t>W</w:t>
      </w:r>
      <w:r w:rsidR="000D57A6">
        <w:rPr>
          <w:rFonts w:ascii="Verdana" w:hAnsi="Verdana"/>
          <w:sz w:val="20"/>
          <w:szCs w:val="20"/>
        </w:rPr>
        <w:t xml:space="preserve">e are ready to </w:t>
      </w:r>
      <w:r w:rsidR="00930A92">
        <w:rPr>
          <w:rFonts w:ascii="Verdana" w:hAnsi="Verdana"/>
          <w:sz w:val="20"/>
          <w:szCs w:val="20"/>
        </w:rPr>
        <w:t xml:space="preserve">take action to </w:t>
      </w:r>
      <w:r w:rsidR="00472BB8">
        <w:rPr>
          <w:rFonts w:ascii="Verdana" w:hAnsi="Verdana"/>
          <w:sz w:val="20"/>
          <w:szCs w:val="20"/>
        </w:rPr>
        <w:t xml:space="preserve">help </w:t>
      </w:r>
      <w:r>
        <w:rPr>
          <w:rFonts w:ascii="Verdana" w:hAnsi="Verdana"/>
          <w:sz w:val="20"/>
          <w:szCs w:val="20"/>
        </w:rPr>
        <w:t xml:space="preserve">boost </w:t>
      </w:r>
      <w:r w:rsidR="001D4B22">
        <w:rPr>
          <w:rFonts w:ascii="Verdana" w:hAnsi="Verdana"/>
          <w:sz w:val="20"/>
          <w:szCs w:val="20"/>
        </w:rPr>
        <w:t>electricity generation capacity</w:t>
      </w:r>
      <w:r w:rsidR="004E3644">
        <w:rPr>
          <w:rFonts w:ascii="Verdana" w:hAnsi="Verdana"/>
          <w:sz w:val="20"/>
          <w:szCs w:val="20"/>
        </w:rPr>
        <w:t xml:space="preserve"> </w:t>
      </w:r>
      <w:r w:rsidR="0056368A">
        <w:rPr>
          <w:rFonts w:ascii="Verdana" w:hAnsi="Verdana"/>
          <w:sz w:val="20"/>
          <w:szCs w:val="20"/>
        </w:rPr>
        <w:t>and</w:t>
      </w:r>
      <w:r w:rsidR="009F437F">
        <w:rPr>
          <w:rFonts w:ascii="Verdana" w:hAnsi="Verdana"/>
          <w:sz w:val="20"/>
          <w:szCs w:val="20"/>
        </w:rPr>
        <w:t xml:space="preserve"> support the </w:t>
      </w:r>
      <w:r w:rsidR="00B50CB2">
        <w:rPr>
          <w:rFonts w:ascii="Verdana" w:hAnsi="Verdana"/>
          <w:sz w:val="20"/>
          <w:szCs w:val="20"/>
        </w:rPr>
        <w:t xml:space="preserve">province’s goals of </w:t>
      </w:r>
      <w:r w:rsidR="00295BF5">
        <w:rPr>
          <w:rFonts w:ascii="Verdana" w:hAnsi="Verdana"/>
          <w:sz w:val="20"/>
          <w:szCs w:val="20"/>
        </w:rPr>
        <w:t xml:space="preserve">keeping </w:t>
      </w:r>
      <w:r w:rsidR="00E4342F">
        <w:rPr>
          <w:rFonts w:ascii="Verdana" w:hAnsi="Verdana"/>
          <w:sz w:val="20"/>
          <w:szCs w:val="20"/>
        </w:rPr>
        <w:t xml:space="preserve">energy </w:t>
      </w:r>
      <w:r w:rsidR="00295BF5">
        <w:rPr>
          <w:rFonts w:ascii="Verdana" w:hAnsi="Verdana"/>
          <w:sz w:val="20"/>
          <w:szCs w:val="20"/>
        </w:rPr>
        <w:t>costs</w:t>
      </w:r>
      <w:r w:rsidR="00C63747">
        <w:rPr>
          <w:rFonts w:ascii="Verdana" w:hAnsi="Verdana"/>
          <w:sz w:val="20"/>
          <w:szCs w:val="20"/>
        </w:rPr>
        <w:t xml:space="preserve"> down</w:t>
      </w:r>
      <w:r w:rsidR="004E3644">
        <w:rPr>
          <w:rFonts w:ascii="Verdana" w:hAnsi="Verdana"/>
          <w:sz w:val="20"/>
          <w:szCs w:val="20"/>
        </w:rPr>
        <w:t xml:space="preserve">, </w:t>
      </w:r>
      <w:r w:rsidR="002E461E">
        <w:rPr>
          <w:rFonts w:ascii="Verdana" w:hAnsi="Verdana"/>
          <w:sz w:val="20"/>
          <w:szCs w:val="20"/>
        </w:rPr>
        <w:t xml:space="preserve">attracting more investment </w:t>
      </w:r>
      <w:r w:rsidR="00E4342F">
        <w:rPr>
          <w:rFonts w:ascii="Verdana" w:hAnsi="Verdana"/>
          <w:sz w:val="20"/>
          <w:szCs w:val="20"/>
        </w:rPr>
        <w:t>and growing the economy.</w:t>
      </w:r>
      <w:r w:rsidR="00A90F19">
        <w:rPr>
          <w:rFonts w:ascii="Verdana" w:hAnsi="Verdana"/>
          <w:sz w:val="20"/>
          <w:szCs w:val="20"/>
        </w:rPr>
        <w:t xml:space="preserve">  </w:t>
      </w:r>
    </w:p>
    <w:p w14:paraId="31B4653E" w14:textId="77777777" w:rsidR="004E3644" w:rsidRDefault="004E3644" w:rsidP="00F97571">
      <w:pPr>
        <w:jc w:val="both"/>
        <w:rPr>
          <w:rFonts w:ascii="Verdana" w:hAnsi="Verdana"/>
          <w:sz w:val="20"/>
          <w:szCs w:val="20"/>
        </w:rPr>
      </w:pPr>
    </w:p>
    <w:p w14:paraId="501E0B2D" w14:textId="67DB5696" w:rsidR="00D32D9C" w:rsidRPr="00F95C31" w:rsidRDefault="00F95C31" w:rsidP="00F97571">
      <w:pPr>
        <w:jc w:val="both"/>
        <w:rPr>
          <w:rFonts w:ascii="Verdana" w:hAnsi="Verdana"/>
          <w:b/>
          <w:bCs/>
          <w:sz w:val="20"/>
          <w:szCs w:val="20"/>
        </w:rPr>
      </w:pPr>
      <w:r w:rsidRPr="00F95C31">
        <w:rPr>
          <w:rFonts w:ascii="Verdana" w:hAnsi="Verdana"/>
          <w:b/>
          <w:bCs/>
          <w:sz w:val="20"/>
          <w:szCs w:val="20"/>
        </w:rPr>
        <w:t>The Role of Distributed Energy Resources</w:t>
      </w:r>
      <w:r w:rsidR="0008635E">
        <w:rPr>
          <w:rFonts w:ascii="Verdana" w:hAnsi="Verdana"/>
          <w:b/>
          <w:bCs/>
          <w:sz w:val="20"/>
          <w:szCs w:val="20"/>
        </w:rPr>
        <w:t xml:space="preserve"> (DERs)</w:t>
      </w:r>
    </w:p>
    <w:p w14:paraId="3C87A73F" w14:textId="77777777" w:rsidR="00E4342F" w:rsidRDefault="00E4342F" w:rsidP="00F97571">
      <w:pPr>
        <w:jc w:val="both"/>
        <w:rPr>
          <w:rFonts w:ascii="Verdana" w:hAnsi="Verdana"/>
          <w:sz w:val="20"/>
          <w:szCs w:val="20"/>
        </w:rPr>
      </w:pPr>
    </w:p>
    <w:p w14:paraId="60EF6DC4" w14:textId="35760748" w:rsidR="00B5588B" w:rsidRDefault="00B5588B" w:rsidP="00F97571">
      <w:pPr>
        <w:jc w:val="both"/>
        <w:rPr>
          <w:rFonts w:ascii="Verdana" w:hAnsi="Verdana"/>
          <w:sz w:val="20"/>
          <w:szCs w:val="20"/>
        </w:rPr>
      </w:pPr>
      <w:r w:rsidRPr="00B5588B">
        <w:rPr>
          <w:rFonts w:ascii="Verdana" w:hAnsi="Verdana"/>
          <w:sz w:val="20"/>
          <w:szCs w:val="20"/>
        </w:rPr>
        <w:t xml:space="preserve">The distribution system has traditionally acted as a GROSS aggregated load. </w:t>
      </w:r>
      <w:r>
        <w:rPr>
          <w:rFonts w:ascii="Verdana" w:hAnsi="Verdana"/>
          <w:sz w:val="20"/>
          <w:szCs w:val="20"/>
        </w:rPr>
        <w:t xml:space="preserve"> </w:t>
      </w:r>
      <w:r w:rsidRPr="00B5588B">
        <w:rPr>
          <w:rFonts w:ascii="Verdana" w:hAnsi="Verdana"/>
          <w:sz w:val="20"/>
          <w:szCs w:val="20"/>
        </w:rPr>
        <w:t xml:space="preserve">The evolution of DERs </w:t>
      </w:r>
      <w:r w:rsidR="00534C61">
        <w:rPr>
          <w:rFonts w:ascii="Verdana" w:hAnsi="Verdana"/>
          <w:sz w:val="20"/>
          <w:szCs w:val="20"/>
        </w:rPr>
        <w:t xml:space="preserve">- </w:t>
      </w:r>
      <w:r w:rsidR="00BC5785">
        <w:rPr>
          <w:rFonts w:ascii="Verdana" w:hAnsi="Verdana"/>
          <w:sz w:val="20"/>
          <w:szCs w:val="20"/>
        </w:rPr>
        <w:t xml:space="preserve">resources that generate/store energy or control load </w:t>
      </w:r>
      <w:r w:rsidR="00854FCD">
        <w:rPr>
          <w:rFonts w:ascii="Verdana" w:hAnsi="Verdana"/>
          <w:sz w:val="20"/>
          <w:szCs w:val="20"/>
        </w:rPr>
        <w:t>and are directly connected to the distribution system or located behind a customer’s meter</w:t>
      </w:r>
      <w:r w:rsidR="00534C61">
        <w:rPr>
          <w:rFonts w:ascii="Verdana" w:hAnsi="Verdana"/>
          <w:sz w:val="20"/>
          <w:szCs w:val="20"/>
        </w:rPr>
        <w:t xml:space="preserve"> -</w:t>
      </w:r>
      <w:r w:rsidR="00854FCD">
        <w:rPr>
          <w:rFonts w:ascii="Verdana" w:hAnsi="Verdana"/>
          <w:sz w:val="20"/>
          <w:szCs w:val="20"/>
        </w:rPr>
        <w:t xml:space="preserve"> </w:t>
      </w:r>
      <w:r w:rsidRPr="00B5588B">
        <w:rPr>
          <w:rFonts w:ascii="Verdana" w:hAnsi="Verdana"/>
          <w:sz w:val="20"/>
          <w:szCs w:val="20"/>
        </w:rPr>
        <w:t xml:space="preserve">allows for the distribution system to act as a NET aggregate load by generating and storing electricity adjacent to the loads it services. To date, this has resulted in </w:t>
      </w:r>
      <w:r w:rsidR="000F5690">
        <w:rPr>
          <w:rFonts w:ascii="Verdana" w:hAnsi="Verdana"/>
          <w:sz w:val="20"/>
          <w:szCs w:val="20"/>
        </w:rPr>
        <w:t xml:space="preserve">3.5 GW </w:t>
      </w:r>
      <w:r w:rsidRPr="00B5588B">
        <w:rPr>
          <w:rFonts w:ascii="Verdana" w:hAnsi="Verdana"/>
          <w:sz w:val="20"/>
          <w:szCs w:val="20"/>
        </w:rPr>
        <w:t xml:space="preserve">of </w:t>
      </w:r>
      <w:r w:rsidR="00D74B48">
        <w:rPr>
          <w:rFonts w:ascii="Verdana" w:hAnsi="Verdana"/>
          <w:sz w:val="20"/>
          <w:szCs w:val="20"/>
        </w:rPr>
        <w:t>distribution connected assets in Ontario</w:t>
      </w:r>
      <w:r w:rsidR="00C56A41">
        <w:rPr>
          <w:rFonts w:ascii="Verdana" w:hAnsi="Verdana"/>
          <w:sz w:val="20"/>
          <w:szCs w:val="20"/>
        </w:rPr>
        <w:t>, o</w:t>
      </w:r>
      <w:r w:rsidR="00B06017">
        <w:rPr>
          <w:rFonts w:ascii="Verdana" w:hAnsi="Verdana"/>
          <w:sz w:val="20"/>
          <w:szCs w:val="20"/>
        </w:rPr>
        <w:t>f</w:t>
      </w:r>
      <w:r w:rsidR="00C56A41">
        <w:rPr>
          <w:rFonts w:ascii="Verdana" w:hAnsi="Verdana"/>
          <w:sz w:val="20"/>
          <w:szCs w:val="20"/>
        </w:rPr>
        <w:t xml:space="preserve"> which 3 GW is attributed to renewables</w:t>
      </w:r>
      <w:r w:rsidR="00D74B48">
        <w:rPr>
          <w:rFonts w:ascii="Verdana" w:hAnsi="Verdana"/>
          <w:sz w:val="20"/>
          <w:szCs w:val="20"/>
        </w:rPr>
        <w:t>.</w:t>
      </w:r>
    </w:p>
    <w:p w14:paraId="5BFC50FD" w14:textId="77777777" w:rsidR="00B5588B" w:rsidRPr="00B5588B" w:rsidRDefault="00B5588B" w:rsidP="00F97571">
      <w:pPr>
        <w:jc w:val="both"/>
        <w:rPr>
          <w:rFonts w:ascii="Verdana" w:hAnsi="Verdana"/>
          <w:sz w:val="20"/>
          <w:szCs w:val="20"/>
        </w:rPr>
      </w:pPr>
    </w:p>
    <w:p w14:paraId="334EA489" w14:textId="480B89DF" w:rsidR="00F95C31" w:rsidRDefault="00B5588B" w:rsidP="00F97571">
      <w:pPr>
        <w:jc w:val="both"/>
        <w:rPr>
          <w:rFonts w:ascii="Verdana" w:hAnsi="Verdana"/>
          <w:sz w:val="20"/>
          <w:szCs w:val="20"/>
        </w:rPr>
      </w:pPr>
      <w:r w:rsidRPr="00B5588B">
        <w:rPr>
          <w:rFonts w:ascii="Verdana" w:hAnsi="Verdana"/>
          <w:sz w:val="20"/>
          <w:szCs w:val="20"/>
        </w:rPr>
        <w:t xml:space="preserve">Adding DERs alleviates many </w:t>
      </w:r>
      <w:proofErr w:type="spellStart"/>
      <w:r w:rsidRPr="00B5588B">
        <w:rPr>
          <w:rFonts w:ascii="Verdana" w:hAnsi="Verdana"/>
          <w:sz w:val="20"/>
          <w:szCs w:val="20"/>
        </w:rPr>
        <w:t>ratebase</w:t>
      </w:r>
      <w:proofErr w:type="spellEnd"/>
      <w:r w:rsidRPr="00B5588B">
        <w:rPr>
          <w:rFonts w:ascii="Verdana" w:hAnsi="Verdana"/>
          <w:sz w:val="20"/>
          <w:szCs w:val="20"/>
        </w:rPr>
        <w:t xml:space="preserve"> concerns, the need for procurements, the need for long-term contracts, as well as siting and permit concerns. They can be deployed quickly and without public funds, subsidies or contracts. They also provide energy customers</w:t>
      </w:r>
      <w:r w:rsidR="0008635E">
        <w:rPr>
          <w:rFonts w:ascii="Verdana" w:hAnsi="Verdana"/>
          <w:sz w:val="20"/>
          <w:szCs w:val="20"/>
        </w:rPr>
        <w:t xml:space="preserve">, including </w:t>
      </w:r>
      <w:r w:rsidR="00432F5A">
        <w:rPr>
          <w:rFonts w:ascii="Verdana" w:hAnsi="Verdana"/>
          <w:sz w:val="20"/>
          <w:szCs w:val="20"/>
        </w:rPr>
        <w:t xml:space="preserve">small and large businesses, who are tenants of commercial </w:t>
      </w:r>
      <w:r w:rsidR="000E6DDB">
        <w:rPr>
          <w:rFonts w:ascii="Verdana" w:hAnsi="Verdana"/>
          <w:sz w:val="20"/>
          <w:szCs w:val="20"/>
        </w:rPr>
        <w:t>buildings</w:t>
      </w:r>
      <w:r w:rsidR="00071BCC">
        <w:rPr>
          <w:rFonts w:ascii="Verdana" w:hAnsi="Verdana"/>
          <w:sz w:val="20"/>
          <w:szCs w:val="20"/>
        </w:rPr>
        <w:t>,</w:t>
      </w:r>
      <w:r w:rsidRPr="00B5588B">
        <w:rPr>
          <w:rFonts w:ascii="Verdana" w:hAnsi="Verdana"/>
          <w:sz w:val="20"/>
          <w:szCs w:val="20"/>
        </w:rPr>
        <w:t xml:space="preserve"> with choice and the ability to </w:t>
      </w:r>
      <w:r w:rsidR="00435106">
        <w:rPr>
          <w:rFonts w:ascii="Verdana" w:hAnsi="Verdana"/>
          <w:sz w:val="20"/>
          <w:szCs w:val="20"/>
        </w:rPr>
        <w:t xml:space="preserve">improve affordability through </w:t>
      </w:r>
      <w:r w:rsidRPr="00B5588B">
        <w:rPr>
          <w:rFonts w:ascii="Verdana" w:hAnsi="Verdana"/>
          <w:sz w:val="20"/>
          <w:szCs w:val="20"/>
        </w:rPr>
        <w:t>lower energy costs.</w:t>
      </w:r>
    </w:p>
    <w:p w14:paraId="40062A41" w14:textId="77777777" w:rsidR="00E4342F" w:rsidRDefault="00E4342F" w:rsidP="00F97571">
      <w:pPr>
        <w:jc w:val="both"/>
        <w:rPr>
          <w:rFonts w:ascii="Verdana" w:hAnsi="Verdana"/>
          <w:sz w:val="20"/>
          <w:szCs w:val="20"/>
        </w:rPr>
      </w:pPr>
    </w:p>
    <w:p w14:paraId="7171C7DB" w14:textId="2C09AA71" w:rsidR="00B5373F" w:rsidRPr="00F95C31" w:rsidRDefault="00B5373F" w:rsidP="00F97571">
      <w:pPr>
        <w:jc w:val="both"/>
        <w:rPr>
          <w:rFonts w:ascii="Verdana" w:hAnsi="Verdana"/>
          <w:b/>
          <w:bCs/>
          <w:sz w:val="20"/>
          <w:szCs w:val="20"/>
        </w:rPr>
      </w:pPr>
      <w:r w:rsidRPr="00F95C31">
        <w:rPr>
          <w:rFonts w:ascii="Verdana" w:hAnsi="Verdana"/>
          <w:b/>
          <w:bCs/>
          <w:sz w:val="20"/>
          <w:szCs w:val="20"/>
        </w:rPr>
        <w:t xml:space="preserve">The Role of </w:t>
      </w:r>
      <w:r>
        <w:rPr>
          <w:rFonts w:ascii="Verdana" w:hAnsi="Verdana"/>
          <w:b/>
          <w:bCs/>
          <w:sz w:val="20"/>
          <w:szCs w:val="20"/>
        </w:rPr>
        <w:t>Virtual Power Purchase Agreements (VPPAs)</w:t>
      </w:r>
    </w:p>
    <w:p w14:paraId="20B90B5B" w14:textId="77777777" w:rsidR="00B5373F" w:rsidRDefault="00B5373F" w:rsidP="00F97571">
      <w:pPr>
        <w:jc w:val="both"/>
        <w:rPr>
          <w:rFonts w:ascii="Verdana" w:hAnsi="Verdana"/>
          <w:sz w:val="20"/>
          <w:szCs w:val="20"/>
        </w:rPr>
      </w:pPr>
    </w:p>
    <w:p w14:paraId="043A84BA" w14:textId="77777777" w:rsidR="001A6127" w:rsidRDefault="00043B20" w:rsidP="00F97571">
      <w:pPr>
        <w:jc w:val="both"/>
        <w:rPr>
          <w:rFonts w:ascii="Verdana" w:hAnsi="Verdana"/>
          <w:sz w:val="20"/>
          <w:szCs w:val="20"/>
        </w:rPr>
      </w:pPr>
      <w:r>
        <w:rPr>
          <w:rFonts w:ascii="Verdana" w:hAnsi="Verdana"/>
          <w:sz w:val="20"/>
          <w:szCs w:val="20"/>
        </w:rPr>
        <w:t>F</w:t>
      </w:r>
      <w:r w:rsidR="007D07FB" w:rsidRPr="007D07FB">
        <w:rPr>
          <w:rFonts w:ascii="Verdana" w:hAnsi="Verdana"/>
          <w:sz w:val="20"/>
          <w:szCs w:val="20"/>
        </w:rPr>
        <w:t>inancial contract</w:t>
      </w:r>
      <w:r>
        <w:rPr>
          <w:rFonts w:ascii="Verdana" w:hAnsi="Verdana"/>
          <w:sz w:val="20"/>
          <w:szCs w:val="20"/>
        </w:rPr>
        <w:t>s</w:t>
      </w:r>
      <w:r w:rsidR="007D07FB" w:rsidRPr="007D07FB">
        <w:rPr>
          <w:rFonts w:ascii="Verdana" w:hAnsi="Verdana"/>
          <w:sz w:val="20"/>
          <w:szCs w:val="20"/>
        </w:rPr>
        <w:t xml:space="preserve"> between a buyer and a renewable energy developer that </w:t>
      </w:r>
      <w:r w:rsidR="00914CD5">
        <w:rPr>
          <w:rFonts w:ascii="Verdana" w:hAnsi="Verdana"/>
          <w:sz w:val="20"/>
          <w:szCs w:val="20"/>
        </w:rPr>
        <w:t xml:space="preserve">effectively </w:t>
      </w:r>
      <w:r w:rsidR="007D07FB" w:rsidRPr="007D07FB">
        <w:rPr>
          <w:rFonts w:ascii="Verdana" w:hAnsi="Verdana"/>
          <w:sz w:val="20"/>
          <w:szCs w:val="20"/>
        </w:rPr>
        <w:t xml:space="preserve">allow the buyer to </w:t>
      </w:r>
      <w:r w:rsidR="00AD26FD" w:rsidRPr="00AD26FD">
        <w:rPr>
          <w:rFonts w:ascii="Verdana" w:hAnsi="Verdana"/>
          <w:sz w:val="20"/>
          <w:szCs w:val="20"/>
        </w:rPr>
        <w:t xml:space="preserve">invest in renewable energy generation in one location to offset their consumption in another </w:t>
      </w:r>
      <w:r w:rsidR="00914CD5">
        <w:rPr>
          <w:rFonts w:ascii="Verdana" w:hAnsi="Verdana"/>
          <w:sz w:val="20"/>
          <w:szCs w:val="20"/>
        </w:rPr>
        <w:t xml:space="preserve">(and </w:t>
      </w:r>
      <w:r w:rsidR="007D07FB" w:rsidRPr="007D07FB">
        <w:rPr>
          <w:rFonts w:ascii="Verdana" w:hAnsi="Verdana"/>
          <w:sz w:val="20"/>
          <w:szCs w:val="20"/>
        </w:rPr>
        <w:t>receive Renewable Energy Credits, or RECs)</w:t>
      </w:r>
      <w:r w:rsidR="00914CD5">
        <w:rPr>
          <w:rFonts w:ascii="Verdana" w:hAnsi="Verdana"/>
          <w:sz w:val="20"/>
          <w:szCs w:val="20"/>
        </w:rPr>
        <w:t xml:space="preserve"> </w:t>
      </w:r>
      <w:r w:rsidR="001A6127">
        <w:rPr>
          <w:rFonts w:ascii="Verdana" w:hAnsi="Verdana"/>
          <w:sz w:val="20"/>
          <w:szCs w:val="20"/>
        </w:rPr>
        <w:t>are</w:t>
      </w:r>
      <w:r w:rsidR="00914CD5">
        <w:rPr>
          <w:rFonts w:ascii="Verdana" w:hAnsi="Verdana"/>
          <w:sz w:val="20"/>
          <w:szCs w:val="20"/>
        </w:rPr>
        <w:t xml:space="preserve"> powerful.  </w:t>
      </w:r>
      <w:r w:rsidR="007D07FB" w:rsidRPr="007D07FB">
        <w:rPr>
          <w:rFonts w:ascii="Verdana" w:hAnsi="Verdana"/>
          <w:sz w:val="20"/>
          <w:szCs w:val="20"/>
        </w:rPr>
        <w:t xml:space="preserve"> </w:t>
      </w:r>
    </w:p>
    <w:p w14:paraId="1913096C" w14:textId="77777777" w:rsidR="001E0D34" w:rsidRDefault="001E0D34" w:rsidP="00F97571">
      <w:pPr>
        <w:jc w:val="both"/>
        <w:rPr>
          <w:rFonts w:ascii="Verdana" w:hAnsi="Verdana"/>
          <w:sz w:val="20"/>
          <w:szCs w:val="20"/>
        </w:rPr>
      </w:pPr>
    </w:p>
    <w:p w14:paraId="01A4507B" w14:textId="6DBE005F" w:rsidR="008248E5" w:rsidRPr="008248E5" w:rsidRDefault="008248E5" w:rsidP="00F97571">
      <w:pPr>
        <w:jc w:val="both"/>
        <w:rPr>
          <w:rFonts w:ascii="Verdana" w:hAnsi="Verdana"/>
          <w:sz w:val="20"/>
          <w:szCs w:val="20"/>
        </w:rPr>
      </w:pPr>
      <w:r w:rsidRPr="008248E5">
        <w:rPr>
          <w:rFonts w:ascii="Verdana" w:hAnsi="Verdana"/>
          <w:sz w:val="20"/>
          <w:szCs w:val="20"/>
        </w:rPr>
        <w:t>Within a VPPA contract, the corporate</w:t>
      </w:r>
      <w:r>
        <w:rPr>
          <w:rFonts w:ascii="Verdana" w:hAnsi="Verdana"/>
          <w:sz w:val="20"/>
          <w:szCs w:val="20"/>
        </w:rPr>
        <w:t xml:space="preserve"> </w:t>
      </w:r>
      <w:r w:rsidRPr="008248E5">
        <w:rPr>
          <w:rFonts w:ascii="Verdana" w:hAnsi="Verdana"/>
          <w:sz w:val="20"/>
          <w:szCs w:val="20"/>
        </w:rPr>
        <w:t>buyer does not own and is not responsible for the</w:t>
      </w:r>
    </w:p>
    <w:p w14:paraId="7C3781EA" w14:textId="276556BF" w:rsidR="008248E5" w:rsidRDefault="008248E5" w:rsidP="00F97571">
      <w:pPr>
        <w:jc w:val="both"/>
        <w:rPr>
          <w:rFonts w:ascii="Verdana" w:hAnsi="Verdana"/>
          <w:sz w:val="20"/>
          <w:szCs w:val="20"/>
        </w:rPr>
      </w:pPr>
      <w:r w:rsidRPr="008248E5">
        <w:rPr>
          <w:rFonts w:ascii="Verdana" w:hAnsi="Verdana"/>
          <w:sz w:val="20"/>
          <w:szCs w:val="20"/>
        </w:rPr>
        <w:t>physical electrons generated by the project. The</w:t>
      </w:r>
      <w:r>
        <w:rPr>
          <w:rFonts w:ascii="Verdana" w:hAnsi="Verdana"/>
          <w:sz w:val="20"/>
          <w:szCs w:val="20"/>
        </w:rPr>
        <w:t xml:space="preserve"> </w:t>
      </w:r>
      <w:r w:rsidRPr="008248E5">
        <w:rPr>
          <w:rFonts w:ascii="Verdana" w:hAnsi="Verdana"/>
          <w:sz w:val="20"/>
          <w:szCs w:val="20"/>
        </w:rPr>
        <w:t>VPPA is purely a financial transaction, exchanging</w:t>
      </w:r>
      <w:r>
        <w:rPr>
          <w:rFonts w:ascii="Verdana" w:hAnsi="Verdana"/>
          <w:sz w:val="20"/>
          <w:szCs w:val="20"/>
        </w:rPr>
        <w:t xml:space="preserve"> </w:t>
      </w:r>
      <w:r w:rsidRPr="008248E5">
        <w:rPr>
          <w:rFonts w:ascii="Verdana" w:hAnsi="Verdana"/>
          <w:sz w:val="20"/>
          <w:szCs w:val="20"/>
        </w:rPr>
        <w:t>a fixed-price cash flow for a variable-priced cash</w:t>
      </w:r>
      <w:r>
        <w:rPr>
          <w:rFonts w:ascii="Verdana" w:hAnsi="Verdana"/>
          <w:sz w:val="20"/>
          <w:szCs w:val="20"/>
        </w:rPr>
        <w:t xml:space="preserve"> </w:t>
      </w:r>
      <w:r w:rsidRPr="008248E5">
        <w:rPr>
          <w:rFonts w:ascii="Verdana" w:hAnsi="Verdana"/>
          <w:sz w:val="20"/>
          <w:szCs w:val="20"/>
        </w:rPr>
        <w:t>flow and renewable energy certificates (RECs).</w:t>
      </w:r>
      <w:r w:rsidR="001A6127">
        <w:rPr>
          <w:rFonts w:ascii="Verdana" w:hAnsi="Verdana"/>
          <w:sz w:val="20"/>
          <w:szCs w:val="20"/>
        </w:rPr>
        <w:t xml:space="preserve"> </w:t>
      </w:r>
      <w:r w:rsidRPr="008248E5">
        <w:rPr>
          <w:rFonts w:ascii="Verdana" w:hAnsi="Verdana"/>
          <w:sz w:val="20"/>
          <w:szCs w:val="20"/>
        </w:rPr>
        <w:t>Because the VPPA is purely financial, the buyer still</w:t>
      </w:r>
      <w:r>
        <w:rPr>
          <w:rFonts w:ascii="Verdana" w:hAnsi="Verdana"/>
          <w:sz w:val="20"/>
          <w:szCs w:val="20"/>
        </w:rPr>
        <w:t xml:space="preserve"> </w:t>
      </w:r>
      <w:r w:rsidRPr="008248E5">
        <w:rPr>
          <w:rFonts w:ascii="Verdana" w:hAnsi="Verdana"/>
          <w:sz w:val="20"/>
          <w:szCs w:val="20"/>
        </w:rPr>
        <w:t>needs to meet its electricity load through traditional</w:t>
      </w:r>
      <w:r>
        <w:rPr>
          <w:rFonts w:ascii="Verdana" w:hAnsi="Verdana"/>
          <w:sz w:val="20"/>
          <w:szCs w:val="20"/>
        </w:rPr>
        <w:t xml:space="preserve"> </w:t>
      </w:r>
      <w:r w:rsidRPr="008248E5">
        <w:rPr>
          <w:rFonts w:ascii="Verdana" w:hAnsi="Verdana"/>
          <w:sz w:val="20"/>
          <w:szCs w:val="20"/>
        </w:rPr>
        <w:t>channels—therefore, the VPPA means the buyer’s</w:t>
      </w:r>
      <w:r>
        <w:rPr>
          <w:rFonts w:ascii="Verdana" w:hAnsi="Verdana"/>
          <w:sz w:val="20"/>
          <w:szCs w:val="20"/>
        </w:rPr>
        <w:t xml:space="preserve"> </w:t>
      </w:r>
      <w:r w:rsidRPr="008248E5">
        <w:rPr>
          <w:rFonts w:ascii="Verdana" w:hAnsi="Verdana"/>
          <w:sz w:val="20"/>
          <w:szCs w:val="20"/>
        </w:rPr>
        <w:t>relationship with its utility at the retail level remains</w:t>
      </w:r>
      <w:r>
        <w:rPr>
          <w:rFonts w:ascii="Verdana" w:hAnsi="Verdana"/>
          <w:sz w:val="20"/>
          <w:szCs w:val="20"/>
        </w:rPr>
        <w:t xml:space="preserve"> </w:t>
      </w:r>
      <w:r w:rsidRPr="008248E5">
        <w:rPr>
          <w:rFonts w:ascii="Verdana" w:hAnsi="Verdana"/>
          <w:sz w:val="20"/>
          <w:szCs w:val="20"/>
        </w:rPr>
        <w:t>unchanged</w:t>
      </w:r>
      <w:r>
        <w:rPr>
          <w:rFonts w:ascii="Verdana" w:hAnsi="Verdana"/>
          <w:sz w:val="20"/>
          <w:szCs w:val="20"/>
        </w:rPr>
        <w:t>.</w:t>
      </w:r>
    </w:p>
    <w:p w14:paraId="5D6F901F" w14:textId="77777777" w:rsidR="008248E5" w:rsidRDefault="008248E5" w:rsidP="00F97571">
      <w:pPr>
        <w:jc w:val="both"/>
        <w:rPr>
          <w:rFonts w:ascii="Verdana" w:hAnsi="Verdana"/>
          <w:sz w:val="20"/>
          <w:szCs w:val="20"/>
        </w:rPr>
      </w:pPr>
    </w:p>
    <w:p w14:paraId="4A9C2D61" w14:textId="2A44D6CB" w:rsidR="00327BCE" w:rsidRDefault="006E4B46" w:rsidP="00F97571">
      <w:pPr>
        <w:jc w:val="both"/>
        <w:rPr>
          <w:rFonts w:ascii="Verdana" w:hAnsi="Verdana"/>
          <w:sz w:val="20"/>
          <w:szCs w:val="20"/>
        </w:rPr>
      </w:pPr>
      <w:r>
        <w:rPr>
          <w:rFonts w:ascii="Verdana" w:hAnsi="Verdana"/>
          <w:sz w:val="20"/>
          <w:szCs w:val="20"/>
        </w:rPr>
        <w:t>VPPAs</w:t>
      </w:r>
      <w:r w:rsidR="00BF79A0" w:rsidRPr="00BF79A0">
        <w:rPr>
          <w:rFonts w:ascii="Verdana" w:hAnsi="Verdana"/>
          <w:sz w:val="20"/>
          <w:szCs w:val="20"/>
        </w:rPr>
        <w:t xml:space="preserve"> ha</w:t>
      </w:r>
      <w:r>
        <w:rPr>
          <w:rFonts w:ascii="Verdana" w:hAnsi="Verdana"/>
          <w:sz w:val="20"/>
          <w:szCs w:val="20"/>
        </w:rPr>
        <w:t>ve</w:t>
      </w:r>
      <w:r w:rsidR="00BF79A0" w:rsidRPr="00BF79A0">
        <w:rPr>
          <w:rFonts w:ascii="Verdana" w:hAnsi="Verdana"/>
          <w:sz w:val="20"/>
          <w:szCs w:val="20"/>
        </w:rPr>
        <w:t xml:space="preserve"> the potential to reduce electricity costs over the long term </w:t>
      </w:r>
      <w:r>
        <w:rPr>
          <w:rFonts w:ascii="Verdana" w:hAnsi="Verdana"/>
          <w:sz w:val="20"/>
          <w:szCs w:val="20"/>
        </w:rPr>
        <w:t xml:space="preserve">for </w:t>
      </w:r>
      <w:r w:rsidR="00071BCC">
        <w:rPr>
          <w:rFonts w:ascii="Verdana" w:hAnsi="Verdana"/>
          <w:sz w:val="20"/>
          <w:szCs w:val="20"/>
        </w:rPr>
        <w:t xml:space="preserve">energy customers, including commercial real estate owners, </w:t>
      </w:r>
      <w:r w:rsidR="00BF79A0" w:rsidRPr="00BF79A0">
        <w:rPr>
          <w:rFonts w:ascii="Verdana" w:hAnsi="Verdana"/>
          <w:sz w:val="20"/>
          <w:szCs w:val="20"/>
        </w:rPr>
        <w:t xml:space="preserve">as the VPPA is a contract that locks in a set price for electricity (through its investment in a renewable energy project) which in turn acts as a hedge against volatile/rising electricity prices.  The VPPA </w:t>
      </w:r>
      <w:r w:rsidR="00FC280D" w:rsidRPr="00BF79A0">
        <w:rPr>
          <w:rFonts w:ascii="Verdana" w:hAnsi="Verdana"/>
          <w:sz w:val="20"/>
          <w:szCs w:val="20"/>
        </w:rPr>
        <w:t>can</w:t>
      </w:r>
      <w:r w:rsidR="00FC3F6B">
        <w:rPr>
          <w:rFonts w:ascii="Verdana" w:hAnsi="Verdana"/>
          <w:sz w:val="20"/>
          <w:szCs w:val="20"/>
        </w:rPr>
        <w:t xml:space="preserve"> </w:t>
      </w:r>
      <w:r w:rsidR="00FC280D">
        <w:rPr>
          <w:rFonts w:ascii="Verdana" w:hAnsi="Verdana"/>
          <w:sz w:val="20"/>
          <w:szCs w:val="20"/>
        </w:rPr>
        <w:t xml:space="preserve">also </w:t>
      </w:r>
      <w:r w:rsidR="00BF79A0" w:rsidRPr="00BF79A0">
        <w:rPr>
          <w:rFonts w:ascii="Verdana" w:hAnsi="Verdana"/>
          <w:sz w:val="20"/>
          <w:szCs w:val="20"/>
        </w:rPr>
        <w:t xml:space="preserve">provide material new opportunities for companies to achieve emission reductions that contribute towards </w:t>
      </w:r>
      <w:r w:rsidR="00FC3F6B">
        <w:rPr>
          <w:rFonts w:ascii="Verdana" w:hAnsi="Verdana"/>
          <w:sz w:val="20"/>
          <w:szCs w:val="20"/>
        </w:rPr>
        <w:t xml:space="preserve">their </w:t>
      </w:r>
      <w:r w:rsidR="00BF79A0" w:rsidRPr="00BF79A0">
        <w:rPr>
          <w:rFonts w:ascii="Verdana" w:hAnsi="Verdana"/>
          <w:sz w:val="20"/>
          <w:szCs w:val="20"/>
        </w:rPr>
        <w:t>decarbonization targets</w:t>
      </w:r>
      <w:r w:rsidR="00FC3F6B">
        <w:rPr>
          <w:rFonts w:ascii="Verdana" w:hAnsi="Verdana"/>
          <w:sz w:val="20"/>
          <w:szCs w:val="20"/>
        </w:rPr>
        <w:t>.</w:t>
      </w:r>
    </w:p>
    <w:p w14:paraId="4F177DC5" w14:textId="77777777" w:rsidR="00BA0196" w:rsidRDefault="00BA0196" w:rsidP="00F97571">
      <w:pPr>
        <w:jc w:val="both"/>
        <w:rPr>
          <w:rFonts w:ascii="Verdana" w:hAnsi="Verdana"/>
          <w:sz w:val="20"/>
          <w:szCs w:val="20"/>
        </w:rPr>
      </w:pPr>
    </w:p>
    <w:p w14:paraId="4420CAA7" w14:textId="3CEEAB09" w:rsidR="00327BCE" w:rsidRDefault="000553A6" w:rsidP="00F97571">
      <w:pPr>
        <w:jc w:val="both"/>
        <w:rPr>
          <w:rFonts w:ascii="Verdana" w:hAnsi="Verdana"/>
          <w:sz w:val="20"/>
          <w:szCs w:val="20"/>
        </w:rPr>
      </w:pPr>
      <w:r>
        <w:rPr>
          <w:rFonts w:ascii="Verdana" w:hAnsi="Verdana"/>
          <w:sz w:val="20"/>
          <w:szCs w:val="20"/>
        </w:rPr>
        <w:t>One of t</w:t>
      </w:r>
      <w:r w:rsidR="00327BCE">
        <w:rPr>
          <w:rFonts w:ascii="Verdana" w:hAnsi="Verdana"/>
          <w:sz w:val="20"/>
          <w:szCs w:val="20"/>
        </w:rPr>
        <w:t>he challenge</w:t>
      </w:r>
      <w:r>
        <w:rPr>
          <w:rFonts w:ascii="Verdana" w:hAnsi="Verdana"/>
          <w:sz w:val="20"/>
          <w:szCs w:val="20"/>
        </w:rPr>
        <w:t>s</w:t>
      </w:r>
      <w:r w:rsidR="00327BCE">
        <w:rPr>
          <w:rFonts w:ascii="Verdana" w:hAnsi="Verdana"/>
          <w:sz w:val="20"/>
          <w:szCs w:val="20"/>
        </w:rPr>
        <w:t xml:space="preserve"> with VPPA</w:t>
      </w:r>
      <w:r w:rsidR="006A4D32">
        <w:rPr>
          <w:rFonts w:ascii="Verdana" w:hAnsi="Verdana"/>
          <w:sz w:val="20"/>
          <w:szCs w:val="20"/>
        </w:rPr>
        <w:t xml:space="preserve"> </w:t>
      </w:r>
      <w:r w:rsidR="00327BCE">
        <w:rPr>
          <w:rFonts w:ascii="Verdana" w:hAnsi="Verdana"/>
          <w:sz w:val="20"/>
          <w:szCs w:val="20"/>
        </w:rPr>
        <w:t xml:space="preserve">adoption in Ontario to date, </w:t>
      </w:r>
      <w:r w:rsidR="00F80662">
        <w:rPr>
          <w:rFonts w:ascii="Verdana" w:hAnsi="Verdana"/>
          <w:sz w:val="20"/>
          <w:szCs w:val="20"/>
        </w:rPr>
        <w:t>h</w:t>
      </w:r>
      <w:r w:rsidR="00327BCE">
        <w:rPr>
          <w:rFonts w:ascii="Verdana" w:hAnsi="Verdana"/>
          <w:sz w:val="20"/>
          <w:szCs w:val="20"/>
        </w:rPr>
        <w:t>as been the</w:t>
      </w:r>
      <w:r w:rsidR="008A196A">
        <w:rPr>
          <w:rFonts w:ascii="Verdana" w:hAnsi="Verdana"/>
          <w:sz w:val="20"/>
          <w:szCs w:val="20"/>
        </w:rPr>
        <w:t xml:space="preserve"> inability t</w:t>
      </w:r>
      <w:r w:rsidR="006A4D32">
        <w:rPr>
          <w:rFonts w:ascii="Verdana" w:hAnsi="Verdana"/>
          <w:sz w:val="20"/>
          <w:szCs w:val="20"/>
        </w:rPr>
        <w:t xml:space="preserve">o manage Global Adjustment costs within the </w:t>
      </w:r>
      <w:r w:rsidR="00CC5EA1">
        <w:rPr>
          <w:rFonts w:ascii="Verdana" w:hAnsi="Verdana"/>
          <w:sz w:val="20"/>
          <w:szCs w:val="20"/>
        </w:rPr>
        <w:t>economic structure</w:t>
      </w:r>
      <w:r w:rsidR="006A4D32">
        <w:rPr>
          <w:rFonts w:ascii="Verdana" w:hAnsi="Verdana"/>
          <w:sz w:val="20"/>
          <w:szCs w:val="20"/>
        </w:rPr>
        <w:t xml:space="preserve"> of the VPPA</w:t>
      </w:r>
      <w:r w:rsidR="002301C9">
        <w:rPr>
          <w:rFonts w:ascii="Verdana" w:hAnsi="Verdana"/>
          <w:sz w:val="20"/>
          <w:szCs w:val="20"/>
        </w:rPr>
        <w:t>. As Global Adjustment costs are a significant component of the supply cost of electricity</w:t>
      </w:r>
      <w:r w:rsidR="00401B4E">
        <w:rPr>
          <w:rFonts w:ascii="Verdana" w:hAnsi="Verdana"/>
          <w:sz w:val="20"/>
          <w:szCs w:val="20"/>
        </w:rPr>
        <w:t xml:space="preserve">, this </w:t>
      </w:r>
      <w:r w:rsidR="00366C60">
        <w:rPr>
          <w:rFonts w:ascii="Verdana" w:hAnsi="Verdana"/>
          <w:sz w:val="20"/>
          <w:szCs w:val="20"/>
        </w:rPr>
        <w:t xml:space="preserve">has been a significant barrier </w:t>
      </w:r>
      <w:r w:rsidR="00AD3DDA">
        <w:rPr>
          <w:rFonts w:ascii="Verdana" w:hAnsi="Verdana"/>
          <w:sz w:val="20"/>
          <w:szCs w:val="20"/>
        </w:rPr>
        <w:t>to executing a successful VPPA.</w:t>
      </w:r>
      <w:r w:rsidR="0031317A">
        <w:rPr>
          <w:rFonts w:ascii="Verdana" w:hAnsi="Verdana"/>
          <w:sz w:val="20"/>
          <w:szCs w:val="20"/>
        </w:rPr>
        <w:t xml:space="preserve"> </w:t>
      </w:r>
    </w:p>
    <w:p w14:paraId="4FD23DAA" w14:textId="77777777" w:rsidR="000755AF" w:rsidRPr="00D36D94" w:rsidRDefault="000755AF" w:rsidP="00F97571">
      <w:pPr>
        <w:jc w:val="both"/>
        <w:rPr>
          <w:rFonts w:ascii="Verdana" w:hAnsi="Verdana"/>
          <w:b/>
          <w:bCs/>
          <w:sz w:val="20"/>
          <w:szCs w:val="20"/>
        </w:rPr>
      </w:pPr>
    </w:p>
    <w:p w14:paraId="7A378973" w14:textId="5B3D27BD" w:rsidR="008603AC" w:rsidRDefault="008603AC" w:rsidP="00F97571">
      <w:pPr>
        <w:jc w:val="both"/>
        <w:rPr>
          <w:rFonts w:ascii="Verdana" w:hAnsi="Verdana"/>
          <w:b/>
          <w:bCs/>
          <w:sz w:val="20"/>
          <w:szCs w:val="20"/>
        </w:rPr>
      </w:pPr>
      <w:r w:rsidRPr="00D36D94">
        <w:rPr>
          <w:rFonts w:ascii="Verdana" w:hAnsi="Verdana"/>
          <w:b/>
          <w:bCs/>
          <w:sz w:val="20"/>
          <w:szCs w:val="20"/>
        </w:rPr>
        <w:t>The Case for VPPAs and DERs</w:t>
      </w:r>
      <w:r w:rsidR="001B3079">
        <w:rPr>
          <w:rFonts w:ascii="Verdana" w:hAnsi="Verdana"/>
          <w:b/>
          <w:bCs/>
          <w:sz w:val="20"/>
          <w:szCs w:val="20"/>
        </w:rPr>
        <w:t xml:space="preserve"> for Ontario</w:t>
      </w:r>
    </w:p>
    <w:p w14:paraId="257674E2" w14:textId="77777777" w:rsidR="00C3495A" w:rsidRDefault="00C3495A" w:rsidP="00F97571">
      <w:pPr>
        <w:jc w:val="both"/>
        <w:rPr>
          <w:rFonts w:ascii="Verdana" w:hAnsi="Verdana"/>
          <w:b/>
          <w:bCs/>
          <w:sz w:val="20"/>
          <w:szCs w:val="20"/>
        </w:rPr>
      </w:pPr>
    </w:p>
    <w:p w14:paraId="1629D5E1" w14:textId="17854B7A" w:rsidR="00FC3F6B" w:rsidRPr="00D36D94" w:rsidRDefault="00FC3F6B" w:rsidP="00F97571">
      <w:pPr>
        <w:jc w:val="both"/>
        <w:rPr>
          <w:rFonts w:ascii="Verdana" w:hAnsi="Verdana"/>
          <w:sz w:val="20"/>
          <w:szCs w:val="20"/>
        </w:rPr>
      </w:pPr>
      <w:r w:rsidRPr="00D36D94">
        <w:rPr>
          <w:rFonts w:ascii="Verdana" w:hAnsi="Verdana"/>
          <w:sz w:val="20"/>
          <w:szCs w:val="20"/>
        </w:rPr>
        <w:t>We strongly advocate for the inclusion and facilitation of VPPAs and DERs in the IERP. These mechanisms are critical to</w:t>
      </w:r>
      <w:r w:rsidR="007F3BE4">
        <w:rPr>
          <w:rFonts w:ascii="Verdana" w:hAnsi="Verdana"/>
          <w:sz w:val="20"/>
          <w:szCs w:val="20"/>
        </w:rPr>
        <w:t>:</w:t>
      </w:r>
    </w:p>
    <w:p w14:paraId="0669713D" w14:textId="77777777" w:rsidR="00FC3F6B" w:rsidRPr="00D36D94" w:rsidRDefault="00FC3F6B" w:rsidP="00F97571">
      <w:pPr>
        <w:jc w:val="both"/>
        <w:rPr>
          <w:rFonts w:ascii="Verdana" w:hAnsi="Verdana"/>
          <w:b/>
          <w:bCs/>
          <w:sz w:val="20"/>
          <w:szCs w:val="20"/>
        </w:rPr>
      </w:pPr>
    </w:p>
    <w:p w14:paraId="3FA0EF86" w14:textId="6F0F3F77" w:rsidR="008603AC" w:rsidRPr="00871D67" w:rsidRDefault="008603AC" w:rsidP="00871D67">
      <w:pPr>
        <w:numPr>
          <w:ilvl w:val="0"/>
          <w:numId w:val="7"/>
        </w:numPr>
        <w:tabs>
          <w:tab w:val="clear" w:pos="720"/>
          <w:tab w:val="num" w:pos="360"/>
        </w:tabs>
        <w:ind w:left="360"/>
        <w:rPr>
          <w:rFonts w:ascii="Verdana" w:hAnsi="Verdana"/>
          <w:sz w:val="20"/>
          <w:szCs w:val="20"/>
        </w:rPr>
      </w:pPr>
      <w:r w:rsidRPr="00D87DC4">
        <w:rPr>
          <w:rFonts w:ascii="Verdana" w:hAnsi="Verdana"/>
          <w:i/>
          <w:iCs/>
          <w:sz w:val="20"/>
          <w:szCs w:val="20"/>
        </w:rPr>
        <w:t>Economic Growth and Job Creation</w:t>
      </w:r>
      <w:r w:rsidRPr="00D87DC4">
        <w:rPr>
          <w:rFonts w:ascii="Verdana" w:hAnsi="Verdana"/>
          <w:i/>
          <w:iCs/>
          <w:sz w:val="20"/>
          <w:szCs w:val="20"/>
        </w:rPr>
        <w:br/>
      </w:r>
      <w:r w:rsidRPr="00871D67">
        <w:rPr>
          <w:rFonts w:ascii="Verdana" w:hAnsi="Verdana"/>
          <w:sz w:val="20"/>
          <w:szCs w:val="20"/>
        </w:rPr>
        <w:t>VPPAs and DERs attract private-sector investment, stimulating job creation in construction, maintenance, and operations. These investments align with Ontario’s broader economic goals, supporting industries like real estate, manufacturing, and technology.</w:t>
      </w:r>
    </w:p>
    <w:p w14:paraId="744E1A51" w14:textId="77777777" w:rsidR="00416FDE" w:rsidRPr="00416FDE" w:rsidRDefault="00416FDE" w:rsidP="00871D67">
      <w:pPr>
        <w:ind w:left="360"/>
        <w:rPr>
          <w:rFonts w:ascii="Verdana" w:hAnsi="Verdana"/>
          <w:sz w:val="20"/>
          <w:szCs w:val="20"/>
        </w:rPr>
      </w:pPr>
    </w:p>
    <w:p w14:paraId="1C11AD24" w14:textId="6D65C547" w:rsidR="008603AC" w:rsidRPr="00D36D94" w:rsidRDefault="008603AC" w:rsidP="00871D67">
      <w:pPr>
        <w:numPr>
          <w:ilvl w:val="0"/>
          <w:numId w:val="7"/>
        </w:numPr>
        <w:tabs>
          <w:tab w:val="clear" w:pos="720"/>
          <w:tab w:val="num" w:pos="360"/>
        </w:tabs>
        <w:ind w:left="360"/>
        <w:rPr>
          <w:rFonts w:ascii="Verdana" w:hAnsi="Verdana"/>
          <w:sz w:val="20"/>
          <w:szCs w:val="20"/>
        </w:rPr>
      </w:pPr>
      <w:r w:rsidRPr="00D87DC4">
        <w:rPr>
          <w:rFonts w:ascii="Verdana" w:hAnsi="Verdana"/>
          <w:i/>
          <w:iCs/>
          <w:sz w:val="20"/>
          <w:szCs w:val="20"/>
        </w:rPr>
        <w:t>Affordable and Sustainable Capacity Expansion</w:t>
      </w:r>
      <w:r w:rsidRPr="00D87DC4">
        <w:rPr>
          <w:rFonts w:ascii="Verdana" w:hAnsi="Verdana"/>
          <w:i/>
          <w:iCs/>
          <w:sz w:val="20"/>
          <w:szCs w:val="20"/>
        </w:rPr>
        <w:br/>
      </w:r>
      <w:r w:rsidRPr="00D36D94">
        <w:rPr>
          <w:rFonts w:ascii="Verdana" w:hAnsi="Verdana"/>
          <w:sz w:val="20"/>
          <w:szCs w:val="20"/>
        </w:rPr>
        <w:t>Leveraging private-sector capital, VPPAs enable timely and cost-effective DER development without burdening taxpayers. This ensures grid expansion while reducing greenhouse gas emissions.</w:t>
      </w:r>
    </w:p>
    <w:p w14:paraId="0FB50AF6" w14:textId="77777777" w:rsidR="00416FDE" w:rsidRPr="00416FDE" w:rsidRDefault="00416FDE" w:rsidP="00871D67">
      <w:pPr>
        <w:ind w:left="360"/>
        <w:rPr>
          <w:rFonts w:ascii="Verdana" w:hAnsi="Verdana"/>
          <w:sz w:val="20"/>
          <w:szCs w:val="20"/>
        </w:rPr>
      </w:pPr>
    </w:p>
    <w:p w14:paraId="6D2C002A" w14:textId="09B34B55" w:rsidR="008603AC" w:rsidRPr="00D36D94" w:rsidRDefault="008603AC" w:rsidP="00871D67">
      <w:pPr>
        <w:numPr>
          <w:ilvl w:val="0"/>
          <w:numId w:val="7"/>
        </w:numPr>
        <w:tabs>
          <w:tab w:val="clear" w:pos="720"/>
          <w:tab w:val="num" w:pos="360"/>
        </w:tabs>
        <w:ind w:left="360"/>
        <w:rPr>
          <w:rFonts w:ascii="Verdana" w:hAnsi="Verdana"/>
          <w:sz w:val="20"/>
          <w:szCs w:val="20"/>
        </w:rPr>
      </w:pPr>
      <w:r w:rsidRPr="00D87DC4">
        <w:rPr>
          <w:rFonts w:ascii="Verdana" w:hAnsi="Verdana"/>
          <w:i/>
          <w:iCs/>
          <w:sz w:val="20"/>
          <w:szCs w:val="20"/>
        </w:rPr>
        <w:t xml:space="preserve">Energy Cost </w:t>
      </w:r>
      <w:r w:rsidR="00EB4AFD">
        <w:rPr>
          <w:rFonts w:ascii="Verdana" w:hAnsi="Verdana"/>
          <w:i/>
          <w:iCs/>
          <w:sz w:val="20"/>
          <w:szCs w:val="20"/>
        </w:rPr>
        <w:t xml:space="preserve">Management </w:t>
      </w:r>
      <w:r w:rsidRPr="00D87DC4">
        <w:rPr>
          <w:rFonts w:ascii="Verdana" w:hAnsi="Verdana"/>
          <w:i/>
          <w:iCs/>
          <w:sz w:val="20"/>
          <w:szCs w:val="20"/>
        </w:rPr>
        <w:br/>
      </w:r>
      <w:r w:rsidRPr="00D36D94">
        <w:rPr>
          <w:rFonts w:ascii="Verdana" w:hAnsi="Verdana"/>
          <w:sz w:val="20"/>
          <w:szCs w:val="20"/>
        </w:rPr>
        <w:t>VPPAs</w:t>
      </w:r>
      <w:r w:rsidR="004569D5">
        <w:rPr>
          <w:rFonts w:ascii="Verdana" w:hAnsi="Verdana"/>
          <w:sz w:val="20"/>
          <w:szCs w:val="20"/>
        </w:rPr>
        <w:t xml:space="preserve"> should</w:t>
      </w:r>
      <w:r w:rsidRPr="00D36D94">
        <w:rPr>
          <w:rFonts w:ascii="Verdana" w:hAnsi="Verdana"/>
          <w:sz w:val="20"/>
          <w:szCs w:val="20"/>
        </w:rPr>
        <w:t xml:space="preserve"> provide businesses with </w:t>
      </w:r>
      <w:r w:rsidR="00C04870">
        <w:rPr>
          <w:rFonts w:ascii="Verdana" w:hAnsi="Verdana"/>
          <w:sz w:val="20"/>
          <w:szCs w:val="20"/>
        </w:rPr>
        <w:t xml:space="preserve">greater </w:t>
      </w:r>
      <w:r w:rsidRPr="00D36D94">
        <w:rPr>
          <w:rFonts w:ascii="Verdana" w:hAnsi="Verdana"/>
          <w:sz w:val="20"/>
          <w:szCs w:val="20"/>
        </w:rPr>
        <w:t>price certainty</w:t>
      </w:r>
      <w:r w:rsidR="00C04870">
        <w:rPr>
          <w:rFonts w:ascii="Verdana" w:hAnsi="Verdana"/>
          <w:sz w:val="20"/>
          <w:szCs w:val="20"/>
        </w:rPr>
        <w:t>,</w:t>
      </w:r>
      <w:r w:rsidR="000B0C75">
        <w:rPr>
          <w:rFonts w:ascii="Verdana" w:hAnsi="Verdana"/>
          <w:sz w:val="20"/>
          <w:szCs w:val="20"/>
        </w:rPr>
        <w:t xml:space="preserve"> a</w:t>
      </w:r>
      <w:r w:rsidR="00C04870">
        <w:rPr>
          <w:rFonts w:ascii="Verdana" w:hAnsi="Verdana"/>
          <w:sz w:val="20"/>
          <w:szCs w:val="20"/>
        </w:rPr>
        <w:t>s well</w:t>
      </w:r>
      <w:r w:rsidR="000B0C75">
        <w:rPr>
          <w:rFonts w:ascii="Verdana" w:hAnsi="Verdana"/>
          <w:sz w:val="20"/>
          <w:szCs w:val="20"/>
        </w:rPr>
        <w:t xml:space="preserve"> </w:t>
      </w:r>
      <w:r w:rsidR="00C04870">
        <w:rPr>
          <w:rFonts w:ascii="Verdana" w:hAnsi="Verdana"/>
          <w:sz w:val="20"/>
          <w:szCs w:val="20"/>
        </w:rPr>
        <w:t xml:space="preserve">as </w:t>
      </w:r>
      <w:r w:rsidR="000B0C75">
        <w:rPr>
          <w:rFonts w:ascii="Verdana" w:hAnsi="Verdana"/>
          <w:sz w:val="20"/>
          <w:szCs w:val="20"/>
        </w:rPr>
        <w:t xml:space="preserve">cost reduction </w:t>
      </w:r>
      <w:r w:rsidR="00CF4047">
        <w:rPr>
          <w:rFonts w:ascii="Verdana" w:hAnsi="Verdana"/>
          <w:sz w:val="20"/>
          <w:szCs w:val="20"/>
        </w:rPr>
        <w:t>opportunities whe</w:t>
      </w:r>
      <w:r w:rsidR="009948BA">
        <w:rPr>
          <w:rFonts w:ascii="Verdana" w:hAnsi="Verdana"/>
          <w:sz w:val="20"/>
          <w:szCs w:val="20"/>
        </w:rPr>
        <w:t>n</w:t>
      </w:r>
      <w:r w:rsidR="00CF4047">
        <w:rPr>
          <w:rFonts w:ascii="Verdana" w:hAnsi="Verdana"/>
          <w:sz w:val="20"/>
          <w:szCs w:val="20"/>
        </w:rPr>
        <w:t xml:space="preserve"> </w:t>
      </w:r>
      <w:r w:rsidR="00F424A4">
        <w:rPr>
          <w:rFonts w:ascii="Verdana" w:hAnsi="Verdana"/>
          <w:sz w:val="20"/>
          <w:szCs w:val="20"/>
        </w:rPr>
        <w:t xml:space="preserve">contracted </w:t>
      </w:r>
      <w:r w:rsidR="00CF4047">
        <w:rPr>
          <w:rFonts w:ascii="Verdana" w:hAnsi="Verdana"/>
          <w:sz w:val="20"/>
          <w:szCs w:val="20"/>
        </w:rPr>
        <w:t xml:space="preserve">renewable energy generation </w:t>
      </w:r>
      <w:r w:rsidR="00F424A4">
        <w:rPr>
          <w:rFonts w:ascii="Verdana" w:hAnsi="Verdana"/>
          <w:sz w:val="20"/>
          <w:szCs w:val="20"/>
        </w:rPr>
        <w:t xml:space="preserve">is </w:t>
      </w:r>
      <w:r w:rsidR="00C04870">
        <w:rPr>
          <w:rFonts w:ascii="Verdana" w:hAnsi="Verdana"/>
          <w:sz w:val="20"/>
          <w:szCs w:val="20"/>
        </w:rPr>
        <w:t xml:space="preserve">considered for the purpose of </w:t>
      </w:r>
      <w:r w:rsidR="002529D7">
        <w:rPr>
          <w:rFonts w:ascii="Verdana" w:hAnsi="Verdana"/>
          <w:sz w:val="20"/>
          <w:szCs w:val="20"/>
        </w:rPr>
        <w:t>determining Global Adjustment (GA) charges</w:t>
      </w:r>
      <w:proofErr w:type="gramStart"/>
      <w:r w:rsidR="002529D7">
        <w:rPr>
          <w:rFonts w:ascii="Verdana" w:hAnsi="Verdana"/>
          <w:sz w:val="20"/>
          <w:szCs w:val="20"/>
        </w:rPr>
        <w:t xml:space="preserve">. </w:t>
      </w:r>
      <w:r w:rsidRPr="00D36D94">
        <w:rPr>
          <w:rFonts w:ascii="Verdana" w:hAnsi="Verdana"/>
          <w:sz w:val="20"/>
          <w:szCs w:val="20"/>
        </w:rPr>
        <w:t>.</w:t>
      </w:r>
      <w:proofErr w:type="gramEnd"/>
      <w:r w:rsidRPr="00D36D94">
        <w:rPr>
          <w:rFonts w:ascii="Verdana" w:hAnsi="Verdana"/>
          <w:sz w:val="20"/>
          <w:szCs w:val="20"/>
        </w:rPr>
        <w:t xml:space="preserve"> This is </w:t>
      </w:r>
      <w:proofErr w:type="gramStart"/>
      <w:r w:rsidRPr="00D36D94">
        <w:rPr>
          <w:rFonts w:ascii="Verdana" w:hAnsi="Verdana"/>
          <w:sz w:val="20"/>
          <w:szCs w:val="20"/>
        </w:rPr>
        <w:t xml:space="preserve">essential  </w:t>
      </w:r>
      <w:r w:rsidR="008F742E">
        <w:rPr>
          <w:rFonts w:ascii="Verdana" w:hAnsi="Verdana"/>
          <w:sz w:val="20"/>
          <w:szCs w:val="20"/>
        </w:rPr>
        <w:t>to</w:t>
      </w:r>
      <w:proofErr w:type="gramEnd"/>
      <w:r w:rsidR="008F742E">
        <w:rPr>
          <w:rFonts w:ascii="Verdana" w:hAnsi="Verdana"/>
          <w:sz w:val="20"/>
          <w:szCs w:val="20"/>
        </w:rPr>
        <w:t xml:space="preserve"> help </w:t>
      </w:r>
      <w:r w:rsidRPr="00D36D94">
        <w:rPr>
          <w:rFonts w:ascii="Verdana" w:hAnsi="Verdana"/>
          <w:sz w:val="20"/>
          <w:szCs w:val="20"/>
        </w:rPr>
        <w:t xml:space="preserve"> </w:t>
      </w:r>
      <w:r w:rsidR="00145B6A">
        <w:rPr>
          <w:rFonts w:ascii="Verdana" w:hAnsi="Verdana"/>
          <w:sz w:val="20"/>
          <w:szCs w:val="20"/>
        </w:rPr>
        <w:t xml:space="preserve">commercial building </w:t>
      </w:r>
      <w:r w:rsidR="00D72D8A">
        <w:rPr>
          <w:rFonts w:ascii="Verdana" w:hAnsi="Verdana"/>
          <w:sz w:val="20"/>
          <w:szCs w:val="20"/>
        </w:rPr>
        <w:t xml:space="preserve"> </w:t>
      </w:r>
      <w:r w:rsidRPr="00D36D94">
        <w:rPr>
          <w:rFonts w:ascii="Verdana" w:hAnsi="Verdana"/>
          <w:sz w:val="20"/>
          <w:szCs w:val="20"/>
        </w:rPr>
        <w:t xml:space="preserve">owners,  manage operating costs </w:t>
      </w:r>
      <w:r w:rsidR="009948BA">
        <w:rPr>
          <w:rFonts w:ascii="Verdana" w:hAnsi="Verdana"/>
          <w:sz w:val="20"/>
          <w:szCs w:val="20"/>
        </w:rPr>
        <w:t xml:space="preserve">more </w:t>
      </w:r>
      <w:r w:rsidRPr="00D36D94">
        <w:rPr>
          <w:rFonts w:ascii="Verdana" w:hAnsi="Verdana"/>
          <w:sz w:val="20"/>
          <w:szCs w:val="20"/>
        </w:rPr>
        <w:t>effectively</w:t>
      </w:r>
      <w:r w:rsidR="006263F8">
        <w:rPr>
          <w:rFonts w:ascii="Verdana" w:hAnsi="Verdana"/>
          <w:sz w:val="20"/>
          <w:szCs w:val="20"/>
        </w:rPr>
        <w:t>, which in turn improve</w:t>
      </w:r>
      <w:r w:rsidR="00CE2E0E">
        <w:rPr>
          <w:rFonts w:ascii="Verdana" w:hAnsi="Verdana"/>
          <w:sz w:val="20"/>
          <w:szCs w:val="20"/>
        </w:rPr>
        <w:t>s</w:t>
      </w:r>
      <w:r w:rsidR="006263F8">
        <w:rPr>
          <w:rFonts w:ascii="Verdana" w:hAnsi="Verdana"/>
          <w:sz w:val="20"/>
          <w:szCs w:val="20"/>
        </w:rPr>
        <w:t xml:space="preserve"> affordability for </w:t>
      </w:r>
      <w:r w:rsidR="00F11499">
        <w:rPr>
          <w:rFonts w:ascii="Verdana" w:hAnsi="Verdana"/>
          <w:sz w:val="20"/>
          <w:szCs w:val="20"/>
        </w:rPr>
        <w:t xml:space="preserve">small and large </w:t>
      </w:r>
      <w:r w:rsidR="00D42276">
        <w:rPr>
          <w:rFonts w:ascii="Verdana" w:hAnsi="Verdana"/>
          <w:sz w:val="20"/>
          <w:szCs w:val="20"/>
        </w:rPr>
        <w:t>businesses</w:t>
      </w:r>
      <w:r w:rsidR="00386BA9">
        <w:rPr>
          <w:rFonts w:ascii="Verdana" w:hAnsi="Verdana"/>
          <w:sz w:val="20"/>
          <w:szCs w:val="20"/>
        </w:rPr>
        <w:t xml:space="preserve"> who</w:t>
      </w:r>
      <w:r w:rsidR="00F11499">
        <w:rPr>
          <w:rFonts w:ascii="Verdana" w:hAnsi="Verdana"/>
          <w:sz w:val="20"/>
          <w:szCs w:val="20"/>
        </w:rPr>
        <w:t xml:space="preserve"> are </w:t>
      </w:r>
      <w:r w:rsidR="00D42276">
        <w:rPr>
          <w:rFonts w:ascii="Verdana" w:hAnsi="Verdana"/>
          <w:sz w:val="20"/>
          <w:szCs w:val="20"/>
        </w:rPr>
        <w:t xml:space="preserve">tenants </w:t>
      </w:r>
      <w:r w:rsidR="00D72D8A">
        <w:rPr>
          <w:rFonts w:ascii="Verdana" w:hAnsi="Verdana"/>
          <w:sz w:val="20"/>
          <w:szCs w:val="20"/>
        </w:rPr>
        <w:t>of</w:t>
      </w:r>
      <w:r w:rsidR="00D42276">
        <w:rPr>
          <w:rFonts w:ascii="Verdana" w:hAnsi="Verdana"/>
          <w:sz w:val="20"/>
          <w:szCs w:val="20"/>
        </w:rPr>
        <w:t xml:space="preserve"> commercial buildings</w:t>
      </w:r>
      <w:r w:rsidRPr="00D36D94">
        <w:rPr>
          <w:rFonts w:ascii="Verdana" w:hAnsi="Verdana"/>
          <w:sz w:val="20"/>
          <w:szCs w:val="20"/>
        </w:rPr>
        <w:t>.</w:t>
      </w:r>
    </w:p>
    <w:p w14:paraId="4CCA467C" w14:textId="77777777" w:rsidR="00416FDE" w:rsidRPr="00416FDE" w:rsidRDefault="00416FDE" w:rsidP="00871D67">
      <w:pPr>
        <w:ind w:left="360"/>
        <w:rPr>
          <w:rFonts w:ascii="Verdana" w:hAnsi="Verdana"/>
          <w:sz w:val="20"/>
          <w:szCs w:val="20"/>
        </w:rPr>
      </w:pPr>
    </w:p>
    <w:p w14:paraId="4C0F2D0A" w14:textId="0BA6571B" w:rsidR="008603AC" w:rsidRPr="00D36D94" w:rsidRDefault="008603AC" w:rsidP="00871D67">
      <w:pPr>
        <w:numPr>
          <w:ilvl w:val="0"/>
          <w:numId w:val="7"/>
        </w:numPr>
        <w:tabs>
          <w:tab w:val="clear" w:pos="720"/>
          <w:tab w:val="num" w:pos="360"/>
        </w:tabs>
        <w:ind w:left="360"/>
        <w:rPr>
          <w:rFonts w:ascii="Verdana" w:hAnsi="Verdana"/>
          <w:sz w:val="20"/>
          <w:szCs w:val="20"/>
        </w:rPr>
      </w:pPr>
      <w:r w:rsidRPr="00D87DC4">
        <w:rPr>
          <w:rFonts w:ascii="Verdana" w:hAnsi="Verdana"/>
          <w:i/>
          <w:iCs/>
          <w:sz w:val="20"/>
          <w:szCs w:val="20"/>
        </w:rPr>
        <w:t>Attracting Global Investments</w:t>
      </w:r>
      <w:r w:rsidRPr="00D87DC4">
        <w:rPr>
          <w:rFonts w:ascii="Verdana" w:hAnsi="Verdana"/>
          <w:i/>
          <w:iCs/>
          <w:sz w:val="20"/>
          <w:szCs w:val="20"/>
        </w:rPr>
        <w:br/>
      </w:r>
      <w:r w:rsidRPr="00D36D94">
        <w:rPr>
          <w:rFonts w:ascii="Verdana" w:hAnsi="Verdana"/>
          <w:sz w:val="20"/>
          <w:szCs w:val="20"/>
        </w:rPr>
        <w:t xml:space="preserve">By prioritizing renewable energy adoption through VPPAs, Ontario becomes a prime location for high-energy-consuming sectors such as data centers and manufacturing, enhancing competitiveness and attracting foreign </w:t>
      </w:r>
      <w:r w:rsidR="00F81E34">
        <w:rPr>
          <w:rFonts w:ascii="Verdana" w:hAnsi="Verdana"/>
          <w:sz w:val="20"/>
          <w:szCs w:val="20"/>
        </w:rPr>
        <w:t xml:space="preserve">and institutional </w:t>
      </w:r>
      <w:r w:rsidRPr="00D36D94">
        <w:rPr>
          <w:rFonts w:ascii="Verdana" w:hAnsi="Verdana"/>
          <w:sz w:val="20"/>
          <w:szCs w:val="20"/>
        </w:rPr>
        <w:t>investment.</w:t>
      </w:r>
    </w:p>
    <w:p w14:paraId="48768B81" w14:textId="77777777" w:rsidR="00C3495A" w:rsidRDefault="00C3495A" w:rsidP="00F97571">
      <w:pPr>
        <w:jc w:val="both"/>
        <w:rPr>
          <w:rFonts w:ascii="Verdana" w:hAnsi="Verdana"/>
          <w:b/>
          <w:bCs/>
          <w:sz w:val="20"/>
          <w:szCs w:val="20"/>
        </w:rPr>
      </w:pPr>
    </w:p>
    <w:p w14:paraId="7D3FB41E" w14:textId="1C3215AF" w:rsidR="008603AC" w:rsidRDefault="008603AC" w:rsidP="00F97571">
      <w:pPr>
        <w:jc w:val="both"/>
        <w:rPr>
          <w:rFonts w:ascii="Verdana" w:hAnsi="Verdana"/>
          <w:b/>
          <w:bCs/>
          <w:sz w:val="20"/>
          <w:szCs w:val="20"/>
        </w:rPr>
      </w:pPr>
      <w:r w:rsidRPr="00D36D94">
        <w:rPr>
          <w:rFonts w:ascii="Verdana" w:hAnsi="Verdana"/>
          <w:b/>
          <w:bCs/>
          <w:sz w:val="20"/>
          <w:szCs w:val="20"/>
        </w:rPr>
        <w:t>Key Recommendations</w:t>
      </w:r>
    </w:p>
    <w:p w14:paraId="3D78AB6E" w14:textId="77777777" w:rsidR="00C3495A" w:rsidRDefault="00C3495A" w:rsidP="00F97571">
      <w:pPr>
        <w:jc w:val="both"/>
        <w:rPr>
          <w:rFonts w:ascii="Verdana" w:hAnsi="Verdana"/>
          <w:b/>
          <w:bCs/>
          <w:sz w:val="20"/>
          <w:szCs w:val="20"/>
        </w:rPr>
      </w:pPr>
    </w:p>
    <w:p w14:paraId="5A3B959A" w14:textId="563B97A0" w:rsidR="003434DA" w:rsidRPr="00483218" w:rsidRDefault="00483218" w:rsidP="00F97571">
      <w:pPr>
        <w:jc w:val="both"/>
        <w:rPr>
          <w:rFonts w:ascii="Verdana" w:hAnsi="Verdana"/>
          <w:sz w:val="20"/>
          <w:szCs w:val="20"/>
        </w:rPr>
      </w:pPr>
      <w:r w:rsidRPr="00D36D94">
        <w:rPr>
          <w:rFonts w:ascii="Verdana" w:hAnsi="Verdana"/>
          <w:sz w:val="20"/>
          <w:szCs w:val="20"/>
        </w:rPr>
        <w:t xml:space="preserve">We strongly </w:t>
      </w:r>
      <w:r>
        <w:rPr>
          <w:rFonts w:ascii="Verdana" w:hAnsi="Verdana"/>
          <w:sz w:val="20"/>
          <w:szCs w:val="20"/>
        </w:rPr>
        <w:t xml:space="preserve">recommend that the </w:t>
      </w:r>
      <w:r w:rsidR="00C625A2">
        <w:rPr>
          <w:rFonts w:ascii="Verdana" w:hAnsi="Verdana"/>
          <w:sz w:val="20"/>
          <w:szCs w:val="20"/>
        </w:rPr>
        <w:t>f</w:t>
      </w:r>
      <w:r>
        <w:rPr>
          <w:rFonts w:ascii="Verdana" w:hAnsi="Verdana"/>
          <w:sz w:val="20"/>
          <w:szCs w:val="20"/>
        </w:rPr>
        <w:t>ollowing</w:t>
      </w:r>
      <w:r w:rsidR="00C625A2">
        <w:rPr>
          <w:rFonts w:ascii="Verdana" w:hAnsi="Verdana"/>
          <w:sz w:val="20"/>
          <w:szCs w:val="20"/>
        </w:rPr>
        <w:t xml:space="preserve"> measures are included </w:t>
      </w:r>
      <w:r w:rsidRPr="00D36D94">
        <w:rPr>
          <w:rFonts w:ascii="Verdana" w:hAnsi="Verdana"/>
          <w:sz w:val="20"/>
          <w:szCs w:val="20"/>
        </w:rPr>
        <w:t>in the IERP.</w:t>
      </w:r>
    </w:p>
    <w:p w14:paraId="4C3AB1AF" w14:textId="77777777" w:rsidR="003434DA" w:rsidRPr="00D36D94" w:rsidRDefault="003434DA" w:rsidP="00F97571">
      <w:pPr>
        <w:jc w:val="both"/>
        <w:rPr>
          <w:rFonts w:ascii="Verdana" w:hAnsi="Verdana"/>
          <w:b/>
          <w:bCs/>
          <w:sz w:val="20"/>
          <w:szCs w:val="20"/>
        </w:rPr>
      </w:pPr>
    </w:p>
    <w:p w14:paraId="10617BE1" w14:textId="48EE12B5" w:rsidR="00552D50" w:rsidRPr="00552D50" w:rsidRDefault="008603AC" w:rsidP="00871D67">
      <w:pPr>
        <w:rPr>
          <w:rFonts w:ascii="Lato" w:hAnsi="Lato" w:cs="Lato"/>
          <w:color w:val="000000"/>
          <w:lang w:val="en-CA"/>
        </w:rPr>
      </w:pPr>
      <w:r w:rsidRPr="00D36D94">
        <w:rPr>
          <w:rFonts w:ascii="Verdana" w:hAnsi="Verdana"/>
          <w:b/>
          <w:bCs/>
          <w:sz w:val="20"/>
          <w:szCs w:val="20"/>
        </w:rPr>
        <w:t xml:space="preserve">1. </w:t>
      </w:r>
      <w:r w:rsidR="002D14A8">
        <w:rPr>
          <w:rFonts w:ascii="Verdana" w:hAnsi="Verdana"/>
          <w:b/>
          <w:bCs/>
          <w:sz w:val="20"/>
          <w:szCs w:val="20"/>
        </w:rPr>
        <w:t xml:space="preserve">Increase Investment in </w:t>
      </w:r>
      <w:r w:rsidR="00B7054E">
        <w:rPr>
          <w:rFonts w:ascii="Verdana" w:hAnsi="Verdana"/>
          <w:b/>
          <w:bCs/>
          <w:sz w:val="20"/>
          <w:szCs w:val="20"/>
        </w:rPr>
        <w:t>E</w:t>
      </w:r>
      <w:r w:rsidR="006542D7">
        <w:rPr>
          <w:rFonts w:ascii="Verdana" w:hAnsi="Verdana"/>
          <w:b/>
          <w:bCs/>
          <w:sz w:val="20"/>
          <w:szCs w:val="20"/>
        </w:rPr>
        <w:t>fficiency, Conservation &amp; Flexibility</w:t>
      </w:r>
      <w:r w:rsidR="00096D5D">
        <w:rPr>
          <w:rFonts w:ascii="Verdana" w:hAnsi="Verdana"/>
          <w:b/>
          <w:bCs/>
          <w:sz w:val="20"/>
          <w:szCs w:val="20"/>
        </w:rPr>
        <w:t xml:space="preserve"> for Buildings</w:t>
      </w:r>
      <w:r w:rsidRPr="00D36D94">
        <w:rPr>
          <w:rFonts w:ascii="Verdana" w:hAnsi="Verdana"/>
          <w:sz w:val="20"/>
          <w:szCs w:val="20"/>
        </w:rPr>
        <w:br/>
      </w:r>
    </w:p>
    <w:p w14:paraId="06DA1067" w14:textId="77777777" w:rsidR="00552D50" w:rsidRPr="00552D50" w:rsidRDefault="00552D50" w:rsidP="00F97571">
      <w:pPr>
        <w:autoSpaceDE w:val="0"/>
        <w:autoSpaceDN w:val="0"/>
        <w:adjustRightInd w:val="0"/>
        <w:spacing w:after="180" w:line="241" w:lineRule="atLeast"/>
        <w:jc w:val="both"/>
        <w:rPr>
          <w:rFonts w:ascii="Verdana" w:hAnsi="Verdana"/>
          <w:sz w:val="28"/>
          <w:szCs w:val="28"/>
          <w:lang w:val="en-CA"/>
        </w:rPr>
      </w:pPr>
      <w:r w:rsidRPr="00552D50">
        <w:rPr>
          <w:rFonts w:ascii="Verdana" w:hAnsi="Verdana"/>
          <w:sz w:val="20"/>
          <w:szCs w:val="20"/>
          <w:lang w:val="en-CA"/>
        </w:rPr>
        <w:t xml:space="preserve">Increase funding, directly or through regulated utilities, for demand-side solutions from building owners (e.g., efficiency, conservation, and flexibility) to help reduce the need for expensive new infrastructure. These solutions should include: </w:t>
      </w:r>
    </w:p>
    <w:p w14:paraId="76B3F297" w14:textId="4F94854A" w:rsidR="00552D50" w:rsidRDefault="00A873F6" w:rsidP="00F97571">
      <w:pPr>
        <w:pStyle w:val="ListParagraph"/>
        <w:numPr>
          <w:ilvl w:val="0"/>
          <w:numId w:val="10"/>
        </w:numPr>
        <w:autoSpaceDE w:val="0"/>
        <w:autoSpaceDN w:val="0"/>
        <w:adjustRightInd w:val="0"/>
        <w:spacing w:after="180" w:line="241" w:lineRule="atLeast"/>
        <w:rPr>
          <w:rFonts w:ascii="Verdana" w:hAnsi="Verdana"/>
          <w:sz w:val="20"/>
          <w:szCs w:val="20"/>
          <w:lang w:val="en-CA"/>
        </w:rPr>
      </w:pPr>
      <w:r w:rsidRPr="006C7FF1">
        <w:rPr>
          <w:rFonts w:ascii="Verdana" w:hAnsi="Verdana"/>
          <w:sz w:val="20"/>
          <w:szCs w:val="20"/>
          <w:lang w:val="en-CA"/>
        </w:rPr>
        <w:t>I</w:t>
      </w:r>
      <w:r w:rsidR="00552D50" w:rsidRPr="006C7FF1">
        <w:rPr>
          <w:rFonts w:ascii="Verdana" w:hAnsi="Verdana"/>
          <w:sz w:val="20"/>
          <w:szCs w:val="20"/>
          <w:lang w:val="en-CA"/>
        </w:rPr>
        <w:t>ncentives for energy efficiency capital and operating expenditures</w:t>
      </w:r>
      <w:r w:rsidR="00B76CE1">
        <w:rPr>
          <w:rFonts w:ascii="Verdana" w:hAnsi="Verdana"/>
          <w:sz w:val="20"/>
          <w:szCs w:val="20"/>
          <w:lang w:val="en-CA"/>
        </w:rPr>
        <w:t xml:space="preserve"> </w:t>
      </w:r>
      <w:r w:rsidR="00FF55D9">
        <w:rPr>
          <w:rFonts w:ascii="Verdana" w:hAnsi="Verdana"/>
          <w:sz w:val="20"/>
          <w:szCs w:val="20"/>
          <w:lang w:val="en-CA"/>
        </w:rPr>
        <w:t>(</w:t>
      </w:r>
      <w:r w:rsidR="00B76CE1">
        <w:rPr>
          <w:rFonts w:ascii="Verdana" w:hAnsi="Verdana"/>
          <w:sz w:val="20"/>
          <w:szCs w:val="20"/>
          <w:lang w:val="en-CA"/>
        </w:rPr>
        <w:t xml:space="preserve">doubling down on </w:t>
      </w:r>
      <w:r w:rsidR="008271B9">
        <w:rPr>
          <w:rFonts w:ascii="Verdana" w:hAnsi="Verdana"/>
          <w:sz w:val="20"/>
          <w:szCs w:val="20"/>
          <w:lang w:val="en-CA"/>
        </w:rPr>
        <w:t xml:space="preserve">results-based </w:t>
      </w:r>
      <w:r w:rsidR="004472DF">
        <w:rPr>
          <w:rFonts w:ascii="Verdana" w:hAnsi="Verdana"/>
          <w:sz w:val="20"/>
          <w:szCs w:val="20"/>
          <w:lang w:val="en-CA"/>
        </w:rPr>
        <w:t>programs like the Energy Performance Program</w:t>
      </w:r>
      <w:proofErr w:type="gramStart"/>
      <w:r w:rsidR="004472DF">
        <w:rPr>
          <w:rFonts w:ascii="Verdana" w:hAnsi="Verdana"/>
          <w:sz w:val="20"/>
          <w:szCs w:val="20"/>
          <w:lang w:val="en-CA"/>
        </w:rPr>
        <w:t>)</w:t>
      </w:r>
      <w:r w:rsidR="00B76CE1">
        <w:rPr>
          <w:rFonts w:ascii="Verdana" w:hAnsi="Verdana"/>
          <w:sz w:val="20"/>
          <w:szCs w:val="20"/>
          <w:lang w:val="en-CA"/>
        </w:rPr>
        <w:t>;</w:t>
      </w:r>
      <w:proofErr w:type="gramEnd"/>
    </w:p>
    <w:p w14:paraId="534AB751" w14:textId="77777777" w:rsidR="006C7FF1" w:rsidRPr="006C7FF1" w:rsidRDefault="006C7FF1" w:rsidP="00F97571">
      <w:pPr>
        <w:pStyle w:val="ListParagraph"/>
        <w:autoSpaceDE w:val="0"/>
        <w:autoSpaceDN w:val="0"/>
        <w:adjustRightInd w:val="0"/>
        <w:spacing w:after="180" w:line="241" w:lineRule="atLeast"/>
        <w:rPr>
          <w:rFonts w:ascii="Verdana" w:hAnsi="Verdana"/>
          <w:sz w:val="20"/>
          <w:szCs w:val="20"/>
          <w:lang w:val="en-CA"/>
        </w:rPr>
      </w:pPr>
    </w:p>
    <w:p w14:paraId="1A24246D" w14:textId="2DDA682D" w:rsidR="008603AC" w:rsidRPr="007977F4" w:rsidRDefault="00552D50" w:rsidP="00F97571">
      <w:pPr>
        <w:pStyle w:val="ListParagraph"/>
        <w:numPr>
          <w:ilvl w:val="0"/>
          <w:numId w:val="10"/>
        </w:numPr>
        <w:rPr>
          <w:rFonts w:ascii="Verdana" w:hAnsi="Verdana"/>
          <w:sz w:val="20"/>
          <w:szCs w:val="20"/>
        </w:rPr>
      </w:pPr>
      <w:r w:rsidRPr="006C7FF1">
        <w:rPr>
          <w:rFonts w:ascii="Verdana" w:hAnsi="Verdana"/>
          <w:sz w:val="20"/>
          <w:szCs w:val="20"/>
          <w:lang w:val="en-CA"/>
        </w:rPr>
        <w:t>incentives or preferential rate structures for demand response measures such as load shifting</w:t>
      </w:r>
      <w:r w:rsidR="00B76CE1">
        <w:rPr>
          <w:rFonts w:ascii="Verdana" w:hAnsi="Verdana"/>
          <w:sz w:val="20"/>
          <w:szCs w:val="20"/>
          <w:lang w:val="en-CA"/>
        </w:rPr>
        <w:t>; and</w:t>
      </w:r>
    </w:p>
    <w:p w14:paraId="5A295F93" w14:textId="77777777" w:rsidR="00C2256F" w:rsidRPr="007977F4" w:rsidRDefault="00C2256F" w:rsidP="007977F4">
      <w:pPr>
        <w:pStyle w:val="ListParagraph"/>
        <w:rPr>
          <w:rFonts w:ascii="Verdana" w:hAnsi="Verdana"/>
          <w:sz w:val="20"/>
          <w:szCs w:val="20"/>
        </w:rPr>
      </w:pPr>
    </w:p>
    <w:p w14:paraId="40E5CA96" w14:textId="0D4F144E" w:rsidR="007A27FC" w:rsidRPr="00F028D8" w:rsidRDefault="007A27FC" w:rsidP="007A27FC">
      <w:pPr>
        <w:pStyle w:val="ListParagraph"/>
        <w:numPr>
          <w:ilvl w:val="0"/>
          <w:numId w:val="10"/>
        </w:numPr>
        <w:rPr>
          <w:rFonts w:ascii="Verdana" w:hAnsi="Verdana"/>
          <w:sz w:val="20"/>
          <w:szCs w:val="20"/>
        </w:rPr>
      </w:pPr>
      <w:r w:rsidRPr="00F028D8">
        <w:rPr>
          <w:rFonts w:ascii="Verdana" w:hAnsi="Verdana"/>
          <w:sz w:val="20"/>
          <w:szCs w:val="20"/>
        </w:rPr>
        <w:t>incentives for enabling onsite generation to offset peaks and loads on the distribution system</w:t>
      </w:r>
      <w:r w:rsidR="00B76CE1">
        <w:rPr>
          <w:rFonts w:ascii="Verdana" w:hAnsi="Verdana"/>
          <w:sz w:val="20"/>
          <w:szCs w:val="20"/>
        </w:rPr>
        <w:t>.</w:t>
      </w:r>
    </w:p>
    <w:p w14:paraId="0BA5711D" w14:textId="77777777" w:rsidR="00245DD6" w:rsidRDefault="00245DD6" w:rsidP="00F97571">
      <w:pPr>
        <w:jc w:val="both"/>
        <w:rPr>
          <w:rFonts w:ascii="Verdana" w:hAnsi="Verdana"/>
          <w:sz w:val="20"/>
          <w:szCs w:val="20"/>
        </w:rPr>
      </w:pPr>
    </w:p>
    <w:p w14:paraId="40F400F1" w14:textId="3F98012C" w:rsidR="00005DFA" w:rsidRDefault="00005DFA" w:rsidP="00F97571">
      <w:pPr>
        <w:jc w:val="both"/>
        <w:rPr>
          <w:rFonts w:ascii="Verdana" w:hAnsi="Verdana"/>
          <w:b/>
          <w:bCs/>
          <w:sz w:val="20"/>
          <w:szCs w:val="20"/>
        </w:rPr>
      </w:pPr>
      <w:r>
        <w:rPr>
          <w:rFonts w:ascii="Verdana" w:hAnsi="Verdana"/>
          <w:b/>
          <w:bCs/>
          <w:sz w:val="20"/>
          <w:szCs w:val="20"/>
        </w:rPr>
        <w:t>2. Create a More Predictable and Favorable Business Environment for DERs</w:t>
      </w:r>
    </w:p>
    <w:p w14:paraId="38E4BFA0" w14:textId="77777777" w:rsidR="00005DFA" w:rsidRDefault="00005DFA" w:rsidP="00F97571">
      <w:pPr>
        <w:jc w:val="both"/>
        <w:rPr>
          <w:rFonts w:ascii="Verdana" w:hAnsi="Verdana"/>
          <w:b/>
          <w:bCs/>
          <w:sz w:val="20"/>
          <w:szCs w:val="20"/>
        </w:rPr>
      </w:pPr>
    </w:p>
    <w:p w14:paraId="12BBB4E9" w14:textId="77777777" w:rsidR="0078545E" w:rsidRDefault="00B11B8D" w:rsidP="00F97571">
      <w:pPr>
        <w:pStyle w:val="Pa3"/>
        <w:spacing w:after="180"/>
        <w:jc w:val="both"/>
        <w:rPr>
          <w:rStyle w:val="A7"/>
          <w:rFonts w:ascii="Verdana" w:hAnsi="Verdana"/>
          <w:color w:val="auto"/>
          <w:sz w:val="20"/>
          <w:szCs w:val="20"/>
        </w:rPr>
      </w:pPr>
      <w:r w:rsidRPr="00B11B8D">
        <w:rPr>
          <w:rStyle w:val="A7"/>
          <w:rFonts w:ascii="Verdana" w:hAnsi="Verdana"/>
          <w:color w:val="auto"/>
          <w:sz w:val="20"/>
          <w:szCs w:val="20"/>
        </w:rPr>
        <w:t xml:space="preserve">Create a more predictable and favourable business environment that drives investment in onsite renewable energy generation (e.g., rooftop solar), energy storage and district energy to reduce system-wide costs and increase capacity and resiliency at the edge of the grid. </w:t>
      </w:r>
    </w:p>
    <w:p w14:paraId="3170E549" w14:textId="27AF7F84" w:rsidR="00B11B8D" w:rsidRPr="00B11B8D" w:rsidRDefault="00B11B8D" w:rsidP="00F97571">
      <w:pPr>
        <w:pStyle w:val="Pa3"/>
        <w:spacing w:after="180"/>
        <w:jc w:val="both"/>
        <w:rPr>
          <w:rFonts w:ascii="Verdana" w:hAnsi="Verdana"/>
          <w:sz w:val="20"/>
          <w:szCs w:val="20"/>
        </w:rPr>
      </w:pPr>
      <w:r w:rsidRPr="00B11B8D">
        <w:rPr>
          <w:rStyle w:val="A7"/>
          <w:rFonts w:ascii="Verdana" w:hAnsi="Verdana"/>
          <w:color w:val="auto"/>
          <w:sz w:val="20"/>
          <w:szCs w:val="20"/>
        </w:rPr>
        <w:t xml:space="preserve">These reforms should include: </w:t>
      </w:r>
    </w:p>
    <w:p w14:paraId="5318EA20" w14:textId="2FBE31DB" w:rsidR="00B11B8D" w:rsidRPr="00B11B8D" w:rsidRDefault="00B11B8D" w:rsidP="00F97571">
      <w:pPr>
        <w:pStyle w:val="Pa3"/>
        <w:numPr>
          <w:ilvl w:val="0"/>
          <w:numId w:val="12"/>
        </w:numPr>
        <w:spacing w:after="180"/>
        <w:jc w:val="both"/>
        <w:rPr>
          <w:rFonts w:ascii="Verdana" w:hAnsi="Verdana"/>
          <w:sz w:val="20"/>
          <w:szCs w:val="20"/>
        </w:rPr>
      </w:pPr>
      <w:r w:rsidRPr="00B11B8D">
        <w:rPr>
          <w:rStyle w:val="A7"/>
          <w:rFonts w:ascii="Verdana" w:hAnsi="Verdana"/>
          <w:color w:val="auto"/>
          <w:sz w:val="20"/>
          <w:szCs w:val="20"/>
        </w:rPr>
        <w:t xml:space="preserve">Making virtual/remote net metering programs available, such as those offered in New York State, with an emphasis on flexibility and the ability for a variety of customers to subscribe </w:t>
      </w:r>
      <w:r w:rsidR="00BE7D61">
        <w:rPr>
          <w:rStyle w:val="A7"/>
          <w:rFonts w:ascii="Verdana" w:hAnsi="Verdana"/>
          <w:color w:val="auto"/>
          <w:sz w:val="20"/>
          <w:szCs w:val="20"/>
        </w:rPr>
        <w:t xml:space="preserve">and also </w:t>
      </w:r>
      <w:r w:rsidR="0023632C">
        <w:rPr>
          <w:rStyle w:val="A7"/>
          <w:rFonts w:ascii="Verdana" w:hAnsi="Verdana"/>
          <w:color w:val="auto"/>
          <w:sz w:val="20"/>
          <w:szCs w:val="20"/>
        </w:rPr>
        <w:t xml:space="preserve">allowing for </w:t>
      </w:r>
      <w:r w:rsidR="00495137">
        <w:rPr>
          <w:rStyle w:val="A7"/>
          <w:rFonts w:ascii="Verdana" w:hAnsi="Verdana"/>
          <w:color w:val="auto"/>
          <w:sz w:val="20"/>
          <w:szCs w:val="20"/>
        </w:rPr>
        <w:t xml:space="preserve">credits to be retired across multiple sites, accounts and/or </w:t>
      </w:r>
      <w:proofErr w:type="gramStart"/>
      <w:r w:rsidR="00495137">
        <w:rPr>
          <w:rStyle w:val="A7"/>
          <w:rFonts w:ascii="Verdana" w:hAnsi="Verdana"/>
          <w:color w:val="auto"/>
          <w:sz w:val="20"/>
          <w:szCs w:val="20"/>
        </w:rPr>
        <w:t>tenants</w:t>
      </w:r>
      <w:r w:rsidR="00BE7D61">
        <w:rPr>
          <w:rStyle w:val="A7"/>
          <w:rFonts w:ascii="Verdana" w:hAnsi="Verdana"/>
          <w:color w:val="auto"/>
          <w:sz w:val="20"/>
          <w:szCs w:val="20"/>
        </w:rPr>
        <w:t>;</w:t>
      </w:r>
      <w:proofErr w:type="gramEnd"/>
    </w:p>
    <w:p w14:paraId="7DDAA7D6" w14:textId="188503E5" w:rsidR="00B11B8D" w:rsidRPr="00B11B8D" w:rsidRDefault="00B11B8D" w:rsidP="00F97571">
      <w:pPr>
        <w:pStyle w:val="Pa3"/>
        <w:numPr>
          <w:ilvl w:val="0"/>
          <w:numId w:val="12"/>
        </w:numPr>
        <w:spacing w:after="180"/>
        <w:jc w:val="both"/>
        <w:rPr>
          <w:rFonts w:ascii="Verdana" w:hAnsi="Verdana"/>
          <w:sz w:val="20"/>
          <w:szCs w:val="20"/>
        </w:rPr>
      </w:pPr>
      <w:r w:rsidRPr="00B11B8D">
        <w:rPr>
          <w:rStyle w:val="A7"/>
          <w:rFonts w:ascii="Verdana" w:hAnsi="Verdana"/>
          <w:color w:val="auto"/>
          <w:sz w:val="20"/>
          <w:szCs w:val="20"/>
        </w:rPr>
        <w:t xml:space="preserve">Implementing preferred rate structures paid to building owners for small-scale generation projects up to 10 </w:t>
      </w:r>
      <w:proofErr w:type="gramStart"/>
      <w:r w:rsidRPr="00B11B8D">
        <w:rPr>
          <w:rStyle w:val="A7"/>
          <w:rFonts w:ascii="Verdana" w:hAnsi="Verdana"/>
          <w:color w:val="auto"/>
          <w:sz w:val="20"/>
          <w:szCs w:val="20"/>
        </w:rPr>
        <w:t>MW;</w:t>
      </w:r>
      <w:proofErr w:type="gramEnd"/>
      <w:r w:rsidRPr="00B11B8D">
        <w:rPr>
          <w:rStyle w:val="A7"/>
          <w:rFonts w:ascii="Verdana" w:hAnsi="Verdana"/>
          <w:color w:val="auto"/>
          <w:sz w:val="20"/>
          <w:szCs w:val="20"/>
        </w:rPr>
        <w:t xml:space="preserve"> </w:t>
      </w:r>
    </w:p>
    <w:p w14:paraId="4865B141" w14:textId="41F31FF0" w:rsidR="00B11B8D" w:rsidRPr="00B11B8D" w:rsidRDefault="00B11B8D" w:rsidP="00F97571">
      <w:pPr>
        <w:pStyle w:val="Pa3"/>
        <w:numPr>
          <w:ilvl w:val="0"/>
          <w:numId w:val="12"/>
        </w:numPr>
        <w:spacing w:after="180"/>
        <w:jc w:val="both"/>
        <w:rPr>
          <w:rFonts w:ascii="Verdana" w:hAnsi="Verdana"/>
          <w:sz w:val="20"/>
          <w:szCs w:val="20"/>
        </w:rPr>
      </w:pPr>
      <w:r w:rsidRPr="00B11B8D">
        <w:rPr>
          <w:rStyle w:val="A7"/>
          <w:rFonts w:ascii="Verdana" w:hAnsi="Verdana"/>
          <w:color w:val="auto"/>
          <w:sz w:val="20"/>
          <w:szCs w:val="20"/>
        </w:rPr>
        <w:t>Implementing standard procedures and timelines for connection impact assessments and streamlined licensing approvals (cutting red tape</w:t>
      </w:r>
      <w:proofErr w:type="gramStart"/>
      <w:r w:rsidRPr="00B11B8D">
        <w:rPr>
          <w:rStyle w:val="A7"/>
          <w:rFonts w:ascii="Verdana" w:hAnsi="Verdana"/>
          <w:color w:val="auto"/>
          <w:sz w:val="20"/>
          <w:szCs w:val="20"/>
        </w:rPr>
        <w:t>);</w:t>
      </w:r>
      <w:proofErr w:type="gramEnd"/>
      <w:r w:rsidRPr="00B11B8D">
        <w:rPr>
          <w:rStyle w:val="A7"/>
          <w:rFonts w:ascii="Verdana" w:hAnsi="Verdana"/>
          <w:color w:val="auto"/>
          <w:sz w:val="20"/>
          <w:szCs w:val="20"/>
        </w:rPr>
        <w:t xml:space="preserve"> </w:t>
      </w:r>
    </w:p>
    <w:p w14:paraId="004DF5D7" w14:textId="271D196C" w:rsidR="00B11B8D" w:rsidRPr="00B11B8D" w:rsidRDefault="00B11B8D" w:rsidP="00F97571">
      <w:pPr>
        <w:pStyle w:val="Pa3"/>
        <w:numPr>
          <w:ilvl w:val="0"/>
          <w:numId w:val="12"/>
        </w:numPr>
        <w:spacing w:after="180"/>
        <w:jc w:val="both"/>
        <w:rPr>
          <w:rFonts w:ascii="Verdana" w:hAnsi="Verdana"/>
          <w:sz w:val="20"/>
          <w:szCs w:val="20"/>
        </w:rPr>
      </w:pPr>
      <w:r w:rsidRPr="00B11B8D">
        <w:rPr>
          <w:rStyle w:val="A7"/>
          <w:rFonts w:ascii="Verdana" w:hAnsi="Verdana"/>
          <w:color w:val="auto"/>
          <w:sz w:val="20"/>
          <w:szCs w:val="20"/>
        </w:rPr>
        <w:t xml:space="preserve">Establishing equitable cost-sharing mechanisms where first connectors take on a disproportionate financial burden, like in BC Hydro’s proposed Distribution Extension Policy; and </w:t>
      </w:r>
    </w:p>
    <w:p w14:paraId="49DCE9CF" w14:textId="226518E8" w:rsidR="00B11B8D" w:rsidRPr="006C7FF1" w:rsidRDefault="00B11B8D" w:rsidP="00F97571">
      <w:pPr>
        <w:pStyle w:val="ListParagraph"/>
        <w:numPr>
          <w:ilvl w:val="0"/>
          <w:numId w:val="12"/>
        </w:numPr>
        <w:rPr>
          <w:rFonts w:ascii="Verdana" w:hAnsi="Verdana"/>
          <w:sz w:val="20"/>
          <w:szCs w:val="20"/>
        </w:rPr>
      </w:pPr>
      <w:r w:rsidRPr="006C7FF1">
        <w:rPr>
          <w:rStyle w:val="A7"/>
          <w:rFonts w:ascii="Verdana" w:hAnsi="Verdana" w:cstheme="minorBidi"/>
          <w:color w:val="auto"/>
          <w:sz w:val="20"/>
          <w:szCs w:val="20"/>
        </w:rPr>
        <w:t>Making distribution-level line and substation capacity available to the public via a web portal/GIS viewer, like in Alberta.</w:t>
      </w:r>
    </w:p>
    <w:p w14:paraId="6199E63A" w14:textId="77777777" w:rsidR="00005DFA" w:rsidRDefault="00005DFA" w:rsidP="00F97571">
      <w:pPr>
        <w:jc w:val="both"/>
        <w:rPr>
          <w:rFonts w:ascii="Verdana" w:hAnsi="Verdana"/>
          <w:b/>
          <w:bCs/>
          <w:sz w:val="20"/>
          <w:szCs w:val="20"/>
        </w:rPr>
      </w:pPr>
    </w:p>
    <w:p w14:paraId="053CDDBD" w14:textId="6B062A10" w:rsidR="00C3495A" w:rsidRDefault="0078545E" w:rsidP="00871D67">
      <w:pPr>
        <w:rPr>
          <w:rFonts w:ascii="Verdana" w:hAnsi="Verdana"/>
          <w:sz w:val="20"/>
          <w:szCs w:val="20"/>
        </w:rPr>
      </w:pPr>
      <w:r>
        <w:rPr>
          <w:rFonts w:ascii="Verdana" w:hAnsi="Verdana"/>
          <w:b/>
          <w:bCs/>
          <w:sz w:val="20"/>
          <w:szCs w:val="20"/>
        </w:rPr>
        <w:t>3</w:t>
      </w:r>
      <w:r w:rsidR="008603AC" w:rsidRPr="00D36D94">
        <w:rPr>
          <w:rFonts w:ascii="Verdana" w:hAnsi="Verdana"/>
          <w:b/>
          <w:bCs/>
          <w:sz w:val="20"/>
          <w:szCs w:val="20"/>
        </w:rPr>
        <w:t>. Empower Building Owners with Choice</w:t>
      </w:r>
      <w:r w:rsidR="00F12269">
        <w:rPr>
          <w:rFonts w:ascii="Verdana" w:hAnsi="Verdana"/>
          <w:b/>
          <w:bCs/>
          <w:sz w:val="20"/>
          <w:szCs w:val="20"/>
        </w:rPr>
        <w:t xml:space="preserve"> &amp; Cost Control</w:t>
      </w:r>
      <w:r w:rsidR="00AA6E84">
        <w:rPr>
          <w:rFonts w:ascii="Verdana" w:hAnsi="Verdana"/>
          <w:b/>
          <w:bCs/>
          <w:sz w:val="20"/>
          <w:szCs w:val="20"/>
        </w:rPr>
        <w:t xml:space="preserve"> Options</w:t>
      </w:r>
      <w:r w:rsidR="008603AC" w:rsidRPr="00D36D94">
        <w:rPr>
          <w:rFonts w:ascii="Verdana" w:hAnsi="Verdana"/>
          <w:sz w:val="20"/>
          <w:szCs w:val="20"/>
        </w:rPr>
        <w:br/>
      </w:r>
    </w:p>
    <w:p w14:paraId="0892B3E0" w14:textId="77777777" w:rsidR="00B728AB" w:rsidRPr="00B728AB" w:rsidRDefault="00B728AB" w:rsidP="00F97571">
      <w:pPr>
        <w:jc w:val="both"/>
        <w:rPr>
          <w:rFonts w:ascii="Verdana" w:hAnsi="Verdana"/>
          <w:sz w:val="20"/>
          <w:szCs w:val="20"/>
        </w:rPr>
      </w:pPr>
      <w:r w:rsidRPr="00B728AB">
        <w:rPr>
          <w:rFonts w:ascii="Verdana" w:hAnsi="Verdana"/>
          <w:sz w:val="20"/>
          <w:szCs w:val="20"/>
        </w:rPr>
        <w:t>Implement changes that foster greater competition across the electricity system to allow</w:t>
      </w:r>
    </w:p>
    <w:p w14:paraId="47E70F7E" w14:textId="0CBE1A69" w:rsidR="0091268F" w:rsidRDefault="00B728AB" w:rsidP="00F97571">
      <w:pPr>
        <w:jc w:val="both"/>
        <w:rPr>
          <w:rFonts w:ascii="Verdana" w:hAnsi="Verdana"/>
          <w:sz w:val="20"/>
          <w:szCs w:val="20"/>
        </w:rPr>
      </w:pPr>
      <w:r w:rsidRPr="00B728AB">
        <w:rPr>
          <w:rFonts w:ascii="Verdana" w:hAnsi="Verdana"/>
          <w:sz w:val="20"/>
          <w:szCs w:val="20"/>
        </w:rPr>
        <w:t xml:space="preserve">users, including building owners, to secure green power through small-scale </w:t>
      </w:r>
      <w:r w:rsidR="00824FCE">
        <w:rPr>
          <w:rFonts w:ascii="Verdana" w:hAnsi="Verdana"/>
          <w:sz w:val="20"/>
          <w:szCs w:val="20"/>
        </w:rPr>
        <w:t xml:space="preserve">VPPAs </w:t>
      </w:r>
      <w:r w:rsidRPr="00B728AB">
        <w:rPr>
          <w:rFonts w:ascii="Verdana" w:hAnsi="Verdana"/>
          <w:sz w:val="20"/>
          <w:szCs w:val="20"/>
        </w:rPr>
        <w:t>up to 10MW, like in Alberta.</w:t>
      </w:r>
    </w:p>
    <w:p w14:paraId="3835A5BC" w14:textId="77777777" w:rsidR="0091268F" w:rsidRDefault="0091268F" w:rsidP="00F97571">
      <w:pPr>
        <w:jc w:val="both"/>
        <w:rPr>
          <w:rFonts w:ascii="Verdana" w:hAnsi="Verdana"/>
          <w:sz w:val="20"/>
          <w:szCs w:val="20"/>
        </w:rPr>
      </w:pPr>
    </w:p>
    <w:p w14:paraId="7A3EF6AD" w14:textId="592657FD" w:rsidR="001123AC" w:rsidRDefault="001123AC" w:rsidP="00F97571">
      <w:pPr>
        <w:jc w:val="both"/>
        <w:rPr>
          <w:rFonts w:ascii="Verdana" w:hAnsi="Verdana"/>
          <w:sz w:val="20"/>
          <w:szCs w:val="20"/>
        </w:rPr>
      </w:pPr>
      <w:r>
        <w:rPr>
          <w:rFonts w:ascii="Verdana" w:hAnsi="Verdana"/>
          <w:sz w:val="20"/>
          <w:szCs w:val="20"/>
        </w:rPr>
        <w:t>One way to do this is to</w:t>
      </w:r>
      <w:r w:rsidR="002E02CA">
        <w:rPr>
          <w:rFonts w:ascii="Verdana" w:hAnsi="Verdana"/>
          <w:sz w:val="20"/>
          <w:szCs w:val="20"/>
        </w:rPr>
        <w:t xml:space="preserve"> pass </w:t>
      </w:r>
      <w:r>
        <w:rPr>
          <w:rFonts w:ascii="Verdana" w:hAnsi="Verdana"/>
          <w:sz w:val="20"/>
          <w:szCs w:val="20"/>
        </w:rPr>
        <w:t xml:space="preserve">the </w:t>
      </w:r>
      <w:r w:rsidRPr="001123AC">
        <w:rPr>
          <w:rFonts w:ascii="Verdana" w:hAnsi="Verdana"/>
          <w:sz w:val="20"/>
          <w:szCs w:val="20"/>
        </w:rPr>
        <w:t>Ontario Ministry of Energy</w:t>
      </w:r>
      <w:r>
        <w:rPr>
          <w:rFonts w:ascii="Verdana" w:hAnsi="Verdana"/>
          <w:sz w:val="20"/>
          <w:szCs w:val="20"/>
        </w:rPr>
        <w:t>’s</w:t>
      </w:r>
      <w:r w:rsidRPr="001123AC">
        <w:rPr>
          <w:rFonts w:ascii="Verdana" w:hAnsi="Verdana"/>
          <w:sz w:val="20"/>
          <w:szCs w:val="20"/>
        </w:rPr>
        <w:t xml:space="preserve"> proposed Amendments to O. Reg. 429/04</w:t>
      </w:r>
      <w:r w:rsidR="002E02CA">
        <w:rPr>
          <w:rFonts w:ascii="Verdana" w:hAnsi="Verdana"/>
          <w:sz w:val="20"/>
          <w:szCs w:val="20"/>
        </w:rPr>
        <w:t xml:space="preserve"> as soon as possible.</w:t>
      </w:r>
    </w:p>
    <w:p w14:paraId="3E3A9CD1" w14:textId="77777777" w:rsidR="001123AC" w:rsidRDefault="001123AC" w:rsidP="00F97571">
      <w:pPr>
        <w:jc w:val="both"/>
        <w:rPr>
          <w:rFonts w:ascii="Verdana" w:hAnsi="Verdana"/>
          <w:sz w:val="20"/>
          <w:szCs w:val="20"/>
        </w:rPr>
      </w:pPr>
    </w:p>
    <w:p w14:paraId="6184D2C5" w14:textId="2F0A68B7" w:rsidR="007E4DE4" w:rsidRDefault="005A4CF5" w:rsidP="00F97571">
      <w:pPr>
        <w:jc w:val="both"/>
        <w:rPr>
          <w:rFonts w:ascii="Verdana" w:hAnsi="Verdana"/>
          <w:sz w:val="20"/>
          <w:szCs w:val="20"/>
        </w:rPr>
      </w:pPr>
      <w:r>
        <w:rPr>
          <w:rFonts w:ascii="Verdana" w:hAnsi="Verdana"/>
          <w:sz w:val="20"/>
          <w:szCs w:val="20"/>
        </w:rPr>
        <w:t>We support t</w:t>
      </w:r>
      <w:r w:rsidR="00A6665A" w:rsidRPr="00A6665A">
        <w:rPr>
          <w:rFonts w:ascii="Verdana" w:hAnsi="Verdana"/>
          <w:sz w:val="20"/>
          <w:szCs w:val="20"/>
        </w:rPr>
        <w:t xml:space="preserve">he proposed amendments </w:t>
      </w:r>
      <w:r>
        <w:rPr>
          <w:rFonts w:ascii="Verdana" w:hAnsi="Verdana"/>
          <w:sz w:val="20"/>
          <w:szCs w:val="20"/>
        </w:rPr>
        <w:t xml:space="preserve">that </w:t>
      </w:r>
      <w:r w:rsidR="00A6665A" w:rsidRPr="00A6665A">
        <w:rPr>
          <w:rFonts w:ascii="Verdana" w:hAnsi="Verdana"/>
          <w:sz w:val="20"/>
          <w:szCs w:val="20"/>
        </w:rPr>
        <w:t>aim to grow new clean generation in the province by allowing Industrial Conservation Initiative (ICI) market participants to offset their facility's demand in the top five peak hours of a base period for settlement purposes through power purchase agreements (PPAs) with non-emitting generation facilities that are not connected behind the facility's meter.</w:t>
      </w:r>
    </w:p>
    <w:p w14:paraId="5FD28543" w14:textId="77777777" w:rsidR="007A02DA" w:rsidRDefault="007A02DA" w:rsidP="00F97571">
      <w:pPr>
        <w:jc w:val="both"/>
        <w:rPr>
          <w:rFonts w:ascii="Verdana" w:hAnsi="Verdana"/>
          <w:sz w:val="20"/>
          <w:szCs w:val="20"/>
        </w:rPr>
      </w:pPr>
    </w:p>
    <w:p w14:paraId="3D3EE5CC" w14:textId="29EDD43D" w:rsidR="007A02DA" w:rsidRDefault="007A02DA" w:rsidP="00F97571">
      <w:pPr>
        <w:jc w:val="both"/>
        <w:rPr>
          <w:rFonts w:ascii="Verdana" w:hAnsi="Verdana"/>
          <w:sz w:val="20"/>
          <w:szCs w:val="20"/>
        </w:rPr>
      </w:pPr>
      <w:r>
        <w:rPr>
          <w:rFonts w:ascii="Verdana" w:hAnsi="Verdana"/>
          <w:sz w:val="20"/>
          <w:szCs w:val="20"/>
        </w:rPr>
        <w:t>We believe it is particularly important that O. Reg 429/04:</w:t>
      </w:r>
    </w:p>
    <w:p w14:paraId="172F0FEE" w14:textId="77777777" w:rsidR="007E4DE4" w:rsidRDefault="007E4DE4" w:rsidP="00F97571">
      <w:pPr>
        <w:jc w:val="both"/>
        <w:rPr>
          <w:rFonts w:ascii="Verdana" w:hAnsi="Verdana"/>
          <w:sz w:val="20"/>
          <w:szCs w:val="20"/>
        </w:rPr>
      </w:pPr>
    </w:p>
    <w:p w14:paraId="2C368923" w14:textId="2A95AB0D" w:rsidR="00A6665A" w:rsidRDefault="006900B4" w:rsidP="00F97571">
      <w:pPr>
        <w:pStyle w:val="ListParagraph"/>
        <w:numPr>
          <w:ilvl w:val="0"/>
          <w:numId w:val="14"/>
        </w:numPr>
        <w:rPr>
          <w:rFonts w:ascii="Verdana" w:hAnsi="Verdana"/>
          <w:sz w:val="20"/>
          <w:szCs w:val="20"/>
        </w:rPr>
      </w:pPr>
      <w:r>
        <w:rPr>
          <w:rFonts w:ascii="Verdana" w:hAnsi="Verdana"/>
          <w:sz w:val="20"/>
          <w:szCs w:val="20"/>
        </w:rPr>
        <w:t xml:space="preserve">Treats </w:t>
      </w:r>
      <w:r w:rsidR="00A6665A" w:rsidRPr="006C7FF1">
        <w:rPr>
          <w:rFonts w:ascii="Verdana" w:hAnsi="Verdana"/>
          <w:sz w:val="20"/>
          <w:szCs w:val="20"/>
        </w:rPr>
        <w:t xml:space="preserve">contracted </w:t>
      </w:r>
      <w:r w:rsidR="00BF7312">
        <w:rPr>
          <w:rFonts w:ascii="Verdana" w:hAnsi="Verdana"/>
          <w:sz w:val="20"/>
          <w:szCs w:val="20"/>
        </w:rPr>
        <w:t xml:space="preserve">renewable </w:t>
      </w:r>
      <w:r w:rsidR="00A6665A" w:rsidRPr="006C7FF1">
        <w:rPr>
          <w:rFonts w:ascii="Verdana" w:hAnsi="Verdana"/>
          <w:sz w:val="20"/>
          <w:szCs w:val="20"/>
        </w:rPr>
        <w:t xml:space="preserve">generation as if it is supplied to the ICI participant behind-the-meter for the purpose of determining </w:t>
      </w:r>
      <w:r w:rsidR="0089382D">
        <w:rPr>
          <w:rFonts w:ascii="Verdana" w:hAnsi="Verdana"/>
          <w:sz w:val="20"/>
          <w:szCs w:val="20"/>
        </w:rPr>
        <w:t xml:space="preserve">Class A </w:t>
      </w:r>
      <w:r w:rsidR="00A6665A" w:rsidRPr="006C7FF1">
        <w:rPr>
          <w:rFonts w:ascii="Verdana" w:hAnsi="Verdana"/>
          <w:sz w:val="20"/>
          <w:szCs w:val="20"/>
        </w:rPr>
        <w:t xml:space="preserve">Global Adjustment (GA) </w:t>
      </w:r>
      <w:proofErr w:type="gramStart"/>
      <w:r w:rsidR="00A6665A" w:rsidRPr="006C7FF1">
        <w:rPr>
          <w:rFonts w:ascii="Verdana" w:hAnsi="Verdana"/>
          <w:sz w:val="20"/>
          <w:szCs w:val="20"/>
        </w:rPr>
        <w:t>charges</w:t>
      </w:r>
      <w:r>
        <w:rPr>
          <w:rFonts w:ascii="Verdana" w:hAnsi="Verdana"/>
          <w:sz w:val="20"/>
          <w:szCs w:val="20"/>
        </w:rPr>
        <w:t>;</w:t>
      </w:r>
      <w:proofErr w:type="gramEnd"/>
      <w:r>
        <w:rPr>
          <w:rFonts w:ascii="Verdana" w:hAnsi="Verdana"/>
          <w:sz w:val="20"/>
          <w:szCs w:val="20"/>
        </w:rPr>
        <w:t xml:space="preserve"> </w:t>
      </w:r>
    </w:p>
    <w:p w14:paraId="578A4CB6" w14:textId="77777777" w:rsidR="00FC450F" w:rsidRDefault="00FC450F" w:rsidP="007977F4">
      <w:pPr>
        <w:pStyle w:val="ListParagraph"/>
        <w:rPr>
          <w:rFonts w:ascii="Verdana" w:hAnsi="Verdana"/>
          <w:sz w:val="20"/>
          <w:szCs w:val="20"/>
        </w:rPr>
      </w:pPr>
    </w:p>
    <w:p w14:paraId="6AFC7C60" w14:textId="44CC08E4" w:rsidR="005E089A" w:rsidRDefault="0091533B" w:rsidP="005E089A">
      <w:pPr>
        <w:pStyle w:val="ListParagraph"/>
        <w:numPr>
          <w:ilvl w:val="0"/>
          <w:numId w:val="14"/>
        </w:numPr>
        <w:rPr>
          <w:rFonts w:ascii="Verdana" w:hAnsi="Verdana"/>
          <w:sz w:val="20"/>
          <w:szCs w:val="20"/>
        </w:rPr>
      </w:pPr>
      <w:r>
        <w:rPr>
          <w:rFonts w:ascii="Verdana" w:hAnsi="Verdana"/>
          <w:sz w:val="20"/>
          <w:szCs w:val="20"/>
        </w:rPr>
        <w:lastRenderedPageBreak/>
        <w:t>Also t</w:t>
      </w:r>
      <w:r w:rsidR="005E089A">
        <w:rPr>
          <w:rFonts w:ascii="Verdana" w:hAnsi="Verdana"/>
          <w:sz w:val="20"/>
          <w:szCs w:val="20"/>
        </w:rPr>
        <w:t xml:space="preserve">reats </w:t>
      </w:r>
      <w:r w:rsidR="005E089A" w:rsidRPr="006C7FF1">
        <w:rPr>
          <w:rFonts w:ascii="Verdana" w:hAnsi="Verdana"/>
          <w:sz w:val="20"/>
          <w:szCs w:val="20"/>
        </w:rPr>
        <w:t xml:space="preserve">contracted </w:t>
      </w:r>
      <w:r w:rsidR="005E089A">
        <w:rPr>
          <w:rFonts w:ascii="Verdana" w:hAnsi="Verdana"/>
          <w:sz w:val="20"/>
          <w:szCs w:val="20"/>
        </w:rPr>
        <w:t xml:space="preserve">renewable </w:t>
      </w:r>
      <w:r w:rsidR="005E089A" w:rsidRPr="006C7FF1">
        <w:rPr>
          <w:rFonts w:ascii="Verdana" w:hAnsi="Verdana"/>
          <w:sz w:val="20"/>
          <w:szCs w:val="20"/>
        </w:rPr>
        <w:t xml:space="preserve">generation as if it is supplied to </w:t>
      </w:r>
      <w:r w:rsidR="005E089A">
        <w:rPr>
          <w:rFonts w:ascii="Verdana" w:hAnsi="Verdana"/>
          <w:sz w:val="20"/>
          <w:szCs w:val="20"/>
        </w:rPr>
        <w:t>non-</w:t>
      </w:r>
      <w:r w:rsidR="005E089A" w:rsidRPr="006C7FF1">
        <w:rPr>
          <w:rFonts w:ascii="Verdana" w:hAnsi="Verdana"/>
          <w:sz w:val="20"/>
          <w:szCs w:val="20"/>
        </w:rPr>
        <w:t xml:space="preserve">ICI participant behind-the-meter for the purpose of determining </w:t>
      </w:r>
      <w:r w:rsidR="005E089A">
        <w:rPr>
          <w:rFonts w:ascii="Verdana" w:hAnsi="Verdana"/>
          <w:sz w:val="20"/>
          <w:szCs w:val="20"/>
        </w:rPr>
        <w:t xml:space="preserve">Class B </w:t>
      </w:r>
      <w:r w:rsidR="005E089A" w:rsidRPr="006C7FF1">
        <w:rPr>
          <w:rFonts w:ascii="Verdana" w:hAnsi="Verdana"/>
          <w:sz w:val="20"/>
          <w:szCs w:val="20"/>
        </w:rPr>
        <w:t xml:space="preserve">Global Adjustment (GA) </w:t>
      </w:r>
      <w:proofErr w:type="gramStart"/>
      <w:r w:rsidR="005E089A" w:rsidRPr="006C7FF1">
        <w:rPr>
          <w:rFonts w:ascii="Verdana" w:hAnsi="Verdana"/>
          <w:sz w:val="20"/>
          <w:szCs w:val="20"/>
        </w:rPr>
        <w:t>charges</w:t>
      </w:r>
      <w:r w:rsidR="005E089A">
        <w:rPr>
          <w:rFonts w:ascii="Verdana" w:hAnsi="Verdana"/>
          <w:sz w:val="20"/>
          <w:szCs w:val="20"/>
        </w:rPr>
        <w:t>;</w:t>
      </w:r>
      <w:proofErr w:type="gramEnd"/>
      <w:r w:rsidR="005E089A">
        <w:rPr>
          <w:rFonts w:ascii="Verdana" w:hAnsi="Verdana"/>
          <w:sz w:val="20"/>
          <w:szCs w:val="20"/>
        </w:rPr>
        <w:t xml:space="preserve"> </w:t>
      </w:r>
    </w:p>
    <w:p w14:paraId="4BCF4930" w14:textId="5779C83B" w:rsidR="008759F2" w:rsidRDefault="00EE0E66" w:rsidP="00F97571">
      <w:pPr>
        <w:pStyle w:val="ListParagraph"/>
        <w:numPr>
          <w:ilvl w:val="0"/>
          <w:numId w:val="14"/>
        </w:numPr>
        <w:rPr>
          <w:rFonts w:ascii="Verdana" w:hAnsi="Verdana"/>
          <w:sz w:val="20"/>
          <w:szCs w:val="20"/>
        </w:rPr>
      </w:pPr>
      <w:r>
        <w:rPr>
          <w:rFonts w:ascii="Verdana" w:hAnsi="Verdana"/>
          <w:sz w:val="20"/>
          <w:szCs w:val="20"/>
        </w:rPr>
        <w:t>Allows for open</w:t>
      </w:r>
      <w:r w:rsidR="00471A31">
        <w:rPr>
          <w:rFonts w:ascii="Verdana" w:hAnsi="Verdana"/>
          <w:sz w:val="20"/>
          <w:szCs w:val="20"/>
        </w:rPr>
        <w:t xml:space="preserve"> bil</w:t>
      </w:r>
      <w:r w:rsidR="008759F2" w:rsidRPr="008759F2">
        <w:rPr>
          <w:rFonts w:ascii="Verdana" w:hAnsi="Verdana"/>
          <w:sz w:val="20"/>
          <w:szCs w:val="20"/>
        </w:rPr>
        <w:t xml:space="preserve">ateral </w:t>
      </w:r>
      <w:r w:rsidR="00471A31">
        <w:rPr>
          <w:rFonts w:ascii="Verdana" w:hAnsi="Verdana"/>
          <w:sz w:val="20"/>
          <w:szCs w:val="20"/>
        </w:rPr>
        <w:t>a</w:t>
      </w:r>
      <w:r w:rsidR="008759F2" w:rsidRPr="008759F2">
        <w:rPr>
          <w:rFonts w:ascii="Verdana" w:hAnsi="Verdana"/>
          <w:sz w:val="20"/>
          <w:szCs w:val="20"/>
        </w:rPr>
        <w:t xml:space="preserve">greements across all rate classes </w:t>
      </w:r>
      <w:r w:rsidR="00471A31">
        <w:rPr>
          <w:rFonts w:ascii="Verdana" w:hAnsi="Verdana"/>
          <w:sz w:val="20"/>
          <w:szCs w:val="20"/>
        </w:rPr>
        <w:t xml:space="preserve">for all </w:t>
      </w:r>
      <w:r w:rsidR="008759F2" w:rsidRPr="008759F2">
        <w:rPr>
          <w:rFonts w:ascii="Verdana" w:hAnsi="Verdana"/>
          <w:sz w:val="20"/>
          <w:szCs w:val="20"/>
        </w:rPr>
        <w:t>DER</w:t>
      </w:r>
      <w:r w:rsidR="00471A31">
        <w:rPr>
          <w:rFonts w:ascii="Verdana" w:hAnsi="Verdana"/>
          <w:sz w:val="20"/>
          <w:szCs w:val="20"/>
        </w:rPr>
        <w:t>s</w:t>
      </w:r>
      <w:r w:rsidR="008759F2" w:rsidRPr="008759F2">
        <w:rPr>
          <w:rFonts w:ascii="Verdana" w:hAnsi="Verdana"/>
          <w:sz w:val="20"/>
          <w:szCs w:val="20"/>
        </w:rPr>
        <w:t xml:space="preserve">. This flexibility would broaden participation and increase renewable energy </w:t>
      </w:r>
      <w:proofErr w:type="gramStart"/>
      <w:r w:rsidR="008759F2" w:rsidRPr="008759F2">
        <w:rPr>
          <w:rFonts w:ascii="Verdana" w:hAnsi="Verdana"/>
          <w:sz w:val="20"/>
          <w:szCs w:val="20"/>
        </w:rPr>
        <w:t>deployment</w:t>
      </w:r>
      <w:r w:rsidR="00B0487F">
        <w:rPr>
          <w:rFonts w:ascii="Verdana" w:hAnsi="Verdana"/>
          <w:sz w:val="20"/>
          <w:szCs w:val="20"/>
        </w:rPr>
        <w:t>;</w:t>
      </w:r>
      <w:proofErr w:type="gramEnd"/>
    </w:p>
    <w:p w14:paraId="33C39BB8" w14:textId="77777777" w:rsidR="000F1A0E" w:rsidRPr="000F1A0E" w:rsidRDefault="000F1A0E" w:rsidP="00F97571">
      <w:pPr>
        <w:jc w:val="both"/>
        <w:rPr>
          <w:rFonts w:ascii="Verdana" w:hAnsi="Verdana"/>
          <w:sz w:val="20"/>
          <w:szCs w:val="20"/>
        </w:rPr>
      </w:pPr>
    </w:p>
    <w:p w14:paraId="33F01AC7" w14:textId="51764519" w:rsidR="006900B4" w:rsidRPr="000F1A0E" w:rsidRDefault="008759F2" w:rsidP="00F97571">
      <w:pPr>
        <w:pStyle w:val="ListParagraph"/>
        <w:numPr>
          <w:ilvl w:val="0"/>
          <w:numId w:val="14"/>
        </w:numPr>
        <w:rPr>
          <w:rFonts w:ascii="Verdana" w:hAnsi="Verdana"/>
          <w:sz w:val="20"/>
          <w:szCs w:val="20"/>
        </w:rPr>
      </w:pPr>
      <w:r w:rsidRPr="008759F2">
        <w:rPr>
          <w:rFonts w:ascii="Verdana" w:hAnsi="Verdana"/>
          <w:sz w:val="20"/>
          <w:szCs w:val="20"/>
        </w:rPr>
        <w:t>Instruct</w:t>
      </w:r>
      <w:r w:rsidR="000F1A0E">
        <w:rPr>
          <w:rFonts w:ascii="Verdana" w:hAnsi="Verdana"/>
          <w:sz w:val="20"/>
          <w:szCs w:val="20"/>
        </w:rPr>
        <w:t>s</w:t>
      </w:r>
      <w:r w:rsidRPr="008759F2">
        <w:rPr>
          <w:rFonts w:ascii="Verdana" w:hAnsi="Verdana"/>
          <w:sz w:val="20"/>
          <w:szCs w:val="20"/>
        </w:rPr>
        <w:t xml:space="preserve"> the OEB to implement a Class B opt-in rate class for on-site DER’s. This would incentivize businesses to adopt DERs, providing further cost control and supporting grid resilience</w:t>
      </w:r>
      <w:r w:rsidR="00B0487F">
        <w:rPr>
          <w:rFonts w:ascii="Verdana" w:hAnsi="Verdana"/>
          <w:sz w:val="20"/>
          <w:szCs w:val="20"/>
        </w:rPr>
        <w:t>; and</w:t>
      </w:r>
    </w:p>
    <w:p w14:paraId="4337BD8F" w14:textId="77777777" w:rsidR="00A6665A" w:rsidRPr="00A6665A" w:rsidRDefault="00A6665A" w:rsidP="00F97571">
      <w:pPr>
        <w:jc w:val="both"/>
        <w:rPr>
          <w:rFonts w:ascii="Verdana" w:hAnsi="Verdana"/>
          <w:sz w:val="20"/>
          <w:szCs w:val="20"/>
        </w:rPr>
      </w:pPr>
    </w:p>
    <w:p w14:paraId="4C6FF97B" w14:textId="77F27A5C" w:rsidR="00A6665A" w:rsidRPr="006C7FF1" w:rsidRDefault="006900B4" w:rsidP="00F97571">
      <w:pPr>
        <w:pStyle w:val="ListParagraph"/>
        <w:numPr>
          <w:ilvl w:val="0"/>
          <w:numId w:val="14"/>
        </w:numPr>
        <w:rPr>
          <w:rFonts w:ascii="Verdana" w:hAnsi="Verdana"/>
          <w:sz w:val="20"/>
          <w:szCs w:val="20"/>
        </w:rPr>
      </w:pPr>
      <w:r>
        <w:rPr>
          <w:rFonts w:ascii="Verdana" w:hAnsi="Verdana"/>
          <w:sz w:val="20"/>
          <w:szCs w:val="20"/>
        </w:rPr>
        <w:t>Includes w</w:t>
      </w:r>
      <w:r w:rsidR="00A6665A" w:rsidRPr="006C7FF1">
        <w:rPr>
          <w:rFonts w:ascii="Verdana" w:hAnsi="Verdana"/>
          <w:sz w:val="20"/>
          <w:szCs w:val="20"/>
        </w:rPr>
        <w:t>ind, solar, hydroelectric</w:t>
      </w:r>
      <w:r w:rsidR="00D127F7">
        <w:rPr>
          <w:rFonts w:ascii="Verdana" w:hAnsi="Verdana"/>
          <w:sz w:val="20"/>
          <w:szCs w:val="20"/>
        </w:rPr>
        <w:t>, biomass</w:t>
      </w:r>
      <w:r w:rsidR="00A6665A" w:rsidRPr="006C7FF1">
        <w:rPr>
          <w:rFonts w:ascii="Verdana" w:hAnsi="Verdana"/>
          <w:sz w:val="20"/>
          <w:szCs w:val="20"/>
        </w:rPr>
        <w:t xml:space="preserve"> and </w:t>
      </w:r>
      <w:r w:rsidR="00B97798" w:rsidRPr="006C7FF1">
        <w:rPr>
          <w:rFonts w:ascii="Verdana" w:hAnsi="Verdana"/>
          <w:sz w:val="20"/>
          <w:szCs w:val="20"/>
        </w:rPr>
        <w:t xml:space="preserve">geothermal </w:t>
      </w:r>
      <w:r w:rsidR="00A6665A" w:rsidRPr="006C7FF1">
        <w:rPr>
          <w:rFonts w:ascii="Verdana" w:hAnsi="Verdana"/>
          <w:sz w:val="20"/>
          <w:szCs w:val="20"/>
        </w:rPr>
        <w:t>energy projects.</w:t>
      </w:r>
    </w:p>
    <w:p w14:paraId="1D548BF9" w14:textId="77777777" w:rsidR="00B728AB" w:rsidRDefault="00B728AB" w:rsidP="00F97571">
      <w:pPr>
        <w:jc w:val="both"/>
        <w:rPr>
          <w:rFonts w:ascii="Verdana" w:hAnsi="Verdana"/>
          <w:sz w:val="20"/>
          <w:szCs w:val="20"/>
        </w:rPr>
      </w:pPr>
    </w:p>
    <w:p w14:paraId="076DFF9B" w14:textId="52C67140" w:rsidR="008603AC" w:rsidRPr="00D36D94" w:rsidRDefault="008603AC" w:rsidP="00F97571">
      <w:pPr>
        <w:jc w:val="both"/>
        <w:rPr>
          <w:rFonts w:ascii="Verdana" w:hAnsi="Verdana"/>
          <w:sz w:val="20"/>
          <w:szCs w:val="20"/>
        </w:rPr>
      </w:pPr>
      <w:r w:rsidRPr="00D36D94">
        <w:rPr>
          <w:rFonts w:ascii="Verdana" w:hAnsi="Verdana"/>
          <w:sz w:val="20"/>
          <w:szCs w:val="20"/>
        </w:rPr>
        <w:t>Introducing robust legislation for VPPAs and DERs, modeled after Ontario Regulation 429/04, will provide the clarity and regulatory certainty necessary to attract private-sector participation.</w:t>
      </w:r>
    </w:p>
    <w:p w14:paraId="435C9EFC" w14:textId="77777777" w:rsidR="00C3495A" w:rsidRDefault="00C3495A" w:rsidP="00F97571">
      <w:pPr>
        <w:jc w:val="both"/>
        <w:rPr>
          <w:rFonts w:ascii="Verdana" w:hAnsi="Verdana"/>
          <w:b/>
          <w:bCs/>
          <w:sz w:val="20"/>
          <w:szCs w:val="20"/>
        </w:rPr>
      </w:pPr>
    </w:p>
    <w:p w14:paraId="23EEB860" w14:textId="2487CC46" w:rsidR="00C3495A" w:rsidRPr="006E7B8E" w:rsidRDefault="006E7B8E" w:rsidP="00F97571">
      <w:pPr>
        <w:jc w:val="both"/>
        <w:rPr>
          <w:rFonts w:ascii="Verdana" w:hAnsi="Verdana"/>
          <w:b/>
          <w:bCs/>
          <w:sz w:val="20"/>
          <w:szCs w:val="20"/>
        </w:rPr>
      </w:pPr>
      <w:r w:rsidRPr="006E7B8E">
        <w:rPr>
          <w:rFonts w:ascii="Verdana" w:hAnsi="Verdana"/>
          <w:b/>
          <w:bCs/>
          <w:sz w:val="20"/>
          <w:szCs w:val="20"/>
        </w:rPr>
        <w:t>Summary</w:t>
      </w:r>
    </w:p>
    <w:p w14:paraId="4AB0D46E" w14:textId="77777777" w:rsidR="006E7B8E" w:rsidRDefault="006E7B8E" w:rsidP="00F97571">
      <w:pPr>
        <w:jc w:val="both"/>
        <w:rPr>
          <w:rFonts w:ascii="Verdana" w:hAnsi="Verdana"/>
          <w:sz w:val="20"/>
          <w:szCs w:val="20"/>
        </w:rPr>
      </w:pPr>
    </w:p>
    <w:p w14:paraId="1687F1E5" w14:textId="534BF479" w:rsidR="008603AC" w:rsidRPr="00D36D94" w:rsidRDefault="008603AC" w:rsidP="00F97571">
      <w:pPr>
        <w:jc w:val="both"/>
        <w:rPr>
          <w:rFonts w:ascii="Verdana" w:hAnsi="Verdana"/>
          <w:sz w:val="20"/>
          <w:szCs w:val="20"/>
        </w:rPr>
      </w:pPr>
      <w:r w:rsidRPr="00D36D94">
        <w:rPr>
          <w:rFonts w:ascii="Verdana" w:hAnsi="Verdana"/>
          <w:sz w:val="20"/>
          <w:szCs w:val="20"/>
        </w:rPr>
        <w:t>Integrating VPPAs and DERs into the IERP aligns with Ontario’s goals for sustainability and economic competitiveness. By collaborating with stakeholders and leveraging existing infrastructure, the province can accelerate renewable energy adoption and maintain its leadership in clean energy innovation.</w:t>
      </w:r>
    </w:p>
    <w:p w14:paraId="7603C946" w14:textId="77777777" w:rsidR="00C3495A" w:rsidRDefault="00C3495A" w:rsidP="00F97571">
      <w:pPr>
        <w:jc w:val="both"/>
        <w:rPr>
          <w:rFonts w:ascii="Verdana" w:hAnsi="Verdana"/>
          <w:sz w:val="20"/>
          <w:szCs w:val="20"/>
        </w:rPr>
      </w:pPr>
    </w:p>
    <w:p w14:paraId="54116C8F" w14:textId="75987D17" w:rsidR="008603AC" w:rsidRPr="00D36D94" w:rsidRDefault="008603AC" w:rsidP="00F97571">
      <w:pPr>
        <w:jc w:val="both"/>
        <w:rPr>
          <w:rFonts w:ascii="Verdana" w:hAnsi="Verdana"/>
          <w:sz w:val="20"/>
          <w:szCs w:val="20"/>
        </w:rPr>
      </w:pPr>
      <w:r w:rsidRPr="00D36D94">
        <w:rPr>
          <w:rFonts w:ascii="Verdana" w:hAnsi="Verdana"/>
          <w:sz w:val="20"/>
          <w:szCs w:val="20"/>
        </w:rPr>
        <w:t>Facilitating VPPAs and advancing DER deployment will enable Ontario to meet its energy objectives sustainably and affordably. These measures will attract global investment, drive economic growth, and equip businesses to control energy costs while reducing emissions.</w:t>
      </w:r>
    </w:p>
    <w:p w14:paraId="25C7428F" w14:textId="77777777" w:rsidR="008F037C" w:rsidRDefault="008F037C" w:rsidP="00F97571">
      <w:pPr>
        <w:jc w:val="both"/>
        <w:rPr>
          <w:rFonts w:ascii="Verdana" w:hAnsi="Verdana"/>
          <w:sz w:val="20"/>
          <w:szCs w:val="20"/>
        </w:rPr>
      </w:pPr>
    </w:p>
    <w:p w14:paraId="1F06984A" w14:textId="7768BC18" w:rsidR="00474DAA" w:rsidRDefault="008603AC" w:rsidP="00F97571">
      <w:pPr>
        <w:jc w:val="both"/>
        <w:rPr>
          <w:rFonts w:ascii="Verdana" w:hAnsi="Verdana"/>
          <w:sz w:val="20"/>
          <w:szCs w:val="20"/>
        </w:rPr>
      </w:pPr>
      <w:r w:rsidRPr="00D36D94">
        <w:rPr>
          <w:rFonts w:ascii="Verdana" w:hAnsi="Verdana"/>
          <w:sz w:val="20"/>
          <w:szCs w:val="20"/>
        </w:rPr>
        <w:t>REALPAC is committed to collaborating with the Ministry of Energy</w:t>
      </w:r>
      <w:r w:rsidR="00341913">
        <w:rPr>
          <w:rFonts w:ascii="Verdana" w:hAnsi="Verdana"/>
          <w:sz w:val="20"/>
          <w:szCs w:val="20"/>
        </w:rPr>
        <w:t xml:space="preserve"> and Electrification</w:t>
      </w:r>
      <w:r w:rsidRPr="00D36D94">
        <w:rPr>
          <w:rFonts w:ascii="Verdana" w:hAnsi="Verdana"/>
          <w:sz w:val="20"/>
          <w:szCs w:val="20"/>
        </w:rPr>
        <w:t xml:space="preserve"> to achieve these shared goals. </w:t>
      </w:r>
    </w:p>
    <w:p w14:paraId="1DC70D98" w14:textId="77777777" w:rsidR="00474DAA" w:rsidRDefault="00474DAA" w:rsidP="00F97571">
      <w:pPr>
        <w:jc w:val="both"/>
        <w:rPr>
          <w:rFonts w:ascii="Verdana" w:hAnsi="Verdana"/>
          <w:sz w:val="20"/>
          <w:szCs w:val="20"/>
        </w:rPr>
      </w:pPr>
    </w:p>
    <w:p w14:paraId="3B7E7DCB" w14:textId="5B0D06B4" w:rsidR="008603AC" w:rsidRPr="00D36D94" w:rsidRDefault="008603AC" w:rsidP="00F97571">
      <w:pPr>
        <w:jc w:val="both"/>
        <w:rPr>
          <w:rFonts w:ascii="Verdana" w:hAnsi="Verdana"/>
          <w:sz w:val="20"/>
          <w:szCs w:val="20"/>
        </w:rPr>
      </w:pPr>
      <w:r w:rsidRPr="00D36D94">
        <w:rPr>
          <w:rFonts w:ascii="Verdana" w:hAnsi="Verdana"/>
          <w:sz w:val="20"/>
          <w:szCs w:val="20"/>
        </w:rPr>
        <w:t>We appreciate your consideration and look forward to further discussions.</w:t>
      </w:r>
    </w:p>
    <w:p w14:paraId="578B75C6" w14:textId="77777777" w:rsidR="00C3495A" w:rsidRDefault="00C3495A" w:rsidP="00F97571">
      <w:pPr>
        <w:jc w:val="both"/>
        <w:rPr>
          <w:rFonts w:ascii="Verdana" w:hAnsi="Verdana"/>
          <w:sz w:val="20"/>
          <w:szCs w:val="20"/>
        </w:rPr>
      </w:pPr>
    </w:p>
    <w:p w14:paraId="6AA0DF48" w14:textId="77777777" w:rsidR="00210702" w:rsidRDefault="00210702" w:rsidP="00F97571">
      <w:pPr>
        <w:jc w:val="both"/>
        <w:rPr>
          <w:rFonts w:ascii="Verdana" w:hAnsi="Verdana"/>
          <w:sz w:val="20"/>
          <w:szCs w:val="20"/>
        </w:rPr>
      </w:pPr>
    </w:p>
    <w:p w14:paraId="7EACB866" w14:textId="0A4D6E41" w:rsidR="008603AC" w:rsidRDefault="008603AC" w:rsidP="00F97571">
      <w:pPr>
        <w:jc w:val="both"/>
        <w:rPr>
          <w:rFonts w:ascii="Verdana" w:hAnsi="Verdana"/>
          <w:sz w:val="20"/>
          <w:szCs w:val="20"/>
        </w:rPr>
      </w:pPr>
      <w:r w:rsidRPr="00D36D94">
        <w:rPr>
          <w:rFonts w:ascii="Verdana" w:hAnsi="Verdana"/>
          <w:sz w:val="20"/>
          <w:szCs w:val="20"/>
        </w:rPr>
        <w:t>Sincerely,</w:t>
      </w:r>
      <w:r w:rsidRPr="00D36D94">
        <w:rPr>
          <w:rFonts w:ascii="Verdana" w:hAnsi="Verdana"/>
          <w:sz w:val="20"/>
          <w:szCs w:val="20"/>
        </w:rPr>
        <w:br/>
      </w:r>
    </w:p>
    <w:p w14:paraId="7EA60DDD" w14:textId="37FC5B81" w:rsidR="00210702" w:rsidRDefault="0031317A" w:rsidP="00F97571">
      <w:pPr>
        <w:jc w:val="both"/>
        <w:rPr>
          <w:rFonts w:ascii="Verdana" w:hAnsi="Verdana"/>
          <w:sz w:val="20"/>
          <w:szCs w:val="20"/>
        </w:rPr>
      </w:pPr>
      <w:r>
        <w:rPr>
          <w:rFonts w:ascii="Verdana" w:hAnsi="Verdana"/>
          <w:noProof/>
          <w:sz w:val="20"/>
          <w:szCs w:val="20"/>
        </w:rPr>
        <w:drawing>
          <wp:inline distT="0" distB="0" distL="0" distR="0" wp14:anchorId="5761C5E3" wp14:editId="1C5D07AE">
            <wp:extent cx="1895475" cy="542925"/>
            <wp:effectExtent l="0" t="0" r="9525" b="9525"/>
            <wp:docPr id="190611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42925"/>
                    </a:xfrm>
                    <a:prstGeom prst="rect">
                      <a:avLst/>
                    </a:prstGeom>
                    <a:noFill/>
                  </pic:spPr>
                </pic:pic>
              </a:graphicData>
            </a:graphic>
          </wp:inline>
        </w:drawing>
      </w:r>
    </w:p>
    <w:p w14:paraId="0E19EA7D" w14:textId="77777777" w:rsidR="00210702" w:rsidRPr="00D36D94" w:rsidRDefault="00210702" w:rsidP="00F97571">
      <w:pPr>
        <w:jc w:val="both"/>
        <w:rPr>
          <w:rFonts w:ascii="Verdana" w:hAnsi="Verdana"/>
          <w:sz w:val="20"/>
          <w:szCs w:val="20"/>
        </w:rPr>
      </w:pPr>
    </w:p>
    <w:p w14:paraId="432B1139" w14:textId="77777777" w:rsidR="008603AC" w:rsidRPr="00D36D94" w:rsidRDefault="008603AC" w:rsidP="00F97571">
      <w:pPr>
        <w:rPr>
          <w:rFonts w:ascii="Verdana" w:hAnsi="Verdana"/>
          <w:sz w:val="20"/>
          <w:szCs w:val="20"/>
        </w:rPr>
      </w:pPr>
      <w:r w:rsidRPr="00D36D94">
        <w:rPr>
          <w:rFonts w:ascii="Verdana" w:hAnsi="Verdana"/>
          <w:sz w:val="20"/>
          <w:szCs w:val="20"/>
        </w:rPr>
        <w:t>Michael Brooks</w:t>
      </w:r>
      <w:r w:rsidRPr="00D36D94">
        <w:rPr>
          <w:rFonts w:ascii="Verdana" w:hAnsi="Verdana"/>
          <w:sz w:val="20"/>
          <w:szCs w:val="20"/>
        </w:rPr>
        <w:br/>
        <w:t>Chief Executive Officer</w:t>
      </w:r>
      <w:r w:rsidRPr="00D36D94">
        <w:rPr>
          <w:rFonts w:ascii="Verdana" w:hAnsi="Verdana"/>
          <w:sz w:val="20"/>
          <w:szCs w:val="20"/>
        </w:rPr>
        <w:br/>
        <w:t>REALPAC</w:t>
      </w:r>
    </w:p>
    <w:p w14:paraId="2812301E" w14:textId="77777777" w:rsidR="001405CD" w:rsidRPr="00D36D94" w:rsidRDefault="001405CD" w:rsidP="00F97571">
      <w:pPr>
        <w:jc w:val="both"/>
        <w:rPr>
          <w:rFonts w:ascii="Verdana" w:hAnsi="Verdana"/>
          <w:sz w:val="16"/>
          <w:szCs w:val="16"/>
        </w:rPr>
      </w:pPr>
    </w:p>
    <w:sectPr w:rsidR="001405CD" w:rsidRPr="00D36D94" w:rsidSect="00B10E10">
      <w:headerReference w:type="default" r:id="rId11"/>
      <w:footerReference w:type="even" r:id="rId12"/>
      <w:footerReference w:type="default" r:id="rId13"/>
      <w:headerReference w:type="first" r:id="rId14"/>
      <w:pgSz w:w="12240" w:h="15840"/>
      <w:pgMar w:top="1985" w:right="1440" w:bottom="216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3B4F4" w14:textId="77777777" w:rsidR="00EF5DA5" w:rsidRDefault="00EF5DA5" w:rsidP="00A133A0">
      <w:r>
        <w:separator/>
      </w:r>
    </w:p>
  </w:endnote>
  <w:endnote w:type="continuationSeparator" w:id="0">
    <w:p w14:paraId="1B07A98E" w14:textId="77777777" w:rsidR="00EF5DA5" w:rsidRDefault="00EF5DA5" w:rsidP="00A133A0">
      <w:r>
        <w:continuationSeparator/>
      </w:r>
    </w:p>
  </w:endnote>
  <w:endnote w:type="continuationNotice" w:id="1">
    <w:p w14:paraId="7B7A6013" w14:textId="77777777" w:rsidR="00EF5DA5" w:rsidRDefault="00EF5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5C0" w14:textId="77777777" w:rsidR="007C1BBD" w:rsidRDefault="007C1BBD" w:rsidP="007C1B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58A99" w14:textId="77777777" w:rsidR="007C1BBD" w:rsidRDefault="007C1BBD" w:rsidP="007C1B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0F7F1" w14:textId="77777777" w:rsidR="007C1BBD" w:rsidRPr="007C1BBD" w:rsidRDefault="007C1BBD" w:rsidP="007C1BBD">
    <w:pPr>
      <w:pStyle w:val="Footer"/>
      <w:framePr w:wrap="around" w:vAnchor="text" w:hAnchor="margin" w:xAlign="right" w:y="1"/>
      <w:rPr>
        <w:rStyle w:val="PageNumber"/>
        <w:rFonts w:ascii="Verdana" w:hAnsi="Verdana"/>
        <w:sz w:val="18"/>
        <w:szCs w:val="18"/>
      </w:rPr>
    </w:pPr>
    <w:r w:rsidRPr="007C1BBD">
      <w:rPr>
        <w:rStyle w:val="PageNumber"/>
        <w:rFonts w:ascii="Verdana" w:hAnsi="Verdana"/>
        <w:sz w:val="18"/>
        <w:szCs w:val="18"/>
      </w:rPr>
      <w:fldChar w:fldCharType="begin"/>
    </w:r>
    <w:r w:rsidRPr="007C1BBD">
      <w:rPr>
        <w:rStyle w:val="PageNumber"/>
        <w:rFonts w:ascii="Verdana" w:hAnsi="Verdana"/>
        <w:sz w:val="18"/>
        <w:szCs w:val="18"/>
      </w:rPr>
      <w:instrText xml:space="preserve">PAGE  </w:instrText>
    </w:r>
    <w:r w:rsidRPr="007C1BBD">
      <w:rPr>
        <w:rStyle w:val="PageNumber"/>
        <w:rFonts w:ascii="Verdana" w:hAnsi="Verdana"/>
        <w:sz w:val="18"/>
        <w:szCs w:val="18"/>
      </w:rPr>
      <w:fldChar w:fldCharType="separate"/>
    </w:r>
    <w:r w:rsidR="001F59B6">
      <w:rPr>
        <w:rStyle w:val="PageNumber"/>
        <w:rFonts w:ascii="Verdana" w:hAnsi="Verdana"/>
        <w:noProof/>
        <w:sz w:val="18"/>
        <w:szCs w:val="18"/>
      </w:rPr>
      <w:t>3</w:t>
    </w:r>
    <w:r w:rsidRPr="007C1BBD">
      <w:rPr>
        <w:rStyle w:val="PageNumber"/>
        <w:rFonts w:ascii="Verdana" w:hAnsi="Verdana"/>
        <w:sz w:val="18"/>
        <w:szCs w:val="18"/>
      </w:rPr>
      <w:fldChar w:fldCharType="end"/>
    </w:r>
  </w:p>
  <w:p w14:paraId="21C4AFB2" w14:textId="5763BF1A" w:rsidR="007C1BBD" w:rsidRPr="0097651A" w:rsidRDefault="00BD0D5D" w:rsidP="00BD0D5D">
    <w:pPr>
      <w:pStyle w:val="Footer"/>
      <w:tabs>
        <w:tab w:val="left" w:pos="2794"/>
      </w:tabs>
      <w:ind w:right="360"/>
      <w:rPr>
        <w:rFonts w:ascii="Arial" w:hAnsi="Arial" w:cs="Arial"/>
        <w:sz w:val="20"/>
        <w:szCs w:val="20"/>
      </w:rPr>
    </w:pPr>
    <w:r>
      <w:rPr>
        <w:rFonts w:ascii="Arial" w:hAnsi="Arial" w:cs="Arial"/>
        <w:sz w:val="20"/>
        <w:szCs w:val="20"/>
      </w:rPr>
      <w:tab/>
    </w:r>
    <w:r>
      <w:rPr>
        <w:rFonts w:ascii="Arial" w:hAnsi="Arial" w:cs="Arial"/>
        <w:sz w:val="20"/>
        <w:szCs w:val="20"/>
      </w:rPr>
      <w:tab/>
    </w:r>
  </w:p>
  <w:p w14:paraId="1194FCA9" w14:textId="77777777" w:rsidR="007C1BBD" w:rsidRDefault="007C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F0786" w14:textId="77777777" w:rsidR="00EF5DA5" w:rsidRDefault="00EF5DA5" w:rsidP="00A133A0">
      <w:r>
        <w:separator/>
      </w:r>
    </w:p>
  </w:footnote>
  <w:footnote w:type="continuationSeparator" w:id="0">
    <w:p w14:paraId="340FFA7A" w14:textId="77777777" w:rsidR="00EF5DA5" w:rsidRDefault="00EF5DA5" w:rsidP="00A133A0">
      <w:r>
        <w:continuationSeparator/>
      </w:r>
    </w:p>
  </w:footnote>
  <w:footnote w:type="continuationNotice" w:id="1">
    <w:p w14:paraId="465ABCC4" w14:textId="77777777" w:rsidR="00EF5DA5" w:rsidRDefault="00EF5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75F4D" w14:textId="6F2CBB04" w:rsidR="007C1BBD" w:rsidRDefault="004176BE">
    <w:pPr>
      <w:pStyle w:val="Header"/>
    </w:pPr>
    <w:r>
      <w:rPr>
        <w:noProof/>
      </w:rPr>
      <w:drawing>
        <wp:anchor distT="0" distB="0" distL="114300" distR="114300" simplePos="0" relativeHeight="251658241" behindDoc="0" locked="0" layoutInCell="1" allowOverlap="1" wp14:anchorId="220F78D9" wp14:editId="5F484A55">
          <wp:simplePos x="0" y="0"/>
          <wp:positionH relativeFrom="page">
            <wp:posOffset>-37578</wp:posOffset>
          </wp:positionH>
          <wp:positionV relativeFrom="page">
            <wp:posOffset>0</wp:posOffset>
          </wp:positionV>
          <wp:extent cx="7848600" cy="1485900"/>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a:blip r:embed="rId1"/>
                  <a:srcRect l="2531" r="2531"/>
                  <a:stretch>
                    <a:fillRect/>
                  </a:stretch>
                </pic:blipFill>
                <pic:spPr bwMode="auto">
                  <a:xfrm>
                    <a:off x="0" y="0"/>
                    <a:ext cx="78486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9040" w14:textId="77777777" w:rsidR="007C1BBD" w:rsidRDefault="007C1BBD" w:rsidP="007C1B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0174">
      <w:rPr>
        <w:rStyle w:val="PageNumber"/>
        <w:noProof/>
      </w:rPr>
      <w:t>1</w:t>
    </w:r>
    <w:r>
      <w:rPr>
        <w:rStyle w:val="PageNumber"/>
      </w:rPr>
      <w:fldChar w:fldCharType="end"/>
    </w:r>
  </w:p>
  <w:p w14:paraId="4591E50E" w14:textId="1E1C4F80" w:rsidR="007C1BBD" w:rsidRDefault="009B37CB" w:rsidP="000D2BE0">
    <w:pPr>
      <w:pStyle w:val="Header"/>
      <w:spacing w:before="240"/>
      <w:ind w:right="360"/>
    </w:pPr>
    <w:r>
      <w:rPr>
        <w:noProof/>
      </w:rPr>
      <w:drawing>
        <wp:anchor distT="0" distB="0" distL="114300" distR="114300" simplePos="0" relativeHeight="251658240" behindDoc="0" locked="0" layoutInCell="1" allowOverlap="1" wp14:anchorId="2A18E5C3" wp14:editId="255DEE08">
          <wp:simplePos x="0" y="0"/>
          <wp:positionH relativeFrom="page">
            <wp:posOffset>12526</wp:posOffset>
          </wp:positionH>
          <wp:positionV relativeFrom="page">
            <wp:posOffset>-37578</wp:posOffset>
          </wp:positionV>
          <wp:extent cx="7783801" cy="1373611"/>
          <wp:effectExtent l="0" t="0" r="1905" b="0"/>
          <wp:wrapNone/>
          <wp:docPr id="1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
                  <pic:cNvPicPr>
                    <a:picLocks/>
                  </pic:cNvPicPr>
                </pic:nvPicPr>
                <pic:blipFill>
                  <a:blip r:embed="rId1"/>
                  <a:stretch>
                    <a:fillRect/>
                  </a:stretch>
                </pic:blipFill>
                <pic:spPr bwMode="auto">
                  <a:xfrm>
                    <a:off x="0" y="0"/>
                    <a:ext cx="7783801" cy="137361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39C1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4625C"/>
    <w:multiLevelType w:val="hybridMultilevel"/>
    <w:tmpl w:val="610A2018"/>
    <w:lvl w:ilvl="0" w:tplc="6CBE10EE">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BF2FA4"/>
    <w:multiLevelType w:val="hybridMultilevel"/>
    <w:tmpl w:val="E99C93D8"/>
    <w:lvl w:ilvl="0" w:tplc="9D8C69DE">
      <w:start w:val="1"/>
      <w:numFmt w:val="lowerRoman"/>
      <w:lvlText w:val="%1."/>
      <w:lvlJc w:val="left"/>
      <w:pPr>
        <w:ind w:left="1080" w:hanging="720"/>
      </w:pPr>
      <w:rPr>
        <w:rFonts w:cs="Lato"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DF43E4"/>
    <w:multiLevelType w:val="multilevel"/>
    <w:tmpl w:val="10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A0370D"/>
    <w:multiLevelType w:val="hybridMultilevel"/>
    <w:tmpl w:val="1A2C4E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15263E4"/>
    <w:multiLevelType w:val="hybridMultilevel"/>
    <w:tmpl w:val="DEE2099A"/>
    <w:lvl w:ilvl="0" w:tplc="6CBE10EE">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1A06A5A"/>
    <w:multiLevelType w:val="hybridMultilevel"/>
    <w:tmpl w:val="FFFFFFFF"/>
    <w:lvl w:ilvl="0" w:tplc="7862D5E0">
      <w:start w:val="1"/>
      <w:numFmt w:val="decimal"/>
      <w:lvlText w:val="%1."/>
      <w:lvlJc w:val="left"/>
      <w:pPr>
        <w:ind w:left="720" w:hanging="360"/>
      </w:pPr>
    </w:lvl>
    <w:lvl w:ilvl="1" w:tplc="9F96AB3A">
      <w:start w:val="1"/>
      <w:numFmt w:val="lowerLetter"/>
      <w:lvlText w:val="%2."/>
      <w:lvlJc w:val="left"/>
      <w:pPr>
        <w:ind w:left="1440" w:hanging="360"/>
      </w:pPr>
    </w:lvl>
    <w:lvl w:ilvl="2" w:tplc="6CBE10EE">
      <w:start w:val="1"/>
      <w:numFmt w:val="lowerRoman"/>
      <w:lvlText w:val="%3."/>
      <w:lvlJc w:val="right"/>
      <w:pPr>
        <w:ind w:left="2160" w:hanging="180"/>
      </w:pPr>
    </w:lvl>
    <w:lvl w:ilvl="3" w:tplc="ED884242">
      <w:start w:val="1"/>
      <w:numFmt w:val="decimal"/>
      <w:lvlText w:val="%4."/>
      <w:lvlJc w:val="left"/>
      <w:pPr>
        <w:ind w:left="2880" w:hanging="360"/>
      </w:pPr>
    </w:lvl>
    <w:lvl w:ilvl="4" w:tplc="63FC48A2">
      <w:start w:val="1"/>
      <w:numFmt w:val="lowerLetter"/>
      <w:lvlText w:val="%5."/>
      <w:lvlJc w:val="left"/>
      <w:pPr>
        <w:ind w:left="3600" w:hanging="360"/>
      </w:pPr>
    </w:lvl>
    <w:lvl w:ilvl="5" w:tplc="FD703B42">
      <w:start w:val="1"/>
      <w:numFmt w:val="lowerRoman"/>
      <w:lvlText w:val="%6."/>
      <w:lvlJc w:val="right"/>
      <w:pPr>
        <w:ind w:left="4320" w:hanging="180"/>
      </w:pPr>
    </w:lvl>
    <w:lvl w:ilvl="6" w:tplc="CB38A38C">
      <w:start w:val="1"/>
      <w:numFmt w:val="decimal"/>
      <w:lvlText w:val="%7."/>
      <w:lvlJc w:val="left"/>
      <w:pPr>
        <w:ind w:left="5040" w:hanging="360"/>
      </w:pPr>
    </w:lvl>
    <w:lvl w:ilvl="7" w:tplc="C1AC987A">
      <w:start w:val="1"/>
      <w:numFmt w:val="lowerLetter"/>
      <w:lvlText w:val="%8."/>
      <w:lvlJc w:val="left"/>
      <w:pPr>
        <w:ind w:left="5760" w:hanging="360"/>
      </w:pPr>
    </w:lvl>
    <w:lvl w:ilvl="8" w:tplc="2224179A">
      <w:start w:val="1"/>
      <w:numFmt w:val="lowerRoman"/>
      <w:lvlText w:val="%9."/>
      <w:lvlJc w:val="right"/>
      <w:pPr>
        <w:ind w:left="6480" w:hanging="180"/>
      </w:pPr>
    </w:lvl>
  </w:abstractNum>
  <w:abstractNum w:abstractNumId="7" w15:restartNumberingAfterBreak="0">
    <w:nsid w:val="42614CA8"/>
    <w:multiLevelType w:val="hybridMultilevel"/>
    <w:tmpl w:val="378EAF08"/>
    <w:lvl w:ilvl="0" w:tplc="1D7218AE">
      <w:start w:val="1"/>
      <w:numFmt w:val="lowerRoman"/>
      <w:lvlText w:val="%1."/>
      <w:lvlJc w:val="left"/>
      <w:pPr>
        <w:ind w:left="1080" w:hanging="72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985B9B"/>
    <w:multiLevelType w:val="multilevel"/>
    <w:tmpl w:val="0B0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711A7"/>
    <w:multiLevelType w:val="multilevel"/>
    <w:tmpl w:val="D732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EA6A34"/>
    <w:multiLevelType w:val="hybridMultilevel"/>
    <w:tmpl w:val="FFFFFFFF"/>
    <w:lvl w:ilvl="0" w:tplc="2B0A8820">
      <w:start w:val="1"/>
      <w:numFmt w:val="decimal"/>
      <w:lvlText w:val="%1."/>
      <w:lvlJc w:val="left"/>
      <w:pPr>
        <w:ind w:left="720" w:hanging="360"/>
      </w:pPr>
    </w:lvl>
    <w:lvl w:ilvl="1" w:tplc="C35A1002">
      <w:start w:val="1"/>
      <w:numFmt w:val="lowerLetter"/>
      <w:lvlText w:val="%2."/>
      <w:lvlJc w:val="left"/>
      <w:pPr>
        <w:ind w:left="1440" w:hanging="360"/>
      </w:pPr>
    </w:lvl>
    <w:lvl w:ilvl="2" w:tplc="6DB645E6">
      <w:start w:val="1"/>
      <w:numFmt w:val="lowerRoman"/>
      <w:lvlText w:val="%3."/>
      <w:lvlJc w:val="right"/>
      <w:pPr>
        <w:ind w:left="2160" w:hanging="180"/>
      </w:pPr>
    </w:lvl>
    <w:lvl w:ilvl="3" w:tplc="E4761F6C">
      <w:start w:val="1"/>
      <w:numFmt w:val="decimal"/>
      <w:lvlText w:val="%4."/>
      <w:lvlJc w:val="left"/>
      <w:pPr>
        <w:ind w:left="2880" w:hanging="360"/>
      </w:pPr>
    </w:lvl>
    <w:lvl w:ilvl="4" w:tplc="FC165CD8">
      <w:start w:val="1"/>
      <w:numFmt w:val="lowerLetter"/>
      <w:lvlText w:val="%5."/>
      <w:lvlJc w:val="left"/>
      <w:pPr>
        <w:ind w:left="3600" w:hanging="360"/>
      </w:pPr>
    </w:lvl>
    <w:lvl w:ilvl="5" w:tplc="34169008">
      <w:start w:val="1"/>
      <w:numFmt w:val="lowerRoman"/>
      <w:lvlText w:val="%6."/>
      <w:lvlJc w:val="right"/>
      <w:pPr>
        <w:ind w:left="4320" w:hanging="180"/>
      </w:pPr>
    </w:lvl>
    <w:lvl w:ilvl="6" w:tplc="28BACA4C">
      <w:start w:val="1"/>
      <w:numFmt w:val="decimal"/>
      <w:lvlText w:val="%7."/>
      <w:lvlJc w:val="left"/>
      <w:pPr>
        <w:ind w:left="5040" w:hanging="360"/>
      </w:pPr>
    </w:lvl>
    <w:lvl w:ilvl="7" w:tplc="7870FA44">
      <w:start w:val="1"/>
      <w:numFmt w:val="lowerLetter"/>
      <w:lvlText w:val="%8."/>
      <w:lvlJc w:val="left"/>
      <w:pPr>
        <w:ind w:left="5760" w:hanging="360"/>
      </w:pPr>
    </w:lvl>
    <w:lvl w:ilvl="8" w:tplc="A11E952E">
      <w:start w:val="1"/>
      <w:numFmt w:val="lowerRoman"/>
      <w:lvlText w:val="%9."/>
      <w:lvlJc w:val="right"/>
      <w:pPr>
        <w:ind w:left="6480" w:hanging="180"/>
      </w:pPr>
    </w:lvl>
  </w:abstractNum>
  <w:abstractNum w:abstractNumId="11" w15:restartNumberingAfterBreak="0">
    <w:nsid w:val="68902C4B"/>
    <w:multiLevelType w:val="multilevel"/>
    <w:tmpl w:val="099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34885"/>
    <w:multiLevelType w:val="hybridMultilevel"/>
    <w:tmpl w:val="9E4E9D62"/>
    <w:lvl w:ilvl="0" w:tplc="6CBE10EE">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6D229DF"/>
    <w:multiLevelType w:val="multilevel"/>
    <w:tmpl w:val="43381482"/>
    <w:name w:val="zzmpStandard1||Standard 1|2|3|1|1|2|32||1|2|32||1|2|32||1|2|32||1|2|32||1|2|32||1|2|32||1|2|32||1|2|32||"/>
    <w:lvl w:ilvl="0">
      <w:start w:val="1"/>
      <w:numFmt w:val="decimal"/>
      <w:pStyle w:val="Standard1L1"/>
      <w:lvlText w:val="%1."/>
      <w:lvlJc w:val="left"/>
      <w:pPr>
        <w:tabs>
          <w:tab w:val="num" w:pos="720"/>
        </w:tabs>
        <w:ind w:left="720" w:hanging="720"/>
      </w:pPr>
      <w:rPr>
        <w:rFonts w:ascii="Arial" w:hAnsi="Arial" w:cs="Arial"/>
        <w:b w:val="0"/>
        <w:i w:val="0"/>
        <w:caps w:val="0"/>
        <w:sz w:val="22"/>
        <w:u w:val="none"/>
      </w:rPr>
    </w:lvl>
    <w:lvl w:ilvl="1">
      <w:start w:val="1"/>
      <w:numFmt w:val="lowerLetter"/>
      <w:pStyle w:val="Standard1L2"/>
      <w:lvlText w:val="(%2)"/>
      <w:lvlJc w:val="left"/>
      <w:pPr>
        <w:tabs>
          <w:tab w:val="num" w:pos="1440"/>
        </w:tabs>
        <w:ind w:left="1440" w:hanging="720"/>
      </w:pPr>
      <w:rPr>
        <w:rFonts w:ascii="Arial" w:hAnsi="Arial" w:cs="Arial"/>
        <w:b w:val="0"/>
        <w:i w:val="0"/>
        <w:caps w:val="0"/>
        <w:sz w:val="22"/>
        <w:u w:val="none"/>
      </w:rPr>
    </w:lvl>
    <w:lvl w:ilvl="2">
      <w:start w:val="1"/>
      <w:numFmt w:val="lowerRoman"/>
      <w:pStyle w:val="Standard1L3"/>
      <w:lvlText w:val="(%3)"/>
      <w:lvlJc w:val="left"/>
      <w:pPr>
        <w:tabs>
          <w:tab w:val="num" w:pos="1440"/>
        </w:tabs>
        <w:ind w:left="1440" w:hanging="720"/>
      </w:pPr>
      <w:rPr>
        <w:rFonts w:ascii="Arial" w:hAnsi="Arial" w:cs="Arial"/>
        <w:b w:val="0"/>
        <w:i w:val="0"/>
        <w:caps w:val="0"/>
        <w:sz w:val="22"/>
        <w:u w:val="none"/>
      </w:rPr>
    </w:lvl>
    <w:lvl w:ilvl="3">
      <w:start w:val="1"/>
      <w:numFmt w:val="decimal"/>
      <w:pStyle w:val="Standard1L4"/>
      <w:lvlText w:val="(%4)"/>
      <w:lvlJc w:val="left"/>
      <w:pPr>
        <w:tabs>
          <w:tab w:val="num" w:pos="2880"/>
        </w:tabs>
        <w:ind w:left="2880" w:hanging="720"/>
      </w:pPr>
      <w:rPr>
        <w:rFonts w:ascii="Arial" w:hAnsi="Arial" w:cs="Arial"/>
        <w:b w:val="0"/>
        <w:i w:val="0"/>
        <w:caps w:val="0"/>
        <w:sz w:val="22"/>
        <w:u w:val="none"/>
      </w:rPr>
    </w:lvl>
    <w:lvl w:ilvl="4">
      <w:start w:val="1"/>
      <w:numFmt w:val="upperLetter"/>
      <w:pStyle w:val="Standard1L5"/>
      <w:lvlText w:val="(%5)"/>
      <w:lvlJc w:val="left"/>
      <w:pPr>
        <w:tabs>
          <w:tab w:val="num" w:pos="3600"/>
        </w:tabs>
        <w:ind w:left="3600" w:hanging="720"/>
      </w:pPr>
      <w:rPr>
        <w:rFonts w:ascii="Arial" w:hAnsi="Arial" w:cs="Arial"/>
        <w:b w:val="0"/>
        <w:i w:val="0"/>
        <w:caps w:val="0"/>
        <w:sz w:val="22"/>
        <w:u w:val="none"/>
      </w:rPr>
    </w:lvl>
    <w:lvl w:ilvl="5">
      <w:start w:val="1"/>
      <w:numFmt w:val="upperRoman"/>
      <w:pStyle w:val="Standard1L6"/>
      <w:lvlText w:val="(%6)"/>
      <w:lvlJc w:val="left"/>
      <w:pPr>
        <w:tabs>
          <w:tab w:val="num" w:pos="4320"/>
        </w:tabs>
        <w:ind w:left="4320" w:hanging="720"/>
      </w:pPr>
      <w:rPr>
        <w:rFonts w:ascii="Arial" w:hAnsi="Arial" w:cs="Arial"/>
        <w:b w:val="0"/>
        <w:i w:val="0"/>
        <w:caps w:val="0"/>
        <w:sz w:val="22"/>
        <w:u w:val="none"/>
      </w:rPr>
    </w:lvl>
    <w:lvl w:ilvl="6">
      <w:start w:val="1"/>
      <w:numFmt w:val="decimal"/>
      <w:pStyle w:val="Standard1L7"/>
      <w:lvlText w:val="%7)"/>
      <w:lvlJc w:val="left"/>
      <w:pPr>
        <w:tabs>
          <w:tab w:val="num" w:pos="5040"/>
        </w:tabs>
        <w:ind w:left="5040" w:hanging="720"/>
      </w:pPr>
      <w:rPr>
        <w:rFonts w:ascii="Arial" w:hAnsi="Arial" w:cs="Arial"/>
        <w:b w:val="0"/>
        <w:i w:val="0"/>
        <w:caps w:val="0"/>
        <w:sz w:val="22"/>
        <w:u w:val="none"/>
      </w:rPr>
    </w:lvl>
    <w:lvl w:ilvl="7">
      <w:start w:val="1"/>
      <w:numFmt w:val="lowerLetter"/>
      <w:pStyle w:val="Standard1L8"/>
      <w:lvlText w:val="%8)"/>
      <w:lvlJc w:val="left"/>
      <w:pPr>
        <w:tabs>
          <w:tab w:val="num" w:pos="5760"/>
        </w:tabs>
        <w:ind w:left="5760" w:hanging="720"/>
      </w:pPr>
      <w:rPr>
        <w:rFonts w:ascii="Arial" w:hAnsi="Arial" w:cs="Arial"/>
        <w:b w:val="0"/>
        <w:i w:val="0"/>
        <w:caps w:val="0"/>
        <w:sz w:val="22"/>
        <w:u w:val="none"/>
      </w:rPr>
    </w:lvl>
    <w:lvl w:ilvl="8">
      <w:start w:val="1"/>
      <w:numFmt w:val="lowerRoman"/>
      <w:pStyle w:val="Standard1L9"/>
      <w:lvlText w:val="%9)"/>
      <w:lvlJc w:val="left"/>
      <w:pPr>
        <w:tabs>
          <w:tab w:val="num" w:pos="6480"/>
        </w:tabs>
        <w:ind w:left="6480" w:hanging="720"/>
      </w:pPr>
      <w:rPr>
        <w:rFonts w:ascii="Arial" w:hAnsi="Arial" w:cs="Arial"/>
        <w:b w:val="0"/>
        <w:i w:val="0"/>
        <w:caps w:val="0"/>
        <w:sz w:val="22"/>
        <w:u w:val="none"/>
      </w:rPr>
    </w:lvl>
  </w:abstractNum>
  <w:num w:numId="1" w16cid:durableId="15932463">
    <w:abstractNumId w:val="13"/>
  </w:num>
  <w:num w:numId="2" w16cid:durableId="115179342">
    <w:abstractNumId w:val="3"/>
  </w:num>
  <w:num w:numId="3" w16cid:durableId="1495141736">
    <w:abstractNumId w:val="4"/>
  </w:num>
  <w:num w:numId="4" w16cid:durableId="614215101">
    <w:abstractNumId w:val="6"/>
  </w:num>
  <w:num w:numId="5" w16cid:durableId="1628050343">
    <w:abstractNumId w:val="10"/>
  </w:num>
  <w:num w:numId="6" w16cid:durableId="209339672">
    <w:abstractNumId w:val="0"/>
  </w:num>
  <w:num w:numId="7" w16cid:durableId="74936336">
    <w:abstractNumId w:val="9"/>
  </w:num>
  <w:num w:numId="8" w16cid:durableId="1632982830">
    <w:abstractNumId w:val="11"/>
  </w:num>
  <w:num w:numId="9" w16cid:durableId="452407084">
    <w:abstractNumId w:val="8"/>
  </w:num>
  <w:num w:numId="10" w16cid:durableId="293364686">
    <w:abstractNumId w:val="5"/>
  </w:num>
  <w:num w:numId="11" w16cid:durableId="2114133547">
    <w:abstractNumId w:val="7"/>
  </w:num>
  <w:num w:numId="12" w16cid:durableId="1455632249">
    <w:abstractNumId w:val="12"/>
  </w:num>
  <w:num w:numId="13" w16cid:durableId="209616245">
    <w:abstractNumId w:val="2"/>
  </w:num>
  <w:num w:numId="14" w16cid:durableId="13994805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236B698-BE3E-4210-982A-62E32DAB9E32}"/>
    <w:docVar w:name="dgnword-eventsink" w:val="2099577338576"/>
  </w:docVars>
  <w:rsids>
    <w:rsidRoot w:val="00974A10"/>
    <w:rsid w:val="000008EF"/>
    <w:rsid w:val="00004A43"/>
    <w:rsid w:val="00005DFA"/>
    <w:rsid w:val="00010219"/>
    <w:rsid w:val="0001127A"/>
    <w:rsid w:val="0001187A"/>
    <w:rsid w:val="00012834"/>
    <w:rsid w:val="000144E7"/>
    <w:rsid w:val="00015C34"/>
    <w:rsid w:val="00016079"/>
    <w:rsid w:val="000204AE"/>
    <w:rsid w:val="000222C8"/>
    <w:rsid w:val="0002609F"/>
    <w:rsid w:val="000277F7"/>
    <w:rsid w:val="00031486"/>
    <w:rsid w:val="00032086"/>
    <w:rsid w:val="00032ECC"/>
    <w:rsid w:val="00035BAC"/>
    <w:rsid w:val="00043B20"/>
    <w:rsid w:val="00043FB4"/>
    <w:rsid w:val="000448C6"/>
    <w:rsid w:val="000503DA"/>
    <w:rsid w:val="00051FC1"/>
    <w:rsid w:val="00054B52"/>
    <w:rsid w:val="000553A6"/>
    <w:rsid w:val="00055B38"/>
    <w:rsid w:val="00057CE7"/>
    <w:rsid w:val="00063079"/>
    <w:rsid w:val="000705EC"/>
    <w:rsid w:val="00071BCC"/>
    <w:rsid w:val="000738E1"/>
    <w:rsid w:val="000755AF"/>
    <w:rsid w:val="000854EF"/>
    <w:rsid w:val="0008635E"/>
    <w:rsid w:val="00087105"/>
    <w:rsid w:val="00093160"/>
    <w:rsid w:val="00094B84"/>
    <w:rsid w:val="00096D5D"/>
    <w:rsid w:val="000A0FA5"/>
    <w:rsid w:val="000A1BC0"/>
    <w:rsid w:val="000A614B"/>
    <w:rsid w:val="000B0C75"/>
    <w:rsid w:val="000B29CB"/>
    <w:rsid w:val="000B7D68"/>
    <w:rsid w:val="000C7F24"/>
    <w:rsid w:val="000D2BE0"/>
    <w:rsid w:val="000D57A6"/>
    <w:rsid w:val="000E07D9"/>
    <w:rsid w:val="000E1823"/>
    <w:rsid w:val="000E6DDB"/>
    <w:rsid w:val="000F08AA"/>
    <w:rsid w:val="000F1A0E"/>
    <w:rsid w:val="000F5690"/>
    <w:rsid w:val="000F59F3"/>
    <w:rsid w:val="001123AC"/>
    <w:rsid w:val="00115834"/>
    <w:rsid w:val="00124A47"/>
    <w:rsid w:val="001253FC"/>
    <w:rsid w:val="001305D9"/>
    <w:rsid w:val="001405CD"/>
    <w:rsid w:val="00145386"/>
    <w:rsid w:val="00145B6A"/>
    <w:rsid w:val="0015538C"/>
    <w:rsid w:val="0015752D"/>
    <w:rsid w:val="00163A7A"/>
    <w:rsid w:val="00166FE7"/>
    <w:rsid w:val="001714D4"/>
    <w:rsid w:val="00172C17"/>
    <w:rsid w:val="001844DC"/>
    <w:rsid w:val="001915F3"/>
    <w:rsid w:val="00191A4D"/>
    <w:rsid w:val="001936C9"/>
    <w:rsid w:val="00197BA5"/>
    <w:rsid w:val="001A1A22"/>
    <w:rsid w:val="001A376C"/>
    <w:rsid w:val="001A59CB"/>
    <w:rsid w:val="001A6127"/>
    <w:rsid w:val="001B0545"/>
    <w:rsid w:val="001B1584"/>
    <w:rsid w:val="001B3079"/>
    <w:rsid w:val="001C3FE9"/>
    <w:rsid w:val="001C4FBB"/>
    <w:rsid w:val="001C62E2"/>
    <w:rsid w:val="001C636D"/>
    <w:rsid w:val="001C71AC"/>
    <w:rsid w:val="001D4520"/>
    <w:rsid w:val="001D4B22"/>
    <w:rsid w:val="001D4D25"/>
    <w:rsid w:val="001D4D8F"/>
    <w:rsid w:val="001D702C"/>
    <w:rsid w:val="001E0278"/>
    <w:rsid w:val="001E0D34"/>
    <w:rsid w:val="001E31E1"/>
    <w:rsid w:val="001F59B6"/>
    <w:rsid w:val="00210702"/>
    <w:rsid w:val="00211D09"/>
    <w:rsid w:val="00212179"/>
    <w:rsid w:val="002129D7"/>
    <w:rsid w:val="00215A81"/>
    <w:rsid w:val="00220588"/>
    <w:rsid w:val="002212E6"/>
    <w:rsid w:val="0022579F"/>
    <w:rsid w:val="00225D37"/>
    <w:rsid w:val="00227D55"/>
    <w:rsid w:val="002301C9"/>
    <w:rsid w:val="0023632C"/>
    <w:rsid w:val="00240501"/>
    <w:rsid w:val="00241C81"/>
    <w:rsid w:val="002421BE"/>
    <w:rsid w:val="0024301F"/>
    <w:rsid w:val="002450FD"/>
    <w:rsid w:val="00245DD6"/>
    <w:rsid w:val="002529D7"/>
    <w:rsid w:val="00260B1C"/>
    <w:rsid w:val="002626F6"/>
    <w:rsid w:val="0026345E"/>
    <w:rsid w:val="0027195E"/>
    <w:rsid w:val="002824FD"/>
    <w:rsid w:val="00286CAB"/>
    <w:rsid w:val="00290376"/>
    <w:rsid w:val="00291ED5"/>
    <w:rsid w:val="00295BF5"/>
    <w:rsid w:val="0029615C"/>
    <w:rsid w:val="002973B6"/>
    <w:rsid w:val="002A2D91"/>
    <w:rsid w:val="002B0DC7"/>
    <w:rsid w:val="002B3202"/>
    <w:rsid w:val="002D14A8"/>
    <w:rsid w:val="002D16CB"/>
    <w:rsid w:val="002D51A6"/>
    <w:rsid w:val="002E02CA"/>
    <w:rsid w:val="002E3551"/>
    <w:rsid w:val="002E461E"/>
    <w:rsid w:val="002E6B00"/>
    <w:rsid w:val="002F6AC0"/>
    <w:rsid w:val="00310AA9"/>
    <w:rsid w:val="00310CAA"/>
    <w:rsid w:val="0031317A"/>
    <w:rsid w:val="0031329F"/>
    <w:rsid w:val="003158EB"/>
    <w:rsid w:val="00317210"/>
    <w:rsid w:val="00317EFB"/>
    <w:rsid w:val="00327BCE"/>
    <w:rsid w:val="00331C46"/>
    <w:rsid w:val="00341913"/>
    <w:rsid w:val="003434DA"/>
    <w:rsid w:val="0034567D"/>
    <w:rsid w:val="00345C45"/>
    <w:rsid w:val="0035501A"/>
    <w:rsid w:val="00366C60"/>
    <w:rsid w:val="00372FA1"/>
    <w:rsid w:val="00383D89"/>
    <w:rsid w:val="0038654D"/>
    <w:rsid w:val="0038683D"/>
    <w:rsid w:val="00386BA9"/>
    <w:rsid w:val="00390D23"/>
    <w:rsid w:val="00391DB3"/>
    <w:rsid w:val="003A1239"/>
    <w:rsid w:val="003B1056"/>
    <w:rsid w:val="003B3FD3"/>
    <w:rsid w:val="003B46C0"/>
    <w:rsid w:val="003B5D68"/>
    <w:rsid w:val="003C3396"/>
    <w:rsid w:val="003D0C2B"/>
    <w:rsid w:val="003D164B"/>
    <w:rsid w:val="003E2557"/>
    <w:rsid w:val="003E625C"/>
    <w:rsid w:val="003F2D3B"/>
    <w:rsid w:val="003F3BF1"/>
    <w:rsid w:val="00401997"/>
    <w:rsid w:val="00401B4E"/>
    <w:rsid w:val="004063C3"/>
    <w:rsid w:val="00407021"/>
    <w:rsid w:val="0041133E"/>
    <w:rsid w:val="004141E9"/>
    <w:rsid w:val="00414836"/>
    <w:rsid w:val="00416FDE"/>
    <w:rsid w:val="004176BE"/>
    <w:rsid w:val="0041798C"/>
    <w:rsid w:val="00420BD0"/>
    <w:rsid w:val="00425693"/>
    <w:rsid w:val="004323EF"/>
    <w:rsid w:val="00432751"/>
    <w:rsid w:val="00432F5A"/>
    <w:rsid w:val="00433A73"/>
    <w:rsid w:val="00435106"/>
    <w:rsid w:val="004472DF"/>
    <w:rsid w:val="00451C72"/>
    <w:rsid w:val="004550F9"/>
    <w:rsid w:val="004569D5"/>
    <w:rsid w:val="00465A63"/>
    <w:rsid w:val="00465F39"/>
    <w:rsid w:val="00471A31"/>
    <w:rsid w:val="00471F87"/>
    <w:rsid w:val="00472BB8"/>
    <w:rsid w:val="00474DAA"/>
    <w:rsid w:val="00474E33"/>
    <w:rsid w:val="0048147E"/>
    <w:rsid w:val="00483218"/>
    <w:rsid w:val="004847A0"/>
    <w:rsid w:val="00490958"/>
    <w:rsid w:val="00493AB7"/>
    <w:rsid w:val="00495137"/>
    <w:rsid w:val="004958DE"/>
    <w:rsid w:val="004C1E86"/>
    <w:rsid w:val="004C4BEF"/>
    <w:rsid w:val="004C7FA3"/>
    <w:rsid w:val="004D487C"/>
    <w:rsid w:val="004E29EB"/>
    <w:rsid w:val="004E2CFC"/>
    <w:rsid w:val="004E3644"/>
    <w:rsid w:val="004F3E64"/>
    <w:rsid w:val="004F4071"/>
    <w:rsid w:val="004F647A"/>
    <w:rsid w:val="004F6BF2"/>
    <w:rsid w:val="00500760"/>
    <w:rsid w:val="00505D3D"/>
    <w:rsid w:val="005103B2"/>
    <w:rsid w:val="00513BBC"/>
    <w:rsid w:val="00513F8B"/>
    <w:rsid w:val="005163E5"/>
    <w:rsid w:val="00523358"/>
    <w:rsid w:val="0052381C"/>
    <w:rsid w:val="00526D95"/>
    <w:rsid w:val="00530F13"/>
    <w:rsid w:val="00534C61"/>
    <w:rsid w:val="00536281"/>
    <w:rsid w:val="00537AFE"/>
    <w:rsid w:val="00547861"/>
    <w:rsid w:val="00552D50"/>
    <w:rsid w:val="00561672"/>
    <w:rsid w:val="0056368A"/>
    <w:rsid w:val="00565C5F"/>
    <w:rsid w:val="005703A4"/>
    <w:rsid w:val="0058140F"/>
    <w:rsid w:val="005841D9"/>
    <w:rsid w:val="00584BA5"/>
    <w:rsid w:val="00590554"/>
    <w:rsid w:val="0059681F"/>
    <w:rsid w:val="00596B5C"/>
    <w:rsid w:val="00597339"/>
    <w:rsid w:val="005A3473"/>
    <w:rsid w:val="005A357A"/>
    <w:rsid w:val="005A4CF5"/>
    <w:rsid w:val="005B42CB"/>
    <w:rsid w:val="005B496C"/>
    <w:rsid w:val="005B7DA2"/>
    <w:rsid w:val="005C133A"/>
    <w:rsid w:val="005C2EFD"/>
    <w:rsid w:val="005C5853"/>
    <w:rsid w:val="005D43E1"/>
    <w:rsid w:val="005D496B"/>
    <w:rsid w:val="005D7544"/>
    <w:rsid w:val="005E089A"/>
    <w:rsid w:val="005E08CE"/>
    <w:rsid w:val="005E137F"/>
    <w:rsid w:val="005E60B6"/>
    <w:rsid w:val="005F0E32"/>
    <w:rsid w:val="005F1AA3"/>
    <w:rsid w:val="005F7A66"/>
    <w:rsid w:val="005F7E85"/>
    <w:rsid w:val="00600788"/>
    <w:rsid w:val="006057EE"/>
    <w:rsid w:val="00612BFD"/>
    <w:rsid w:val="00615084"/>
    <w:rsid w:val="00615680"/>
    <w:rsid w:val="00621660"/>
    <w:rsid w:val="006263F8"/>
    <w:rsid w:val="006325F2"/>
    <w:rsid w:val="00636B9D"/>
    <w:rsid w:val="00637704"/>
    <w:rsid w:val="00651BDD"/>
    <w:rsid w:val="006542D7"/>
    <w:rsid w:val="0065733D"/>
    <w:rsid w:val="0066036E"/>
    <w:rsid w:val="006635C7"/>
    <w:rsid w:val="00670749"/>
    <w:rsid w:val="00670B5F"/>
    <w:rsid w:val="00673197"/>
    <w:rsid w:val="0067412F"/>
    <w:rsid w:val="006749CB"/>
    <w:rsid w:val="00674D18"/>
    <w:rsid w:val="006820D4"/>
    <w:rsid w:val="00683F63"/>
    <w:rsid w:val="006900B4"/>
    <w:rsid w:val="00690C2E"/>
    <w:rsid w:val="00691639"/>
    <w:rsid w:val="00694CD6"/>
    <w:rsid w:val="006A0288"/>
    <w:rsid w:val="006A22AA"/>
    <w:rsid w:val="006A2C73"/>
    <w:rsid w:val="006A4D32"/>
    <w:rsid w:val="006A5960"/>
    <w:rsid w:val="006A5CFB"/>
    <w:rsid w:val="006B3FC3"/>
    <w:rsid w:val="006B5697"/>
    <w:rsid w:val="006C6B1E"/>
    <w:rsid w:val="006C7FF1"/>
    <w:rsid w:val="006D05F4"/>
    <w:rsid w:val="006D09C1"/>
    <w:rsid w:val="006D0BE1"/>
    <w:rsid w:val="006D45FF"/>
    <w:rsid w:val="006E13A5"/>
    <w:rsid w:val="006E3AA2"/>
    <w:rsid w:val="006E3EB8"/>
    <w:rsid w:val="006E4B46"/>
    <w:rsid w:val="006E710B"/>
    <w:rsid w:val="006E7B8E"/>
    <w:rsid w:val="006F0BA3"/>
    <w:rsid w:val="006F2B80"/>
    <w:rsid w:val="006F4205"/>
    <w:rsid w:val="00701DF4"/>
    <w:rsid w:val="007028D3"/>
    <w:rsid w:val="00702DB6"/>
    <w:rsid w:val="007043EE"/>
    <w:rsid w:val="007112F4"/>
    <w:rsid w:val="007168E8"/>
    <w:rsid w:val="007178DF"/>
    <w:rsid w:val="00727BC4"/>
    <w:rsid w:val="00740BE8"/>
    <w:rsid w:val="007532E3"/>
    <w:rsid w:val="00760D83"/>
    <w:rsid w:val="00761B4E"/>
    <w:rsid w:val="00764293"/>
    <w:rsid w:val="0078545E"/>
    <w:rsid w:val="007977F4"/>
    <w:rsid w:val="007A02DA"/>
    <w:rsid w:val="007A1F43"/>
    <w:rsid w:val="007A27FC"/>
    <w:rsid w:val="007A54FB"/>
    <w:rsid w:val="007A5D9B"/>
    <w:rsid w:val="007A618E"/>
    <w:rsid w:val="007A6CD0"/>
    <w:rsid w:val="007B36F0"/>
    <w:rsid w:val="007C092F"/>
    <w:rsid w:val="007C1BBD"/>
    <w:rsid w:val="007C2E46"/>
    <w:rsid w:val="007C57FA"/>
    <w:rsid w:val="007C7FE9"/>
    <w:rsid w:val="007D07FB"/>
    <w:rsid w:val="007D4361"/>
    <w:rsid w:val="007D7CB7"/>
    <w:rsid w:val="007E4DE4"/>
    <w:rsid w:val="007F3BE4"/>
    <w:rsid w:val="007F3F86"/>
    <w:rsid w:val="007F42BF"/>
    <w:rsid w:val="007F545C"/>
    <w:rsid w:val="00801400"/>
    <w:rsid w:val="0080417C"/>
    <w:rsid w:val="00816665"/>
    <w:rsid w:val="00820AD2"/>
    <w:rsid w:val="008248E5"/>
    <w:rsid w:val="00824D8B"/>
    <w:rsid w:val="00824FCE"/>
    <w:rsid w:val="00826545"/>
    <w:rsid w:val="008271B9"/>
    <w:rsid w:val="008306D7"/>
    <w:rsid w:val="00831757"/>
    <w:rsid w:val="00831ED9"/>
    <w:rsid w:val="00833676"/>
    <w:rsid w:val="008345BA"/>
    <w:rsid w:val="0083678F"/>
    <w:rsid w:val="00840E83"/>
    <w:rsid w:val="00842F89"/>
    <w:rsid w:val="008516A6"/>
    <w:rsid w:val="008548F0"/>
    <w:rsid w:val="00854FCD"/>
    <w:rsid w:val="008559DB"/>
    <w:rsid w:val="008571D5"/>
    <w:rsid w:val="008603AC"/>
    <w:rsid w:val="00860597"/>
    <w:rsid w:val="00861335"/>
    <w:rsid w:val="00865EA4"/>
    <w:rsid w:val="00871D67"/>
    <w:rsid w:val="008759F2"/>
    <w:rsid w:val="00880D02"/>
    <w:rsid w:val="008844CC"/>
    <w:rsid w:val="008848BA"/>
    <w:rsid w:val="00890BE9"/>
    <w:rsid w:val="0089382D"/>
    <w:rsid w:val="00894644"/>
    <w:rsid w:val="008A009E"/>
    <w:rsid w:val="008A0FFF"/>
    <w:rsid w:val="008A196A"/>
    <w:rsid w:val="008A5E36"/>
    <w:rsid w:val="008A622C"/>
    <w:rsid w:val="008B1047"/>
    <w:rsid w:val="008B1B6E"/>
    <w:rsid w:val="008B57F6"/>
    <w:rsid w:val="008B6763"/>
    <w:rsid w:val="008B6C10"/>
    <w:rsid w:val="008D4398"/>
    <w:rsid w:val="008D50A1"/>
    <w:rsid w:val="008D6141"/>
    <w:rsid w:val="008F037C"/>
    <w:rsid w:val="008F09B9"/>
    <w:rsid w:val="008F53BE"/>
    <w:rsid w:val="008F742E"/>
    <w:rsid w:val="00901584"/>
    <w:rsid w:val="00906595"/>
    <w:rsid w:val="00907FD4"/>
    <w:rsid w:val="00910267"/>
    <w:rsid w:val="009103EF"/>
    <w:rsid w:val="0091268F"/>
    <w:rsid w:val="00914CD5"/>
    <w:rsid w:val="0091533B"/>
    <w:rsid w:val="00925C04"/>
    <w:rsid w:val="00925DCC"/>
    <w:rsid w:val="00930A92"/>
    <w:rsid w:val="009342C2"/>
    <w:rsid w:val="0093449A"/>
    <w:rsid w:val="009368E4"/>
    <w:rsid w:val="00945C2B"/>
    <w:rsid w:val="009564D9"/>
    <w:rsid w:val="00957CD0"/>
    <w:rsid w:val="0096115E"/>
    <w:rsid w:val="00961BFE"/>
    <w:rsid w:val="00962063"/>
    <w:rsid w:val="0096209A"/>
    <w:rsid w:val="00963A65"/>
    <w:rsid w:val="00963BC3"/>
    <w:rsid w:val="00963EC2"/>
    <w:rsid w:val="00965616"/>
    <w:rsid w:val="009701B3"/>
    <w:rsid w:val="0097218F"/>
    <w:rsid w:val="00974A10"/>
    <w:rsid w:val="00974F78"/>
    <w:rsid w:val="009753BF"/>
    <w:rsid w:val="0097651A"/>
    <w:rsid w:val="00980B0B"/>
    <w:rsid w:val="009915D2"/>
    <w:rsid w:val="009948BA"/>
    <w:rsid w:val="009952C0"/>
    <w:rsid w:val="009963A9"/>
    <w:rsid w:val="009A014A"/>
    <w:rsid w:val="009A1906"/>
    <w:rsid w:val="009A6B34"/>
    <w:rsid w:val="009B37CB"/>
    <w:rsid w:val="009C1E27"/>
    <w:rsid w:val="009C3011"/>
    <w:rsid w:val="009C7BEB"/>
    <w:rsid w:val="009D1962"/>
    <w:rsid w:val="009E1AE1"/>
    <w:rsid w:val="009E33DA"/>
    <w:rsid w:val="009F437F"/>
    <w:rsid w:val="009F4DCA"/>
    <w:rsid w:val="00A0288A"/>
    <w:rsid w:val="00A0645C"/>
    <w:rsid w:val="00A133A0"/>
    <w:rsid w:val="00A26446"/>
    <w:rsid w:val="00A26962"/>
    <w:rsid w:val="00A3003A"/>
    <w:rsid w:val="00A304BC"/>
    <w:rsid w:val="00A31571"/>
    <w:rsid w:val="00A315B3"/>
    <w:rsid w:val="00A33615"/>
    <w:rsid w:val="00A3518E"/>
    <w:rsid w:val="00A3761D"/>
    <w:rsid w:val="00A43DEF"/>
    <w:rsid w:val="00A4408D"/>
    <w:rsid w:val="00A46423"/>
    <w:rsid w:val="00A57CD3"/>
    <w:rsid w:val="00A62337"/>
    <w:rsid w:val="00A626BB"/>
    <w:rsid w:val="00A6665A"/>
    <w:rsid w:val="00A72983"/>
    <w:rsid w:val="00A74016"/>
    <w:rsid w:val="00A80B1C"/>
    <w:rsid w:val="00A873F6"/>
    <w:rsid w:val="00A90F19"/>
    <w:rsid w:val="00A91FCE"/>
    <w:rsid w:val="00A92BC4"/>
    <w:rsid w:val="00A95083"/>
    <w:rsid w:val="00A95E66"/>
    <w:rsid w:val="00A96485"/>
    <w:rsid w:val="00AA2844"/>
    <w:rsid w:val="00AA28D9"/>
    <w:rsid w:val="00AA4F51"/>
    <w:rsid w:val="00AA6687"/>
    <w:rsid w:val="00AA6C8F"/>
    <w:rsid w:val="00AA6E84"/>
    <w:rsid w:val="00AC2B3D"/>
    <w:rsid w:val="00AD26FD"/>
    <w:rsid w:val="00AD3DDA"/>
    <w:rsid w:val="00AE024A"/>
    <w:rsid w:val="00AE472A"/>
    <w:rsid w:val="00AE6B64"/>
    <w:rsid w:val="00AE7522"/>
    <w:rsid w:val="00AE7EE5"/>
    <w:rsid w:val="00AF7B36"/>
    <w:rsid w:val="00B00DB0"/>
    <w:rsid w:val="00B0219B"/>
    <w:rsid w:val="00B02AFA"/>
    <w:rsid w:val="00B02F25"/>
    <w:rsid w:val="00B04059"/>
    <w:rsid w:val="00B0487F"/>
    <w:rsid w:val="00B06017"/>
    <w:rsid w:val="00B10E10"/>
    <w:rsid w:val="00B10EC6"/>
    <w:rsid w:val="00B11B8D"/>
    <w:rsid w:val="00B13B09"/>
    <w:rsid w:val="00B15E08"/>
    <w:rsid w:val="00B1646C"/>
    <w:rsid w:val="00B172DD"/>
    <w:rsid w:val="00B2203F"/>
    <w:rsid w:val="00B3364E"/>
    <w:rsid w:val="00B33BAD"/>
    <w:rsid w:val="00B40174"/>
    <w:rsid w:val="00B50270"/>
    <w:rsid w:val="00B50C48"/>
    <w:rsid w:val="00B50CB2"/>
    <w:rsid w:val="00B5373F"/>
    <w:rsid w:val="00B5588B"/>
    <w:rsid w:val="00B579BB"/>
    <w:rsid w:val="00B61B1F"/>
    <w:rsid w:val="00B645FC"/>
    <w:rsid w:val="00B67719"/>
    <w:rsid w:val="00B7054E"/>
    <w:rsid w:val="00B728AB"/>
    <w:rsid w:val="00B73B60"/>
    <w:rsid w:val="00B76064"/>
    <w:rsid w:val="00B76CE1"/>
    <w:rsid w:val="00B84E42"/>
    <w:rsid w:val="00B8726C"/>
    <w:rsid w:val="00B87345"/>
    <w:rsid w:val="00B97367"/>
    <w:rsid w:val="00B97798"/>
    <w:rsid w:val="00BA0196"/>
    <w:rsid w:val="00BA39B8"/>
    <w:rsid w:val="00BA3F3F"/>
    <w:rsid w:val="00BA6C67"/>
    <w:rsid w:val="00BB043E"/>
    <w:rsid w:val="00BB10D9"/>
    <w:rsid w:val="00BB1948"/>
    <w:rsid w:val="00BB21BA"/>
    <w:rsid w:val="00BC3C35"/>
    <w:rsid w:val="00BC53E0"/>
    <w:rsid w:val="00BC5785"/>
    <w:rsid w:val="00BD0D5D"/>
    <w:rsid w:val="00BD240B"/>
    <w:rsid w:val="00BD3D22"/>
    <w:rsid w:val="00BD5AEF"/>
    <w:rsid w:val="00BE73EB"/>
    <w:rsid w:val="00BE7D61"/>
    <w:rsid w:val="00BF7312"/>
    <w:rsid w:val="00BF79A0"/>
    <w:rsid w:val="00C04870"/>
    <w:rsid w:val="00C06C0C"/>
    <w:rsid w:val="00C06F5C"/>
    <w:rsid w:val="00C141F0"/>
    <w:rsid w:val="00C2256F"/>
    <w:rsid w:val="00C3495A"/>
    <w:rsid w:val="00C34DB5"/>
    <w:rsid w:val="00C44DB5"/>
    <w:rsid w:val="00C468F0"/>
    <w:rsid w:val="00C47D23"/>
    <w:rsid w:val="00C509E5"/>
    <w:rsid w:val="00C5566D"/>
    <w:rsid w:val="00C56A41"/>
    <w:rsid w:val="00C625A2"/>
    <w:rsid w:val="00C63747"/>
    <w:rsid w:val="00C716ED"/>
    <w:rsid w:val="00C7742C"/>
    <w:rsid w:val="00C8066B"/>
    <w:rsid w:val="00C86DD9"/>
    <w:rsid w:val="00C8706D"/>
    <w:rsid w:val="00C9059C"/>
    <w:rsid w:val="00C9380F"/>
    <w:rsid w:val="00C966F1"/>
    <w:rsid w:val="00C97CC7"/>
    <w:rsid w:val="00CA11F9"/>
    <w:rsid w:val="00CA1D0E"/>
    <w:rsid w:val="00CB2059"/>
    <w:rsid w:val="00CB2C2C"/>
    <w:rsid w:val="00CC5EA1"/>
    <w:rsid w:val="00CD50B7"/>
    <w:rsid w:val="00CD5FE7"/>
    <w:rsid w:val="00CE2E0E"/>
    <w:rsid w:val="00CE328B"/>
    <w:rsid w:val="00CE7423"/>
    <w:rsid w:val="00CF1879"/>
    <w:rsid w:val="00CF3023"/>
    <w:rsid w:val="00CF4047"/>
    <w:rsid w:val="00D1067C"/>
    <w:rsid w:val="00D127F7"/>
    <w:rsid w:val="00D1692F"/>
    <w:rsid w:val="00D16DA9"/>
    <w:rsid w:val="00D17FB7"/>
    <w:rsid w:val="00D204C5"/>
    <w:rsid w:val="00D24E42"/>
    <w:rsid w:val="00D32D9C"/>
    <w:rsid w:val="00D33CC5"/>
    <w:rsid w:val="00D35051"/>
    <w:rsid w:val="00D362BD"/>
    <w:rsid w:val="00D36D94"/>
    <w:rsid w:val="00D42276"/>
    <w:rsid w:val="00D42C48"/>
    <w:rsid w:val="00D444E1"/>
    <w:rsid w:val="00D64711"/>
    <w:rsid w:val="00D71771"/>
    <w:rsid w:val="00D72D8A"/>
    <w:rsid w:val="00D731EB"/>
    <w:rsid w:val="00D7379B"/>
    <w:rsid w:val="00D74B48"/>
    <w:rsid w:val="00D7629F"/>
    <w:rsid w:val="00D77C51"/>
    <w:rsid w:val="00D82173"/>
    <w:rsid w:val="00D84D9A"/>
    <w:rsid w:val="00D87DC4"/>
    <w:rsid w:val="00D90801"/>
    <w:rsid w:val="00D92EA3"/>
    <w:rsid w:val="00DA7193"/>
    <w:rsid w:val="00DB2FD0"/>
    <w:rsid w:val="00DB49C9"/>
    <w:rsid w:val="00DC176A"/>
    <w:rsid w:val="00DC6BD1"/>
    <w:rsid w:val="00DD1B78"/>
    <w:rsid w:val="00DD40EB"/>
    <w:rsid w:val="00DE17C8"/>
    <w:rsid w:val="00DE4D0C"/>
    <w:rsid w:val="00DF2580"/>
    <w:rsid w:val="00E00638"/>
    <w:rsid w:val="00E021DC"/>
    <w:rsid w:val="00E066D3"/>
    <w:rsid w:val="00E204D1"/>
    <w:rsid w:val="00E2286B"/>
    <w:rsid w:val="00E2781D"/>
    <w:rsid w:val="00E31CA6"/>
    <w:rsid w:val="00E32ECD"/>
    <w:rsid w:val="00E360F9"/>
    <w:rsid w:val="00E403CF"/>
    <w:rsid w:val="00E425F5"/>
    <w:rsid w:val="00E4342F"/>
    <w:rsid w:val="00E551C8"/>
    <w:rsid w:val="00E56925"/>
    <w:rsid w:val="00E570B4"/>
    <w:rsid w:val="00E61855"/>
    <w:rsid w:val="00E6286D"/>
    <w:rsid w:val="00E6449F"/>
    <w:rsid w:val="00E64E8C"/>
    <w:rsid w:val="00E65B74"/>
    <w:rsid w:val="00E66F9A"/>
    <w:rsid w:val="00E76379"/>
    <w:rsid w:val="00E80226"/>
    <w:rsid w:val="00E83F27"/>
    <w:rsid w:val="00E8441B"/>
    <w:rsid w:val="00E86EC0"/>
    <w:rsid w:val="00E94385"/>
    <w:rsid w:val="00E971AC"/>
    <w:rsid w:val="00EA1B32"/>
    <w:rsid w:val="00EA5F07"/>
    <w:rsid w:val="00EB3B32"/>
    <w:rsid w:val="00EB4AFD"/>
    <w:rsid w:val="00EB4B60"/>
    <w:rsid w:val="00EB744C"/>
    <w:rsid w:val="00EC079C"/>
    <w:rsid w:val="00EC1FAB"/>
    <w:rsid w:val="00EC63AF"/>
    <w:rsid w:val="00EC669D"/>
    <w:rsid w:val="00EC7823"/>
    <w:rsid w:val="00ED70C8"/>
    <w:rsid w:val="00EE0164"/>
    <w:rsid w:val="00EE0E66"/>
    <w:rsid w:val="00EE3A3B"/>
    <w:rsid w:val="00EF1F11"/>
    <w:rsid w:val="00EF4086"/>
    <w:rsid w:val="00EF5DA5"/>
    <w:rsid w:val="00F11499"/>
    <w:rsid w:val="00F1181D"/>
    <w:rsid w:val="00F12269"/>
    <w:rsid w:val="00F14802"/>
    <w:rsid w:val="00F165D2"/>
    <w:rsid w:val="00F23C13"/>
    <w:rsid w:val="00F24365"/>
    <w:rsid w:val="00F35A41"/>
    <w:rsid w:val="00F424A4"/>
    <w:rsid w:val="00F453AD"/>
    <w:rsid w:val="00F52789"/>
    <w:rsid w:val="00F569B3"/>
    <w:rsid w:val="00F56D99"/>
    <w:rsid w:val="00F714D8"/>
    <w:rsid w:val="00F76846"/>
    <w:rsid w:val="00F80662"/>
    <w:rsid w:val="00F81E34"/>
    <w:rsid w:val="00F82AFD"/>
    <w:rsid w:val="00F861C6"/>
    <w:rsid w:val="00F925BD"/>
    <w:rsid w:val="00F953AE"/>
    <w:rsid w:val="00F95C31"/>
    <w:rsid w:val="00F97571"/>
    <w:rsid w:val="00F97597"/>
    <w:rsid w:val="00FA3FCC"/>
    <w:rsid w:val="00FA7CD2"/>
    <w:rsid w:val="00FB10EF"/>
    <w:rsid w:val="00FB6251"/>
    <w:rsid w:val="00FC1C0E"/>
    <w:rsid w:val="00FC280D"/>
    <w:rsid w:val="00FC3F6B"/>
    <w:rsid w:val="00FC450F"/>
    <w:rsid w:val="00FC66E2"/>
    <w:rsid w:val="00FC7908"/>
    <w:rsid w:val="00FD5510"/>
    <w:rsid w:val="00FD6EA5"/>
    <w:rsid w:val="00FE1894"/>
    <w:rsid w:val="00FE4688"/>
    <w:rsid w:val="00FF4055"/>
    <w:rsid w:val="00FF446D"/>
    <w:rsid w:val="00FF47FC"/>
    <w:rsid w:val="00FF55D9"/>
    <w:rsid w:val="00FF74A7"/>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BC076E"/>
  <w15:chartTrackingRefBased/>
  <w15:docId w15:val="{E2DB4A71-FE99-402F-BBCE-EE0DC2A9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B5"/>
    <w:rPr>
      <w:sz w:val="24"/>
      <w:szCs w:val="24"/>
      <w:lang w:val="en-US"/>
    </w:rPr>
  </w:style>
  <w:style w:type="paragraph" w:styleId="Heading1">
    <w:name w:val="heading 1"/>
    <w:basedOn w:val="Normal"/>
    <w:next w:val="Normal"/>
    <w:link w:val="Heading1Char"/>
    <w:uiPriority w:val="9"/>
    <w:qFormat/>
    <w:rsid w:val="001405CD"/>
    <w:pPr>
      <w:keepNext/>
      <w:keepLines/>
      <w:spacing w:before="240"/>
      <w:outlineLvl w:val="0"/>
    </w:pPr>
    <w:rPr>
      <w:rFonts w:asciiTheme="majorHAnsi" w:eastAsiaTheme="majorEastAsia" w:hAnsiTheme="majorHAnsi" w:cstheme="majorBidi"/>
      <w:color w:val="2F5496" w:themeColor="accent1" w:themeShade="BF"/>
      <w:sz w:val="32"/>
      <w:szCs w:val="32"/>
      <w:lang w:val="en-CA" w:eastAsia="en-CA"/>
    </w:rPr>
  </w:style>
  <w:style w:type="paragraph" w:styleId="Heading2">
    <w:name w:val="heading 2"/>
    <w:basedOn w:val="Normal"/>
    <w:next w:val="Normal"/>
    <w:link w:val="Heading2Char"/>
    <w:uiPriority w:val="9"/>
    <w:unhideWhenUsed/>
    <w:qFormat/>
    <w:rsid w:val="001405CD"/>
    <w:pPr>
      <w:keepNext/>
      <w:keepLines/>
      <w:spacing w:before="40"/>
      <w:outlineLvl w:val="1"/>
    </w:pPr>
    <w:rPr>
      <w:rFonts w:asciiTheme="majorHAnsi" w:eastAsiaTheme="majorEastAsia" w:hAnsiTheme="majorHAnsi" w:cstheme="majorBidi"/>
      <w:color w:val="2F5496" w:themeColor="accent1" w:themeShade="BF"/>
      <w:sz w:val="26"/>
      <w:szCs w:val="26"/>
      <w:lang w:val="en-CA" w:eastAsia="en-CA"/>
    </w:rPr>
  </w:style>
  <w:style w:type="paragraph" w:styleId="Heading3">
    <w:name w:val="heading 3"/>
    <w:basedOn w:val="Normal"/>
    <w:next w:val="Normal"/>
    <w:link w:val="Heading3Char"/>
    <w:uiPriority w:val="9"/>
    <w:unhideWhenUsed/>
    <w:qFormat/>
    <w:rsid w:val="00CE328B"/>
    <w:pPr>
      <w:keepNext/>
      <w:keepLines/>
      <w:spacing w:before="320" w:after="80" w:line="276" w:lineRule="auto"/>
      <w:outlineLvl w:val="2"/>
    </w:pPr>
    <w:rPr>
      <w:rFonts w:ascii="Arial" w:eastAsia="Arial" w:hAnsi="Arial" w:cs="Arial"/>
      <w:color w:val="434343"/>
      <w:sz w:val="28"/>
      <w:szCs w:val="28"/>
      <w:lang w:val="en" w:eastAsia="en-CA"/>
    </w:rPr>
  </w:style>
  <w:style w:type="paragraph" w:styleId="Heading4">
    <w:name w:val="heading 4"/>
    <w:basedOn w:val="Normal"/>
    <w:next w:val="Normal"/>
    <w:link w:val="Heading4Char"/>
    <w:uiPriority w:val="9"/>
    <w:semiHidden/>
    <w:unhideWhenUsed/>
    <w:qFormat/>
    <w:rsid w:val="001405CD"/>
    <w:pPr>
      <w:keepNext/>
      <w:keepLines/>
      <w:spacing w:before="40"/>
      <w:outlineLvl w:val="3"/>
    </w:pPr>
    <w:rPr>
      <w:rFonts w:asciiTheme="majorHAnsi" w:eastAsiaTheme="majorEastAsia" w:hAnsiTheme="majorHAnsi" w:cstheme="majorBidi"/>
      <w:i/>
      <w:iCs/>
      <w:color w:val="2F5496" w:themeColor="accent1" w:themeShade="BF"/>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C5FEC"/>
    <w:rPr>
      <w:rFonts w:ascii="Lucida Grande" w:hAnsi="Lucida Grande"/>
      <w:sz w:val="18"/>
      <w:szCs w:val="18"/>
    </w:rPr>
  </w:style>
  <w:style w:type="paragraph" w:styleId="Header">
    <w:name w:val="header"/>
    <w:basedOn w:val="Normal"/>
    <w:link w:val="HeaderChar"/>
    <w:uiPriority w:val="99"/>
    <w:unhideWhenUsed/>
    <w:rsid w:val="00974A10"/>
    <w:pPr>
      <w:tabs>
        <w:tab w:val="center" w:pos="4320"/>
        <w:tab w:val="right" w:pos="8640"/>
      </w:tabs>
    </w:pPr>
  </w:style>
  <w:style w:type="character" w:customStyle="1" w:styleId="HeaderChar">
    <w:name w:val="Header Char"/>
    <w:link w:val="Header"/>
    <w:uiPriority w:val="99"/>
    <w:rsid w:val="00974A10"/>
    <w:rPr>
      <w:sz w:val="24"/>
      <w:szCs w:val="24"/>
    </w:rPr>
  </w:style>
  <w:style w:type="paragraph" w:styleId="Footer">
    <w:name w:val="footer"/>
    <w:basedOn w:val="Normal"/>
    <w:link w:val="FooterChar"/>
    <w:uiPriority w:val="99"/>
    <w:unhideWhenUsed/>
    <w:rsid w:val="00974A10"/>
    <w:pPr>
      <w:tabs>
        <w:tab w:val="center" w:pos="4320"/>
        <w:tab w:val="right" w:pos="8640"/>
      </w:tabs>
    </w:pPr>
  </w:style>
  <w:style w:type="character" w:customStyle="1" w:styleId="FooterChar">
    <w:name w:val="Footer Char"/>
    <w:link w:val="Footer"/>
    <w:uiPriority w:val="99"/>
    <w:rsid w:val="00974A10"/>
    <w:rPr>
      <w:sz w:val="24"/>
      <w:szCs w:val="24"/>
    </w:rPr>
  </w:style>
  <w:style w:type="paragraph" w:customStyle="1" w:styleId="MediumGrid1-Accent21">
    <w:name w:val="Medium Grid 1 - Accent 21"/>
    <w:basedOn w:val="Normal"/>
    <w:uiPriority w:val="34"/>
    <w:qFormat/>
    <w:rsid w:val="00FE4688"/>
    <w:pPr>
      <w:ind w:left="720"/>
      <w:contextualSpacing/>
      <w:jc w:val="both"/>
    </w:pPr>
    <w:rPr>
      <w:rFonts w:ascii="Calibri" w:eastAsia="Calibri" w:hAnsi="Calibri"/>
      <w:sz w:val="22"/>
      <w:szCs w:val="22"/>
    </w:rPr>
  </w:style>
  <w:style w:type="paragraph" w:styleId="NormalWeb">
    <w:name w:val="Normal (Web)"/>
    <w:basedOn w:val="Normal"/>
    <w:uiPriority w:val="99"/>
    <w:rsid w:val="004F647A"/>
    <w:pPr>
      <w:spacing w:before="100" w:beforeAutospacing="1" w:after="100" w:afterAutospacing="1"/>
    </w:pPr>
    <w:rPr>
      <w:rFonts w:ascii="Arial Unicode MS" w:eastAsia="Arial Unicode MS" w:hAnsi="Arial Unicode MS" w:cs="Arial Unicode MS"/>
    </w:rPr>
  </w:style>
  <w:style w:type="character" w:styleId="Hyperlink">
    <w:name w:val="Hyperlink"/>
    <w:uiPriority w:val="99"/>
    <w:unhideWhenUsed/>
    <w:rsid w:val="002F6AC0"/>
    <w:rPr>
      <w:color w:val="0563C1"/>
      <w:u w:val="single"/>
    </w:rPr>
  </w:style>
  <w:style w:type="character" w:customStyle="1" w:styleId="BodyTextChar">
    <w:name w:val="#BodyText Char"/>
    <w:link w:val="BodyText"/>
    <w:uiPriority w:val="99"/>
    <w:locked/>
    <w:rsid w:val="002F6AC0"/>
    <w:rPr>
      <w:rFonts w:ascii="Calibri" w:hAnsi="Calibri" w:cs="Calibri"/>
      <w:sz w:val="24"/>
      <w:szCs w:val="24"/>
    </w:rPr>
  </w:style>
  <w:style w:type="paragraph" w:customStyle="1" w:styleId="BodyText">
    <w:name w:val="#BodyText"/>
    <w:basedOn w:val="Normal"/>
    <w:link w:val="BodyTextChar"/>
    <w:uiPriority w:val="99"/>
    <w:rsid w:val="002F6AC0"/>
    <w:pPr>
      <w:spacing w:after="240"/>
      <w:jc w:val="both"/>
    </w:pPr>
    <w:rPr>
      <w:rFonts w:ascii="Calibri" w:hAnsi="Calibri" w:cs="Calibri"/>
      <w:lang w:val="en-CA" w:eastAsia="en-CA"/>
    </w:rPr>
  </w:style>
  <w:style w:type="paragraph" w:customStyle="1" w:styleId="Standard1L1">
    <w:name w:val="Standard1_L1"/>
    <w:basedOn w:val="Normal"/>
    <w:uiPriority w:val="99"/>
    <w:rsid w:val="002F6AC0"/>
    <w:pPr>
      <w:numPr>
        <w:numId w:val="1"/>
      </w:numPr>
      <w:spacing w:after="240"/>
      <w:jc w:val="both"/>
      <w:outlineLvl w:val="0"/>
    </w:pPr>
    <w:rPr>
      <w:rFonts w:ascii="Arial" w:eastAsia="Times New Roman" w:hAnsi="Arial" w:cs="Arial"/>
      <w:sz w:val="22"/>
      <w:lang w:val="en-CA" w:eastAsia="en-CA"/>
    </w:rPr>
  </w:style>
  <w:style w:type="paragraph" w:customStyle="1" w:styleId="Standard1L2">
    <w:name w:val="Standard1_L2"/>
    <w:basedOn w:val="Standard1L1"/>
    <w:uiPriority w:val="99"/>
    <w:rsid w:val="002F6AC0"/>
    <w:pPr>
      <w:numPr>
        <w:ilvl w:val="1"/>
      </w:numPr>
      <w:outlineLvl w:val="1"/>
    </w:pPr>
  </w:style>
  <w:style w:type="paragraph" w:customStyle="1" w:styleId="Standard1L3">
    <w:name w:val="Standard1_L3"/>
    <w:basedOn w:val="Standard1L2"/>
    <w:uiPriority w:val="99"/>
    <w:rsid w:val="002F6AC0"/>
    <w:pPr>
      <w:numPr>
        <w:ilvl w:val="2"/>
      </w:numPr>
      <w:outlineLvl w:val="2"/>
    </w:pPr>
  </w:style>
  <w:style w:type="paragraph" w:customStyle="1" w:styleId="Standard1L4">
    <w:name w:val="Standard1_L4"/>
    <w:basedOn w:val="Standard1L3"/>
    <w:uiPriority w:val="99"/>
    <w:rsid w:val="002F6AC0"/>
    <w:pPr>
      <w:numPr>
        <w:ilvl w:val="3"/>
      </w:numPr>
      <w:outlineLvl w:val="3"/>
    </w:pPr>
  </w:style>
  <w:style w:type="paragraph" w:customStyle="1" w:styleId="Standard1L5">
    <w:name w:val="Standard1_L5"/>
    <w:basedOn w:val="Standard1L4"/>
    <w:uiPriority w:val="99"/>
    <w:rsid w:val="002F6AC0"/>
    <w:pPr>
      <w:numPr>
        <w:ilvl w:val="4"/>
      </w:numPr>
      <w:outlineLvl w:val="4"/>
    </w:pPr>
  </w:style>
  <w:style w:type="paragraph" w:customStyle="1" w:styleId="Standard1L6">
    <w:name w:val="Standard1_L6"/>
    <w:basedOn w:val="Standard1L5"/>
    <w:uiPriority w:val="99"/>
    <w:rsid w:val="002F6AC0"/>
    <w:pPr>
      <w:numPr>
        <w:ilvl w:val="5"/>
      </w:numPr>
      <w:outlineLvl w:val="5"/>
    </w:pPr>
  </w:style>
  <w:style w:type="paragraph" w:customStyle="1" w:styleId="Standard1L7">
    <w:name w:val="Standard1_L7"/>
    <w:basedOn w:val="Standard1L6"/>
    <w:uiPriority w:val="99"/>
    <w:rsid w:val="002F6AC0"/>
    <w:pPr>
      <w:numPr>
        <w:ilvl w:val="6"/>
      </w:numPr>
      <w:outlineLvl w:val="6"/>
    </w:pPr>
  </w:style>
  <w:style w:type="paragraph" w:customStyle="1" w:styleId="Standard1L8">
    <w:name w:val="Standard1_L8"/>
    <w:basedOn w:val="Standard1L7"/>
    <w:uiPriority w:val="99"/>
    <w:rsid w:val="002F6AC0"/>
    <w:pPr>
      <w:numPr>
        <w:ilvl w:val="7"/>
      </w:numPr>
      <w:outlineLvl w:val="7"/>
    </w:pPr>
  </w:style>
  <w:style w:type="paragraph" w:customStyle="1" w:styleId="Standard1L9">
    <w:name w:val="Standard1_L9"/>
    <w:basedOn w:val="Standard1L8"/>
    <w:uiPriority w:val="99"/>
    <w:rsid w:val="002F6AC0"/>
    <w:pPr>
      <w:numPr>
        <w:ilvl w:val="8"/>
      </w:numPr>
      <w:outlineLvl w:val="8"/>
    </w:pPr>
  </w:style>
  <w:style w:type="character" w:customStyle="1" w:styleId="text3">
    <w:name w:val="text3"/>
    <w:rsid w:val="00FF74A7"/>
    <w:rPr>
      <w:rFonts w:ascii="Arial" w:hAnsi="Arial" w:cs="Arial" w:hint="default"/>
      <w:sz w:val="24"/>
      <w:szCs w:val="24"/>
    </w:rPr>
  </w:style>
  <w:style w:type="character" w:styleId="PageNumber">
    <w:name w:val="page number"/>
    <w:uiPriority w:val="99"/>
    <w:semiHidden/>
    <w:unhideWhenUsed/>
    <w:rsid w:val="000D2BE0"/>
  </w:style>
  <w:style w:type="paragraph" w:customStyle="1" w:styleId="BasicParagraph">
    <w:name w:val="[Basic Paragraph]"/>
    <w:basedOn w:val="Normal"/>
    <w:uiPriority w:val="99"/>
    <w:rsid w:val="003A123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uiPriority w:val="99"/>
    <w:semiHidden/>
    <w:unhideWhenUsed/>
    <w:rsid w:val="00E56925"/>
    <w:rPr>
      <w:color w:val="605E5C"/>
      <w:shd w:val="clear" w:color="auto" w:fill="E1DFDD"/>
    </w:rPr>
  </w:style>
  <w:style w:type="paragraph" w:styleId="ListParagraph">
    <w:name w:val="List Paragraph"/>
    <w:aliases w:val="Bullet (Normal),1"/>
    <w:basedOn w:val="Normal"/>
    <w:link w:val="ListParagraphChar"/>
    <w:uiPriority w:val="34"/>
    <w:qFormat/>
    <w:rsid w:val="00F861C6"/>
    <w:pPr>
      <w:ind w:left="720"/>
      <w:contextualSpacing/>
      <w:jc w:val="both"/>
    </w:pPr>
    <w:rPr>
      <w:rFonts w:ascii="Calibri" w:eastAsia="Calibri" w:hAnsi="Calibri"/>
      <w:sz w:val="22"/>
      <w:szCs w:val="22"/>
    </w:rPr>
  </w:style>
  <w:style w:type="character" w:styleId="Strong">
    <w:name w:val="Strong"/>
    <w:basedOn w:val="DefaultParagraphFont"/>
    <w:uiPriority w:val="22"/>
    <w:qFormat/>
    <w:rsid w:val="004176BE"/>
    <w:rPr>
      <w:b/>
      <w:bCs/>
    </w:rPr>
  </w:style>
  <w:style w:type="paragraph" w:customStyle="1" w:styleId="paragraph">
    <w:name w:val="paragraph"/>
    <w:basedOn w:val="Normal"/>
    <w:rsid w:val="008B1047"/>
    <w:pPr>
      <w:spacing w:before="100" w:beforeAutospacing="1" w:after="100" w:afterAutospacing="1"/>
    </w:pPr>
    <w:rPr>
      <w:rFonts w:ascii="Times New Roman" w:eastAsia="Times New Roman" w:hAnsi="Times New Roman"/>
      <w:lang w:val="en-CA" w:eastAsia="en-CA"/>
    </w:rPr>
  </w:style>
  <w:style w:type="character" w:customStyle="1" w:styleId="normaltextrun">
    <w:name w:val="normaltextrun"/>
    <w:basedOn w:val="DefaultParagraphFont"/>
    <w:rsid w:val="008B1047"/>
  </w:style>
  <w:style w:type="character" w:customStyle="1" w:styleId="eop">
    <w:name w:val="eop"/>
    <w:basedOn w:val="DefaultParagraphFont"/>
    <w:rsid w:val="008B1047"/>
  </w:style>
  <w:style w:type="paragraph" w:customStyle="1" w:styleId="Default">
    <w:name w:val="Default"/>
    <w:rsid w:val="00DC176A"/>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rsid w:val="00CE328B"/>
    <w:rPr>
      <w:rFonts w:ascii="Arial" w:eastAsia="Arial" w:hAnsi="Arial" w:cs="Arial"/>
      <w:color w:val="434343"/>
      <w:sz w:val="28"/>
      <w:szCs w:val="28"/>
      <w:lang w:val="en" w:eastAsia="en-CA"/>
    </w:rPr>
  </w:style>
  <w:style w:type="character" w:customStyle="1" w:styleId="Heading1Char">
    <w:name w:val="Heading 1 Char"/>
    <w:basedOn w:val="DefaultParagraphFont"/>
    <w:link w:val="Heading1"/>
    <w:uiPriority w:val="9"/>
    <w:rsid w:val="001405CD"/>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1405CD"/>
    <w:rPr>
      <w:rFonts w:asciiTheme="majorHAnsi" w:eastAsiaTheme="majorEastAsia" w:hAnsiTheme="majorHAnsi" w:cstheme="majorBidi"/>
      <w:color w:val="2F5496" w:themeColor="accent1" w:themeShade="BF"/>
      <w:sz w:val="26"/>
      <w:szCs w:val="26"/>
      <w:lang w:eastAsia="en-CA"/>
    </w:rPr>
  </w:style>
  <w:style w:type="character" w:customStyle="1" w:styleId="Heading4Char">
    <w:name w:val="Heading 4 Char"/>
    <w:basedOn w:val="DefaultParagraphFont"/>
    <w:link w:val="Heading4"/>
    <w:uiPriority w:val="9"/>
    <w:semiHidden/>
    <w:rsid w:val="001405CD"/>
    <w:rPr>
      <w:rFonts w:asciiTheme="majorHAnsi" w:eastAsiaTheme="majorEastAsia" w:hAnsiTheme="majorHAnsi" w:cstheme="majorBidi"/>
      <w:i/>
      <w:iCs/>
      <w:color w:val="2F5496" w:themeColor="accent1" w:themeShade="BF"/>
      <w:sz w:val="22"/>
      <w:szCs w:val="22"/>
      <w:lang w:eastAsia="en-CA"/>
    </w:rPr>
  </w:style>
  <w:style w:type="character" w:customStyle="1" w:styleId="BalloonTextChar">
    <w:name w:val="Balloon Text Char"/>
    <w:basedOn w:val="DefaultParagraphFont"/>
    <w:link w:val="BalloonText"/>
    <w:uiPriority w:val="99"/>
    <w:semiHidden/>
    <w:rsid w:val="001405CD"/>
    <w:rPr>
      <w:rFonts w:ascii="Lucida Grande" w:hAnsi="Lucida Grande"/>
      <w:sz w:val="18"/>
      <w:szCs w:val="18"/>
      <w:lang w:val="en-US"/>
    </w:rPr>
  </w:style>
  <w:style w:type="character" w:styleId="CommentReference">
    <w:name w:val="annotation reference"/>
    <w:basedOn w:val="DefaultParagraphFont"/>
    <w:uiPriority w:val="99"/>
    <w:semiHidden/>
    <w:unhideWhenUsed/>
    <w:rsid w:val="001405CD"/>
    <w:rPr>
      <w:sz w:val="16"/>
      <w:szCs w:val="16"/>
    </w:rPr>
  </w:style>
  <w:style w:type="paragraph" w:styleId="CommentText">
    <w:name w:val="annotation text"/>
    <w:basedOn w:val="Normal"/>
    <w:link w:val="CommentTextChar"/>
    <w:uiPriority w:val="99"/>
    <w:unhideWhenUsed/>
    <w:rsid w:val="001405CD"/>
    <w:rPr>
      <w:rFonts w:ascii="Calibri" w:eastAsiaTheme="minorHAnsi" w:hAnsi="Calibri" w:cs="Calibri"/>
      <w:sz w:val="20"/>
      <w:szCs w:val="20"/>
      <w:lang w:val="en-CA" w:eastAsia="en-CA"/>
    </w:rPr>
  </w:style>
  <w:style w:type="character" w:customStyle="1" w:styleId="CommentTextChar">
    <w:name w:val="Comment Text Char"/>
    <w:basedOn w:val="DefaultParagraphFont"/>
    <w:link w:val="CommentText"/>
    <w:uiPriority w:val="99"/>
    <w:rsid w:val="001405CD"/>
    <w:rPr>
      <w:rFonts w:ascii="Calibri" w:eastAsiaTheme="minorHAnsi" w:hAnsi="Calibri" w:cs="Calibri"/>
      <w:lang w:eastAsia="en-CA"/>
    </w:rPr>
  </w:style>
  <w:style w:type="paragraph" w:styleId="CommentSubject">
    <w:name w:val="annotation subject"/>
    <w:basedOn w:val="CommentText"/>
    <w:next w:val="CommentText"/>
    <w:link w:val="CommentSubjectChar"/>
    <w:uiPriority w:val="99"/>
    <w:semiHidden/>
    <w:unhideWhenUsed/>
    <w:rsid w:val="001405CD"/>
    <w:rPr>
      <w:b/>
      <w:bCs/>
    </w:rPr>
  </w:style>
  <w:style w:type="character" w:customStyle="1" w:styleId="CommentSubjectChar">
    <w:name w:val="Comment Subject Char"/>
    <w:basedOn w:val="CommentTextChar"/>
    <w:link w:val="CommentSubject"/>
    <w:uiPriority w:val="99"/>
    <w:semiHidden/>
    <w:rsid w:val="001405CD"/>
    <w:rPr>
      <w:rFonts w:ascii="Calibri" w:eastAsiaTheme="minorHAnsi" w:hAnsi="Calibri" w:cs="Calibri"/>
      <w:b/>
      <w:bCs/>
      <w:lang w:eastAsia="en-CA"/>
    </w:rPr>
  </w:style>
  <w:style w:type="paragraph" w:customStyle="1" w:styleId="subsection">
    <w:name w:val="subsection"/>
    <w:basedOn w:val="Normal"/>
    <w:rsid w:val="001405CD"/>
    <w:rPr>
      <w:rFonts w:ascii="inherit" w:eastAsia="Times New Roman" w:hAnsi="inherit"/>
      <w:lang w:val="en-CA" w:eastAsia="en-CA"/>
    </w:rPr>
  </w:style>
  <w:style w:type="table" w:styleId="TableGrid">
    <w:name w:val="Table Grid"/>
    <w:basedOn w:val="TableNormal"/>
    <w:uiPriority w:val="59"/>
    <w:rsid w:val="001405CD"/>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05CD"/>
    <w:rPr>
      <w:color w:val="954F72" w:themeColor="followedHyperlink"/>
      <w:u w:val="single"/>
    </w:rPr>
  </w:style>
  <w:style w:type="paragraph" w:customStyle="1" w:styleId="xmsolistparagraph">
    <w:name w:val="x_msolistparagraph"/>
    <w:basedOn w:val="Normal"/>
    <w:rsid w:val="001405CD"/>
    <w:rPr>
      <w:rFonts w:ascii="Calibri" w:eastAsiaTheme="minorHAnsi" w:hAnsi="Calibri" w:cs="Calibri"/>
      <w:sz w:val="22"/>
      <w:szCs w:val="22"/>
      <w:lang w:val="en-CA" w:eastAsia="en-CA"/>
    </w:rPr>
  </w:style>
  <w:style w:type="character" w:customStyle="1" w:styleId="A2">
    <w:name w:val="A2"/>
    <w:uiPriority w:val="99"/>
    <w:rsid w:val="001405CD"/>
    <w:rPr>
      <w:rFonts w:cs="Lato"/>
      <w:color w:val="FFFFFF"/>
      <w:sz w:val="28"/>
      <w:szCs w:val="28"/>
    </w:rPr>
  </w:style>
  <w:style w:type="paragraph" w:customStyle="1" w:styleId="xxxxxmsolistparagraph">
    <w:name w:val="x_xxxxmsolistparagraph"/>
    <w:basedOn w:val="Normal"/>
    <w:rsid w:val="001405CD"/>
    <w:rPr>
      <w:rFonts w:ascii="Calibri" w:eastAsiaTheme="minorHAnsi" w:hAnsi="Calibri" w:cs="Calibri"/>
      <w:sz w:val="22"/>
      <w:szCs w:val="22"/>
      <w:lang w:val="en-CA" w:eastAsia="en-CA"/>
    </w:rPr>
  </w:style>
  <w:style w:type="paragraph" w:styleId="Revision">
    <w:name w:val="Revision"/>
    <w:hidden/>
    <w:uiPriority w:val="99"/>
    <w:rsid w:val="001405CD"/>
    <w:rPr>
      <w:rFonts w:ascii="Calibri" w:eastAsiaTheme="minorHAnsi" w:hAnsi="Calibri" w:cs="Calibri"/>
      <w:sz w:val="22"/>
      <w:szCs w:val="22"/>
      <w:lang w:eastAsia="en-CA"/>
    </w:rPr>
  </w:style>
  <w:style w:type="paragraph" w:customStyle="1" w:styleId="xxxxxxxmsonormal">
    <w:name w:val="x_xxxxxxmsonormal"/>
    <w:basedOn w:val="Normal"/>
    <w:rsid w:val="001405CD"/>
    <w:rPr>
      <w:rFonts w:ascii="Calibri" w:eastAsiaTheme="minorHAnsi" w:hAnsi="Calibri" w:cs="Calibri"/>
      <w:sz w:val="22"/>
      <w:szCs w:val="22"/>
      <w:lang w:val="en-CA" w:eastAsia="en-CA"/>
    </w:rPr>
  </w:style>
  <w:style w:type="paragraph" w:styleId="TOCHeading">
    <w:name w:val="TOC Heading"/>
    <w:basedOn w:val="Heading1"/>
    <w:next w:val="Normal"/>
    <w:uiPriority w:val="39"/>
    <w:unhideWhenUsed/>
    <w:qFormat/>
    <w:rsid w:val="001405CD"/>
    <w:pPr>
      <w:spacing w:line="259" w:lineRule="auto"/>
      <w:outlineLvl w:val="9"/>
    </w:pPr>
    <w:rPr>
      <w:lang w:val="en-US" w:eastAsia="en-US"/>
    </w:rPr>
  </w:style>
  <w:style w:type="paragraph" w:styleId="TOC1">
    <w:name w:val="toc 1"/>
    <w:basedOn w:val="Normal"/>
    <w:next w:val="Normal"/>
    <w:autoRedefine/>
    <w:uiPriority w:val="39"/>
    <w:unhideWhenUsed/>
    <w:rsid w:val="001405CD"/>
    <w:pPr>
      <w:tabs>
        <w:tab w:val="left" w:pos="440"/>
        <w:tab w:val="right" w:leader="dot" w:pos="8850"/>
      </w:tabs>
      <w:spacing w:after="100"/>
    </w:pPr>
    <w:rPr>
      <w:rFonts w:ascii="Calibri" w:eastAsiaTheme="minorHAnsi" w:hAnsi="Calibri" w:cs="Calibri"/>
      <w:sz w:val="22"/>
      <w:szCs w:val="22"/>
      <w:lang w:val="en-CA" w:eastAsia="en-CA"/>
    </w:rPr>
  </w:style>
  <w:style w:type="numbering" w:customStyle="1" w:styleId="Style1">
    <w:name w:val="Style1"/>
    <w:uiPriority w:val="99"/>
    <w:rsid w:val="001405CD"/>
    <w:pPr>
      <w:numPr>
        <w:numId w:val="2"/>
      </w:numPr>
    </w:pPr>
  </w:style>
  <w:style w:type="paragraph" w:styleId="TOC2">
    <w:name w:val="toc 2"/>
    <w:basedOn w:val="Normal"/>
    <w:next w:val="Normal"/>
    <w:autoRedefine/>
    <w:uiPriority w:val="39"/>
    <w:unhideWhenUsed/>
    <w:rsid w:val="001405CD"/>
    <w:pPr>
      <w:tabs>
        <w:tab w:val="left" w:pos="660"/>
        <w:tab w:val="right" w:leader="dot" w:pos="8850"/>
      </w:tabs>
      <w:spacing w:after="100"/>
    </w:pPr>
    <w:rPr>
      <w:rFonts w:ascii="Calibri" w:eastAsiaTheme="minorHAnsi" w:hAnsi="Calibri" w:cs="Calibri"/>
      <w:sz w:val="22"/>
      <w:szCs w:val="22"/>
      <w:lang w:val="en-CA" w:eastAsia="en-CA"/>
    </w:rPr>
  </w:style>
  <w:style w:type="paragraph" w:styleId="TOC3">
    <w:name w:val="toc 3"/>
    <w:basedOn w:val="Normal"/>
    <w:next w:val="Normal"/>
    <w:autoRedefine/>
    <w:uiPriority w:val="39"/>
    <w:unhideWhenUsed/>
    <w:rsid w:val="001405CD"/>
    <w:pPr>
      <w:tabs>
        <w:tab w:val="left" w:pos="880"/>
        <w:tab w:val="right" w:leader="dot" w:pos="8850"/>
      </w:tabs>
      <w:spacing w:after="100" w:line="259" w:lineRule="auto"/>
      <w:ind w:left="440"/>
    </w:pPr>
    <w:rPr>
      <w:rFonts w:asciiTheme="minorHAnsi" w:eastAsiaTheme="minorEastAsia" w:hAnsiTheme="minorHAnsi" w:cstheme="minorBidi"/>
      <w:sz w:val="22"/>
      <w:szCs w:val="22"/>
      <w:lang w:val="en-CA" w:eastAsia="en-CA"/>
    </w:rPr>
  </w:style>
  <w:style w:type="paragraph" w:styleId="TOC4">
    <w:name w:val="toc 4"/>
    <w:basedOn w:val="Normal"/>
    <w:next w:val="Normal"/>
    <w:autoRedefine/>
    <w:uiPriority w:val="39"/>
    <w:unhideWhenUsed/>
    <w:rsid w:val="001405CD"/>
    <w:pPr>
      <w:spacing w:after="100" w:line="259" w:lineRule="auto"/>
      <w:ind w:left="660"/>
    </w:pPr>
    <w:rPr>
      <w:rFonts w:asciiTheme="minorHAnsi" w:eastAsiaTheme="minorEastAsia" w:hAnsiTheme="minorHAnsi" w:cstheme="minorBidi"/>
      <w:sz w:val="22"/>
      <w:szCs w:val="22"/>
      <w:lang w:val="en-CA" w:eastAsia="en-CA"/>
    </w:rPr>
  </w:style>
  <w:style w:type="paragraph" w:styleId="TOC5">
    <w:name w:val="toc 5"/>
    <w:basedOn w:val="Normal"/>
    <w:next w:val="Normal"/>
    <w:autoRedefine/>
    <w:uiPriority w:val="39"/>
    <w:unhideWhenUsed/>
    <w:rsid w:val="001405CD"/>
    <w:pPr>
      <w:spacing w:after="100" w:line="259" w:lineRule="auto"/>
      <w:ind w:left="880"/>
    </w:pPr>
    <w:rPr>
      <w:rFonts w:asciiTheme="minorHAnsi" w:eastAsiaTheme="minorEastAsia" w:hAnsiTheme="minorHAnsi" w:cstheme="minorBidi"/>
      <w:sz w:val="22"/>
      <w:szCs w:val="22"/>
      <w:lang w:val="en-CA" w:eastAsia="en-CA"/>
    </w:rPr>
  </w:style>
  <w:style w:type="paragraph" w:styleId="TOC6">
    <w:name w:val="toc 6"/>
    <w:basedOn w:val="Normal"/>
    <w:next w:val="Normal"/>
    <w:autoRedefine/>
    <w:uiPriority w:val="39"/>
    <w:unhideWhenUsed/>
    <w:rsid w:val="001405CD"/>
    <w:pPr>
      <w:spacing w:after="100" w:line="259" w:lineRule="auto"/>
      <w:ind w:left="1100"/>
    </w:pPr>
    <w:rPr>
      <w:rFonts w:asciiTheme="minorHAnsi" w:eastAsiaTheme="minorEastAsia" w:hAnsiTheme="minorHAnsi" w:cstheme="minorBidi"/>
      <w:sz w:val="22"/>
      <w:szCs w:val="22"/>
      <w:lang w:val="en-CA" w:eastAsia="en-CA"/>
    </w:rPr>
  </w:style>
  <w:style w:type="paragraph" w:styleId="TOC7">
    <w:name w:val="toc 7"/>
    <w:basedOn w:val="Normal"/>
    <w:next w:val="Normal"/>
    <w:autoRedefine/>
    <w:uiPriority w:val="39"/>
    <w:unhideWhenUsed/>
    <w:rsid w:val="001405CD"/>
    <w:pPr>
      <w:spacing w:after="100" w:line="259" w:lineRule="auto"/>
      <w:ind w:left="1320"/>
    </w:pPr>
    <w:rPr>
      <w:rFonts w:asciiTheme="minorHAnsi" w:eastAsiaTheme="minorEastAsia" w:hAnsiTheme="minorHAnsi" w:cstheme="minorBidi"/>
      <w:sz w:val="22"/>
      <w:szCs w:val="22"/>
      <w:lang w:val="en-CA" w:eastAsia="en-CA"/>
    </w:rPr>
  </w:style>
  <w:style w:type="paragraph" w:styleId="TOC8">
    <w:name w:val="toc 8"/>
    <w:basedOn w:val="Normal"/>
    <w:next w:val="Normal"/>
    <w:autoRedefine/>
    <w:uiPriority w:val="39"/>
    <w:unhideWhenUsed/>
    <w:rsid w:val="001405CD"/>
    <w:pPr>
      <w:spacing w:after="100" w:line="259" w:lineRule="auto"/>
      <w:ind w:left="1540"/>
    </w:pPr>
    <w:rPr>
      <w:rFonts w:asciiTheme="minorHAnsi" w:eastAsiaTheme="minorEastAsia" w:hAnsiTheme="minorHAnsi" w:cstheme="minorBidi"/>
      <w:sz w:val="22"/>
      <w:szCs w:val="22"/>
      <w:lang w:val="en-CA" w:eastAsia="en-CA"/>
    </w:rPr>
  </w:style>
  <w:style w:type="paragraph" w:styleId="TOC9">
    <w:name w:val="toc 9"/>
    <w:basedOn w:val="Normal"/>
    <w:next w:val="Normal"/>
    <w:autoRedefine/>
    <w:uiPriority w:val="39"/>
    <w:unhideWhenUsed/>
    <w:rsid w:val="001405CD"/>
    <w:pPr>
      <w:spacing w:after="100" w:line="259" w:lineRule="auto"/>
      <w:ind w:left="1760"/>
    </w:pPr>
    <w:rPr>
      <w:rFonts w:asciiTheme="minorHAnsi" w:eastAsiaTheme="minorEastAsia" w:hAnsiTheme="minorHAnsi" w:cstheme="minorBidi"/>
      <w:sz w:val="22"/>
      <w:szCs w:val="22"/>
      <w:lang w:val="en-CA" w:eastAsia="en-CA"/>
    </w:rPr>
  </w:style>
  <w:style w:type="paragraph" w:customStyle="1" w:styleId="xmsonormal">
    <w:name w:val="x_msonormal"/>
    <w:basedOn w:val="Normal"/>
    <w:rsid w:val="001405CD"/>
    <w:rPr>
      <w:rFonts w:ascii="Calibri" w:eastAsiaTheme="minorHAnsi" w:hAnsi="Calibri" w:cs="Calibri"/>
      <w:sz w:val="22"/>
      <w:szCs w:val="22"/>
      <w:lang w:val="en-CA" w:eastAsia="en-CA"/>
    </w:rPr>
  </w:style>
  <w:style w:type="character" w:customStyle="1" w:styleId="ListParagraphChar">
    <w:name w:val="List Paragraph Char"/>
    <w:aliases w:val="Bullet (Normal) Char,1 Char"/>
    <w:basedOn w:val="DefaultParagraphFont"/>
    <w:link w:val="ListParagraph"/>
    <w:uiPriority w:val="34"/>
    <w:rsid w:val="001405CD"/>
    <w:rPr>
      <w:rFonts w:ascii="Calibri" w:eastAsia="Calibri" w:hAnsi="Calibri"/>
      <w:sz w:val="22"/>
      <w:szCs w:val="22"/>
      <w:lang w:val="en-US"/>
    </w:rPr>
  </w:style>
  <w:style w:type="character" w:styleId="Mention">
    <w:name w:val="Mention"/>
    <w:basedOn w:val="DefaultParagraphFont"/>
    <w:uiPriority w:val="99"/>
    <w:unhideWhenUsed/>
    <w:rsid w:val="001405CD"/>
    <w:rPr>
      <w:color w:val="2B579A"/>
      <w:shd w:val="clear" w:color="auto" w:fill="E6E6E6"/>
    </w:rPr>
  </w:style>
  <w:style w:type="paragraph" w:customStyle="1" w:styleId="Pa3">
    <w:name w:val="Pa3"/>
    <w:basedOn w:val="Default"/>
    <w:next w:val="Default"/>
    <w:uiPriority w:val="99"/>
    <w:rsid w:val="00B11B8D"/>
    <w:pPr>
      <w:spacing w:line="241" w:lineRule="atLeast"/>
    </w:pPr>
    <w:rPr>
      <w:rFonts w:ascii="Lato" w:eastAsiaTheme="minorHAnsi" w:hAnsi="Lato" w:cstheme="minorBidi"/>
      <w:color w:val="auto"/>
    </w:rPr>
  </w:style>
  <w:style w:type="character" w:customStyle="1" w:styleId="A7">
    <w:name w:val="A7"/>
    <w:uiPriority w:val="99"/>
    <w:rsid w:val="00B11B8D"/>
    <w:rPr>
      <w:rFonts w:cs="Lato"/>
      <w:color w:val="000000"/>
    </w:rPr>
  </w:style>
  <w:style w:type="paragraph" w:customStyle="1" w:styleId="Pa5">
    <w:name w:val="Pa5"/>
    <w:basedOn w:val="Default"/>
    <w:next w:val="Default"/>
    <w:uiPriority w:val="99"/>
    <w:rsid w:val="00B11B8D"/>
    <w:pPr>
      <w:spacing w:line="241" w:lineRule="atLeast"/>
    </w:pPr>
    <w:rPr>
      <w:rFonts w:ascii="Lato" w:eastAsiaTheme="minorHAnsi" w:hAnsi="La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32941">
      <w:bodyDiv w:val="1"/>
      <w:marLeft w:val="0"/>
      <w:marRight w:val="0"/>
      <w:marTop w:val="0"/>
      <w:marBottom w:val="0"/>
      <w:divBdr>
        <w:top w:val="none" w:sz="0" w:space="0" w:color="auto"/>
        <w:left w:val="none" w:sz="0" w:space="0" w:color="auto"/>
        <w:bottom w:val="none" w:sz="0" w:space="0" w:color="auto"/>
        <w:right w:val="none" w:sz="0" w:space="0" w:color="auto"/>
      </w:divBdr>
    </w:div>
    <w:div w:id="329528361">
      <w:bodyDiv w:val="1"/>
      <w:marLeft w:val="0"/>
      <w:marRight w:val="0"/>
      <w:marTop w:val="0"/>
      <w:marBottom w:val="0"/>
      <w:divBdr>
        <w:top w:val="none" w:sz="0" w:space="0" w:color="auto"/>
        <w:left w:val="none" w:sz="0" w:space="0" w:color="auto"/>
        <w:bottom w:val="none" w:sz="0" w:space="0" w:color="auto"/>
        <w:right w:val="none" w:sz="0" w:space="0" w:color="auto"/>
      </w:divBdr>
      <w:divsChild>
        <w:div w:id="61106225">
          <w:marLeft w:val="0"/>
          <w:marRight w:val="0"/>
          <w:marTop w:val="0"/>
          <w:marBottom w:val="0"/>
          <w:divBdr>
            <w:top w:val="none" w:sz="0" w:space="0" w:color="auto"/>
            <w:left w:val="none" w:sz="0" w:space="0" w:color="auto"/>
            <w:bottom w:val="none" w:sz="0" w:space="0" w:color="auto"/>
            <w:right w:val="none" w:sz="0" w:space="0" w:color="auto"/>
          </w:divBdr>
        </w:div>
        <w:div w:id="251815606">
          <w:marLeft w:val="0"/>
          <w:marRight w:val="0"/>
          <w:marTop w:val="0"/>
          <w:marBottom w:val="0"/>
          <w:divBdr>
            <w:top w:val="none" w:sz="0" w:space="0" w:color="auto"/>
            <w:left w:val="none" w:sz="0" w:space="0" w:color="auto"/>
            <w:bottom w:val="none" w:sz="0" w:space="0" w:color="auto"/>
            <w:right w:val="none" w:sz="0" w:space="0" w:color="auto"/>
          </w:divBdr>
        </w:div>
        <w:div w:id="343945836">
          <w:marLeft w:val="0"/>
          <w:marRight w:val="0"/>
          <w:marTop w:val="0"/>
          <w:marBottom w:val="0"/>
          <w:divBdr>
            <w:top w:val="none" w:sz="0" w:space="0" w:color="auto"/>
            <w:left w:val="none" w:sz="0" w:space="0" w:color="auto"/>
            <w:bottom w:val="none" w:sz="0" w:space="0" w:color="auto"/>
            <w:right w:val="none" w:sz="0" w:space="0" w:color="auto"/>
          </w:divBdr>
        </w:div>
        <w:div w:id="429740068">
          <w:marLeft w:val="0"/>
          <w:marRight w:val="0"/>
          <w:marTop w:val="0"/>
          <w:marBottom w:val="0"/>
          <w:divBdr>
            <w:top w:val="none" w:sz="0" w:space="0" w:color="auto"/>
            <w:left w:val="none" w:sz="0" w:space="0" w:color="auto"/>
            <w:bottom w:val="none" w:sz="0" w:space="0" w:color="auto"/>
            <w:right w:val="none" w:sz="0" w:space="0" w:color="auto"/>
          </w:divBdr>
        </w:div>
        <w:div w:id="764300519">
          <w:marLeft w:val="0"/>
          <w:marRight w:val="0"/>
          <w:marTop w:val="0"/>
          <w:marBottom w:val="0"/>
          <w:divBdr>
            <w:top w:val="none" w:sz="0" w:space="0" w:color="auto"/>
            <w:left w:val="none" w:sz="0" w:space="0" w:color="auto"/>
            <w:bottom w:val="none" w:sz="0" w:space="0" w:color="auto"/>
            <w:right w:val="none" w:sz="0" w:space="0" w:color="auto"/>
          </w:divBdr>
        </w:div>
        <w:div w:id="1048341060">
          <w:marLeft w:val="0"/>
          <w:marRight w:val="0"/>
          <w:marTop w:val="0"/>
          <w:marBottom w:val="0"/>
          <w:divBdr>
            <w:top w:val="none" w:sz="0" w:space="0" w:color="auto"/>
            <w:left w:val="none" w:sz="0" w:space="0" w:color="auto"/>
            <w:bottom w:val="none" w:sz="0" w:space="0" w:color="auto"/>
            <w:right w:val="none" w:sz="0" w:space="0" w:color="auto"/>
          </w:divBdr>
        </w:div>
        <w:div w:id="1223102690">
          <w:marLeft w:val="0"/>
          <w:marRight w:val="0"/>
          <w:marTop w:val="0"/>
          <w:marBottom w:val="0"/>
          <w:divBdr>
            <w:top w:val="none" w:sz="0" w:space="0" w:color="auto"/>
            <w:left w:val="none" w:sz="0" w:space="0" w:color="auto"/>
            <w:bottom w:val="none" w:sz="0" w:space="0" w:color="auto"/>
            <w:right w:val="none" w:sz="0" w:space="0" w:color="auto"/>
          </w:divBdr>
        </w:div>
        <w:div w:id="1260719947">
          <w:marLeft w:val="0"/>
          <w:marRight w:val="0"/>
          <w:marTop w:val="0"/>
          <w:marBottom w:val="0"/>
          <w:divBdr>
            <w:top w:val="none" w:sz="0" w:space="0" w:color="auto"/>
            <w:left w:val="none" w:sz="0" w:space="0" w:color="auto"/>
            <w:bottom w:val="none" w:sz="0" w:space="0" w:color="auto"/>
            <w:right w:val="none" w:sz="0" w:space="0" w:color="auto"/>
          </w:divBdr>
        </w:div>
        <w:div w:id="1466964645">
          <w:marLeft w:val="0"/>
          <w:marRight w:val="0"/>
          <w:marTop w:val="0"/>
          <w:marBottom w:val="0"/>
          <w:divBdr>
            <w:top w:val="none" w:sz="0" w:space="0" w:color="auto"/>
            <w:left w:val="none" w:sz="0" w:space="0" w:color="auto"/>
            <w:bottom w:val="none" w:sz="0" w:space="0" w:color="auto"/>
            <w:right w:val="none" w:sz="0" w:space="0" w:color="auto"/>
          </w:divBdr>
        </w:div>
        <w:div w:id="1480266968">
          <w:marLeft w:val="0"/>
          <w:marRight w:val="0"/>
          <w:marTop w:val="0"/>
          <w:marBottom w:val="0"/>
          <w:divBdr>
            <w:top w:val="none" w:sz="0" w:space="0" w:color="auto"/>
            <w:left w:val="none" w:sz="0" w:space="0" w:color="auto"/>
            <w:bottom w:val="none" w:sz="0" w:space="0" w:color="auto"/>
            <w:right w:val="none" w:sz="0" w:space="0" w:color="auto"/>
          </w:divBdr>
        </w:div>
        <w:div w:id="1615601985">
          <w:marLeft w:val="0"/>
          <w:marRight w:val="0"/>
          <w:marTop w:val="0"/>
          <w:marBottom w:val="0"/>
          <w:divBdr>
            <w:top w:val="none" w:sz="0" w:space="0" w:color="auto"/>
            <w:left w:val="none" w:sz="0" w:space="0" w:color="auto"/>
            <w:bottom w:val="none" w:sz="0" w:space="0" w:color="auto"/>
            <w:right w:val="none" w:sz="0" w:space="0" w:color="auto"/>
          </w:divBdr>
        </w:div>
        <w:div w:id="1850441210">
          <w:marLeft w:val="0"/>
          <w:marRight w:val="0"/>
          <w:marTop w:val="0"/>
          <w:marBottom w:val="0"/>
          <w:divBdr>
            <w:top w:val="none" w:sz="0" w:space="0" w:color="auto"/>
            <w:left w:val="none" w:sz="0" w:space="0" w:color="auto"/>
            <w:bottom w:val="none" w:sz="0" w:space="0" w:color="auto"/>
            <w:right w:val="none" w:sz="0" w:space="0" w:color="auto"/>
          </w:divBdr>
          <w:divsChild>
            <w:div w:id="607464380">
              <w:marLeft w:val="-75"/>
              <w:marRight w:val="0"/>
              <w:marTop w:val="30"/>
              <w:marBottom w:val="30"/>
              <w:divBdr>
                <w:top w:val="none" w:sz="0" w:space="0" w:color="auto"/>
                <w:left w:val="none" w:sz="0" w:space="0" w:color="auto"/>
                <w:bottom w:val="none" w:sz="0" w:space="0" w:color="auto"/>
                <w:right w:val="none" w:sz="0" w:space="0" w:color="auto"/>
              </w:divBdr>
              <w:divsChild>
                <w:div w:id="39402556">
                  <w:marLeft w:val="0"/>
                  <w:marRight w:val="0"/>
                  <w:marTop w:val="0"/>
                  <w:marBottom w:val="0"/>
                  <w:divBdr>
                    <w:top w:val="none" w:sz="0" w:space="0" w:color="auto"/>
                    <w:left w:val="none" w:sz="0" w:space="0" w:color="auto"/>
                    <w:bottom w:val="none" w:sz="0" w:space="0" w:color="auto"/>
                    <w:right w:val="none" w:sz="0" w:space="0" w:color="auto"/>
                  </w:divBdr>
                  <w:divsChild>
                    <w:div w:id="111242231">
                      <w:marLeft w:val="0"/>
                      <w:marRight w:val="0"/>
                      <w:marTop w:val="0"/>
                      <w:marBottom w:val="0"/>
                      <w:divBdr>
                        <w:top w:val="none" w:sz="0" w:space="0" w:color="auto"/>
                        <w:left w:val="none" w:sz="0" w:space="0" w:color="auto"/>
                        <w:bottom w:val="none" w:sz="0" w:space="0" w:color="auto"/>
                        <w:right w:val="none" w:sz="0" w:space="0" w:color="auto"/>
                      </w:divBdr>
                    </w:div>
                  </w:divsChild>
                </w:div>
                <w:div w:id="122041892">
                  <w:marLeft w:val="0"/>
                  <w:marRight w:val="0"/>
                  <w:marTop w:val="0"/>
                  <w:marBottom w:val="0"/>
                  <w:divBdr>
                    <w:top w:val="none" w:sz="0" w:space="0" w:color="auto"/>
                    <w:left w:val="none" w:sz="0" w:space="0" w:color="auto"/>
                    <w:bottom w:val="none" w:sz="0" w:space="0" w:color="auto"/>
                    <w:right w:val="none" w:sz="0" w:space="0" w:color="auto"/>
                  </w:divBdr>
                  <w:divsChild>
                    <w:div w:id="1807700878">
                      <w:marLeft w:val="0"/>
                      <w:marRight w:val="0"/>
                      <w:marTop w:val="0"/>
                      <w:marBottom w:val="0"/>
                      <w:divBdr>
                        <w:top w:val="none" w:sz="0" w:space="0" w:color="auto"/>
                        <w:left w:val="none" w:sz="0" w:space="0" w:color="auto"/>
                        <w:bottom w:val="none" w:sz="0" w:space="0" w:color="auto"/>
                        <w:right w:val="none" w:sz="0" w:space="0" w:color="auto"/>
                      </w:divBdr>
                    </w:div>
                  </w:divsChild>
                </w:div>
                <w:div w:id="439105330">
                  <w:marLeft w:val="0"/>
                  <w:marRight w:val="0"/>
                  <w:marTop w:val="0"/>
                  <w:marBottom w:val="0"/>
                  <w:divBdr>
                    <w:top w:val="none" w:sz="0" w:space="0" w:color="auto"/>
                    <w:left w:val="none" w:sz="0" w:space="0" w:color="auto"/>
                    <w:bottom w:val="none" w:sz="0" w:space="0" w:color="auto"/>
                    <w:right w:val="none" w:sz="0" w:space="0" w:color="auto"/>
                  </w:divBdr>
                  <w:divsChild>
                    <w:div w:id="713234681">
                      <w:marLeft w:val="0"/>
                      <w:marRight w:val="0"/>
                      <w:marTop w:val="0"/>
                      <w:marBottom w:val="0"/>
                      <w:divBdr>
                        <w:top w:val="none" w:sz="0" w:space="0" w:color="auto"/>
                        <w:left w:val="none" w:sz="0" w:space="0" w:color="auto"/>
                        <w:bottom w:val="none" w:sz="0" w:space="0" w:color="auto"/>
                        <w:right w:val="none" w:sz="0" w:space="0" w:color="auto"/>
                      </w:divBdr>
                    </w:div>
                    <w:div w:id="1736585597">
                      <w:marLeft w:val="0"/>
                      <w:marRight w:val="0"/>
                      <w:marTop w:val="0"/>
                      <w:marBottom w:val="0"/>
                      <w:divBdr>
                        <w:top w:val="none" w:sz="0" w:space="0" w:color="auto"/>
                        <w:left w:val="none" w:sz="0" w:space="0" w:color="auto"/>
                        <w:bottom w:val="none" w:sz="0" w:space="0" w:color="auto"/>
                        <w:right w:val="none" w:sz="0" w:space="0" w:color="auto"/>
                      </w:divBdr>
                    </w:div>
                  </w:divsChild>
                </w:div>
                <w:div w:id="445006368">
                  <w:marLeft w:val="0"/>
                  <w:marRight w:val="0"/>
                  <w:marTop w:val="0"/>
                  <w:marBottom w:val="0"/>
                  <w:divBdr>
                    <w:top w:val="none" w:sz="0" w:space="0" w:color="auto"/>
                    <w:left w:val="none" w:sz="0" w:space="0" w:color="auto"/>
                    <w:bottom w:val="none" w:sz="0" w:space="0" w:color="auto"/>
                    <w:right w:val="none" w:sz="0" w:space="0" w:color="auto"/>
                  </w:divBdr>
                  <w:divsChild>
                    <w:div w:id="539167075">
                      <w:marLeft w:val="0"/>
                      <w:marRight w:val="0"/>
                      <w:marTop w:val="0"/>
                      <w:marBottom w:val="0"/>
                      <w:divBdr>
                        <w:top w:val="none" w:sz="0" w:space="0" w:color="auto"/>
                        <w:left w:val="none" w:sz="0" w:space="0" w:color="auto"/>
                        <w:bottom w:val="none" w:sz="0" w:space="0" w:color="auto"/>
                        <w:right w:val="none" w:sz="0" w:space="0" w:color="auto"/>
                      </w:divBdr>
                    </w:div>
                  </w:divsChild>
                </w:div>
                <w:div w:id="758913477">
                  <w:marLeft w:val="0"/>
                  <w:marRight w:val="0"/>
                  <w:marTop w:val="0"/>
                  <w:marBottom w:val="0"/>
                  <w:divBdr>
                    <w:top w:val="none" w:sz="0" w:space="0" w:color="auto"/>
                    <w:left w:val="none" w:sz="0" w:space="0" w:color="auto"/>
                    <w:bottom w:val="none" w:sz="0" w:space="0" w:color="auto"/>
                    <w:right w:val="none" w:sz="0" w:space="0" w:color="auto"/>
                  </w:divBdr>
                  <w:divsChild>
                    <w:div w:id="612400708">
                      <w:marLeft w:val="0"/>
                      <w:marRight w:val="0"/>
                      <w:marTop w:val="0"/>
                      <w:marBottom w:val="0"/>
                      <w:divBdr>
                        <w:top w:val="none" w:sz="0" w:space="0" w:color="auto"/>
                        <w:left w:val="none" w:sz="0" w:space="0" w:color="auto"/>
                        <w:bottom w:val="none" w:sz="0" w:space="0" w:color="auto"/>
                        <w:right w:val="none" w:sz="0" w:space="0" w:color="auto"/>
                      </w:divBdr>
                    </w:div>
                  </w:divsChild>
                </w:div>
                <w:div w:id="798181822">
                  <w:marLeft w:val="0"/>
                  <w:marRight w:val="0"/>
                  <w:marTop w:val="0"/>
                  <w:marBottom w:val="0"/>
                  <w:divBdr>
                    <w:top w:val="none" w:sz="0" w:space="0" w:color="auto"/>
                    <w:left w:val="none" w:sz="0" w:space="0" w:color="auto"/>
                    <w:bottom w:val="none" w:sz="0" w:space="0" w:color="auto"/>
                    <w:right w:val="none" w:sz="0" w:space="0" w:color="auto"/>
                  </w:divBdr>
                  <w:divsChild>
                    <w:div w:id="505755877">
                      <w:marLeft w:val="0"/>
                      <w:marRight w:val="0"/>
                      <w:marTop w:val="0"/>
                      <w:marBottom w:val="0"/>
                      <w:divBdr>
                        <w:top w:val="none" w:sz="0" w:space="0" w:color="auto"/>
                        <w:left w:val="none" w:sz="0" w:space="0" w:color="auto"/>
                        <w:bottom w:val="none" w:sz="0" w:space="0" w:color="auto"/>
                        <w:right w:val="none" w:sz="0" w:space="0" w:color="auto"/>
                      </w:divBdr>
                    </w:div>
                  </w:divsChild>
                </w:div>
                <w:div w:id="891311219">
                  <w:marLeft w:val="0"/>
                  <w:marRight w:val="0"/>
                  <w:marTop w:val="0"/>
                  <w:marBottom w:val="0"/>
                  <w:divBdr>
                    <w:top w:val="none" w:sz="0" w:space="0" w:color="auto"/>
                    <w:left w:val="none" w:sz="0" w:space="0" w:color="auto"/>
                    <w:bottom w:val="none" w:sz="0" w:space="0" w:color="auto"/>
                    <w:right w:val="none" w:sz="0" w:space="0" w:color="auto"/>
                  </w:divBdr>
                  <w:divsChild>
                    <w:div w:id="68813025">
                      <w:marLeft w:val="0"/>
                      <w:marRight w:val="0"/>
                      <w:marTop w:val="0"/>
                      <w:marBottom w:val="0"/>
                      <w:divBdr>
                        <w:top w:val="none" w:sz="0" w:space="0" w:color="auto"/>
                        <w:left w:val="none" w:sz="0" w:space="0" w:color="auto"/>
                        <w:bottom w:val="none" w:sz="0" w:space="0" w:color="auto"/>
                        <w:right w:val="none" w:sz="0" w:space="0" w:color="auto"/>
                      </w:divBdr>
                    </w:div>
                  </w:divsChild>
                </w:div>
                <w:div w:id="1214735926">
                  <w:marLeft w:val="0"/>
                  <w:marRight w:val="0"/>
                  <w:marTop w:val="0"/>
                  <w:marBottom w:val="0"/>
                  <w:divBdr>
                    <w:top w:val="none" w:sz="0" w:space="0" w:color="auto"/>
                    <w:left w:val="none" w:sz="0" w:space="0" w:color="auto"/>
                    <w:bottom w:val="none" w:sz="0" w:space="0" w:color="auto"/>
                    <w:right w:val="none" w:sz="0" w:space="0" w:color="auto"/>
                  </w:divBdr>
                  <w:divsChild>
                    <w:div w:id="963999003">
                      <w:marLeft w:val="0"/>
                      <w:marRight w:val="0"/>
                      <w:marTop w:val="0"/>
                      <w:marBottom w:val="0"/>
                      <w:divBdr>
                        <w:top w:val="none" w:sz="0" w:space="0" w:color="auto"/>
                        <w:left w:val="none" w:sz="0" w:space="0" w:color="auto"/>
                        <w:bottom w:val="none" w:sz="0" w:space="0" w:color="auto"/>
                        <w:right w:val="none" w:sz="0" w:space="0" w:color="auto"/>
                      </w:divBdr>
                    </w:div>
                    <w:div w:id="1355182049">
                      <w:marLeft w:val="0"/>
                      <w:marRight w:val="0"/>
                      <w:marTop w:val="0"/>
                      <w:marBottom w:val="0"/>
                      <w:divBdr>
                        <w:top w:val="none" w:sz="0" w:space="0" w:color="auto"/>
                        <w:left w:val="none" w:sz="0" w:space="0" w:color="auto"/>
                        <w:bottom w:val="none" w:sz="0" w:space="0" w:color="auto"/>
                        <w:right w:val="none" w:sz="0" w:space="0" w:color="auto"/>
                      </w:divBdr>
                    </w:div>
                    <w:div w:id="1849323603">
                      <w:marLeft w:val="0"/>
                      <w:marRight w:val="0"/>
                      <w:marTop w:val="0"/>
                      <w:marBottom w:val="0"/>
                      <w:divBdr>
                        <w:top w:val="none" w:sz="0" w:space="0" w:color="auto"/>
                        <w:left w:val="none" w:sz="0" w:space="0" w:color="auto"/>
                        <w:bottom w:val="none" w:sz="0" w:space="0" w:color="auto"/>
                        <w:right w:val="none" w:sz="0" w:space="0" w:color="auto"/>
                      </w:divBdr>
                    </w:div>
                  </w:divsChild>
                </w:div>
                <w:div w:id="1286430283">
                  <w:marLeft w:val="0"/>
                  <w:marRight w:val="0"/>
                  <w:marTop w:val="0"/>
                  <w:marBottom w:val="0"/>
                  <w:divBdr>
                    <w:top w:val="none" w:sz="0" w:space="0" w:color="auto"/>
                    <w:left w:val="none" w:sz="0" w:space="0" w:color="auto"/>
                    <w:bottom w:val="none" w:sz="0" w:space="0" w:color="auto"/>
                    <w:right w:val="none" w:sz="0" w:space="0" w:color="auto"/>
                  </w:divBdr>
                  <w:divsChild>
                    <w:div w:id="681905905">
                      <w:marLeft w:val="0"/>
                      <w:marRight w:val="0"/>
                      <w:marTop w:val="0"/>
                      <w:marBottom w:val="0"/>
                      <w:divBdr>
                        <w:top w:val="none" w:sz="0" w:space="0" w:color="auto"/>
                        <w:left w:val="none" w:sz="0" w:space="0" w:color="auto"/>
                        <w:bottom w:val="none" w:sz="0" w:space="0" w:color="auto"/>
                        <w:right w:val="none" w:sz="0" w:space="0" w:color="auto"/>
                      </w:divBdr>
                    </w:div>
                  </w:divsChild>
                </w:div>
                <w:div w:id="1492137421">
                  <w:marLeft w:val="0"/>
                  <w:marRight w:val="0"/>
                  <w:marTop w:val="0"/>
                  <w:marBottom w:val="0"/>
                  <w:divBdr>
                    <w:top w:val="none" w:sz="0" w:space="0" w:color="auto"/>
                    <w:left w:val="none" w:sz="0" w:space="0" w:color="auto"/>
                    <w:bottom w:val="none" w:sz="0" w:space="0" w:color="auto"/>
                    <w:right w:val="none" w:sz="0" w:space="0" w:color="auto"/>
                  </w:divBdr>
                  <w:divsChild>
                    <w:div w:id="1882134492">
                      <w:marLeft w:val="0"/>
                      <w:marRight w:val="0"/>
                      <w:marTop w:val="0"/>
                      <w:marBottom w:val="0"/>
                      <w:divBdr>
                        <w:top w:val="none" w:sz="0" w:space="0" w:color="auto"/>
                        <w:left w:val="none" w:sz="0" w:space="0" w:color="auto"/>
                        <w:bottom w:val="none" w:sz="0" w:space="0" w:color="auto"/>
                        <w:right w:val="none" w:sz="0" w:space="0" w:color="auto"/>
                      </w:divBdr>
                    </w:div>
                  </w:divsChild>
                </w:div>
                <w:div w:id="1744445879">
                  <w:marLeft w:val="0"/>
                  <w:marRight w:val="0"/>
                  <w:marTop w:val="0"/>
                  <w:marBottom w:val="0"/>
                  <w:divBdr>
                    <w:top w:val="none" w:sz="0" w:space="0" w:color="auto"/>
                    <w:left w:val="none" w:sz="0" w:space="0" w:color="auto"/>
                    <w:bottom w:val="none" w:sz="0" w:space="0" w:color="auto"/>
                    <w:right w:val="none" w:sz="0" w:space="0" w:color="auto"/>
                  </w:divBdr>
                  <w:divsChild>
                    <w:div w:id="393164466">
                      <w:marLeft w:val="0"/>
                      <w:marRight w:val="0"/>
                      <w:marTop w:val="0"/>
                      <w:marBottom w:val="0"/>
                      <w:divBdr>
                        <w:top w:val="none" w:sz="0" w:space="0" w:color="auto"/>
                        <w:left w:val="none" w:sz="0" w:space="0" w:color="auto"/>
                        <w:bottom w:val="none" w:sz="0" w:space="0" w:color="auto"/>
                        <w:right w:val="none" w:sz="0" w:space="0" w:color="auto"/>
                      </w:divBdr>
                    </w:div>
                  </w:divsChild>
                </w:div>
                <w:div w:id="1833646051">
                  <w:marLeft w:val="0"/>
                  <w:marRight w:val="0"/>
                  <w:marTop w:val="0"/>
                  <w:marBottom w:val="0"/>
                  <w:divBdr>
                    <w:top w:val="none" w:sz="0" w:space="0" w:color="auto"/>
                    <w:left w:val="none" w:sz="0" w:space="0" w:color="auto"/>
                    <w:bottom w:val="none" w:sz="0" w:space="0" w:color="auto"/>
                    <w:right w:val="none" w:sz="0" w:space="0" w:color="auto"/>
                  </w:divBdr>
                  <w:divsChild>
                    <w:div w:id="535461249">
                      <w:marLeft w:val="0"/>
                      <w:marRight w:val="0"/>
                      <w:marTop w:val="0"/>
                      <w:marBottom w:val="0"/>
                      <w:divBdr>
                        <w:top w:val="none" w:sz="0" w:space="0" w:color="auto"/>
                        <w:left w:val="none" w:sz="0" w:space="0" w:color="auto"/>
                        <w:bottom w:val="none" w:sz="0" w:space="0" w:color="auto"/>
                        <w:right w:val="none" w:sz="0" w:space="0" w:color="auto"/>
                      </w:divBdr>
                    </w:div>
                  </w:divsChild>
                </w:div>
                <w:div w:id="1917398144">
                  <w:marLeft w:val="0"/>
                  <w:marRight w:val="0"/>
                  <w:marTop w:val="0"/>
                  <w:marBottom w:val="0"/>
                  <w:divBdr>
                    <w:top w:val="none" w:sz="0" w:space="0" w:color="auto"/>
                    <w:left w:val="none" w:sz="0" w:space="0" w:color="auto"/>
                    <w:bottom w:val="none" w:sz="0" w:space="0" w:color="auto"/>
                    <w:right w:val="none" w:sz="0" w:space="0" w:color="auto"/>
                  </w:divBdr>
                  <w:divsChild>
                    <w:div w:id="704602896">
                      <w:marLeft w:val="0"/>
                      <w:marRight w:val="0"/>
                      <w:marTop w:val="0"/>
                      <w:marBottom w:val="0"/>
                      <w:divBdr>
                        <w:top w:val="none" w:sz="0" w:space="0" w:color="auto"/>
                        <w:left w:val="none" w:sz="0" w:space="0" w:color="auto"/>
                        <w:bottom w:val="none" w:sz="0" w:space="0" w:color="auto"/>
                        <w:right w:val="none" w:sz="0" w:space="0" w:color="auto"/>
                      </w:divBdr>
                    </w:div>
                  </w:divsChild>
                </w:div>
                <w:div w:id="1987781172">
                  <w:marLeft w:val="0"/>
                  <w:marRight w:val="0"/>
                  <w:marTop w:val="0"/>
                  <w:marBottom w:val="0"/>
                  <w:divBdr>
                    <w:top w:val="none" w:sz="0" w:space="0" w:color="auto"/>
                    <w:left w:val="none" w:sz="0" w:space="0" w:color="auto"/>
                    <w:bottom w:val="none" w:sz="0" w:space="0" w:color="auto"/>
                    <w:right w:val="none" w:sz="0" w:space="0" w:color="auto"/>
                  </w:divBdr>
                  <w:divsChild>
                    <w:div w:id="872771550">
                      <w:marLeft w:val="0"/>
                      <w:marRight w:val="0"/>
                      <w:marTop w:val="0"/>
                      <w:marBottom w:val="0"/>
                      <w:divBdr>
                        <w:top w:val="none" w:sz="0" w:space="0" w:color="auto"/>
                        <w:left w:val="none" w:sz="0" w:space="0" w:color="auto"/>
                        <w:bottom w:val="none" w:sz="0" w:space="0" w:color="auto"/>
                        <w:right w:val="none" w:sz="0" w:space="0" w:color="auto"/>
                      </w:divBdr>
                    </w:div>
                    <w:div w:id="1170757945">
                      <w:marLeft w:val="0"/>
                      <w:marRight w:val="0"/>
                      <w:marTop w:val="0"/>
                      <w:marBottom w:val="0"/>
                      <w:divBdr>
                        <w:top w:val="none" w:sz="0" w:space="0" w:color="auto"/>
                        <w:left w:val="none" w:sz="0" w:space="0" w:color="auto"/>
                        <w:bottom w:val="none" w:sz="0" w:space="0" w:color="auto"/>
                        <w:right w:val="none" w:sz="0" w:space="0" w:color="auto"/>
                      </w:divBdr>
                    </w:div>
                    <w:div w:id="1177305324">
                      <w:marLeft w:val="0"/>
                      <w:marRight w:val="0"/>
                      <w:marTop w:val="0"/>
                      <w:marBottom w:val="0"/>
                      <w:divBdr>
                        <w:top w:val="none" w:sz="0" w:space="0" w:color="auto"/>
                        <w:left w:val="none" w:sz="0" w:space="0" w:color="auto"/>
                        <w:bottom w:val="none" w:sz="0" w:space="0" w:color="auto"/>
                        <w:right w:val="none" w:sz="0" w:space="0" w:color="auto"/>
                      </w:divBdr>
                    </w:div>
                  </w:divsChild>
                </w:div>
                <w:div w:id="2064015338">
                  <w:marLeft w:val="0"/>
                  <w:marRight w:val="0"/>
                  <w:marTop w:val="0"/>
                  <w:marBottom w:val="0"/>
                  <w:divBdr>
                    <w:top w:val="none" w:sz="0" w:space="0" w:color="auto"/>
                    <w:left w:val="none" w:sz="0" w:space="0" w:color="auto"/>
                    <w:bottom w:val="none" w:sz="0" w:space="0" w:color="auto"/>
                    <w:right w:val="none" w:sz="0" w:space="0" w:color="auto"/>
                  </w:divBdr>
                  <w:divsChild>
                    <w:div w:id="797449968">
                      <w:marLeft w:val="0"/>
                      <w:marRight w:val="0"/>
                      <w:marTop w:val="0"/>
                      <w:marBottom w:val="0"/>
                      <w:divBdr>
                        <w:top w:val="none" w:sz="0" w:space="0" w:color="auto"/>
                        <w:left w:val="none" w:sz="0" w:space="0" w:color="auto"/>
                        <w:bottom w:val="none" w:sz="0" w:space="0" w:color="auto"/>
                        <w:right w:val="none" w:sz="0" w:space="0" w:color="auto"/>
                      </w:divBdr>
                    </w:div>
                  </w:divsChild>
                </w:div>
                <w:div w:id="2123180124">
                  <w:marLeft w:val="0"/>
                  <w:marRight w:val="0"/>
                  <w:marTop w:val="0"/>
                  <w:marBottom w:val="0"/>
                  <w:divBdr>
                    <w:top w:val="none" w:sz="0" w:space="0" w:color="auto"/>
                    <w:left w:val="none" w:sz="0" w:space="0" w:color="auto"/>
                    <w:bottom w:val="none" w:sz="0" w:space="0" w:color="auto"/>
                    <w:right w:val="none" w:sz="0" w:space="0" w:color="auto"/>
                  </w:divBdr>
                  <w:divsChild>
                    <w:div w:id="10785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9245">
          <w:marLeft w:val="0"/>
          <w:marRight w:val="0"/>
          <w:marTop w:val="0"/>
          <w:marBottom w:val="0"/>
          <w:divBdr>
            <w:top w:val="none" w:sz="0" w:space="0" w:color="auto"/>
            <w:left w:val="none" w:sz="0" w:space="0" w:color="auto"/>
            <w:bottom w:val="none" w:sz="0" w:space="0" w:color="auto"/>
            <w:right w:val="none" w:sz="0" w:space="0" w:color="auto"/>
          </w:divBdr>
        </w:div>
      </w:divsChild>
    </w:div>
    <w:div w:id="728654830">
      <w:bodyDiv w:val="1"/>
      <w:marLeft w:val="0"/>
      <w:marRight w:val="0"/>
      <w:marTop w:val="0"/>
      <w:marBottom w:val="0"/>
      <w:divBdr>
        <w:top w:val="none" w:sz="0" w:space="0" w:color="auto"/>
        <w:left w:val="none" w:sz="0" w:space="0" w:color="auto"/>
        <w:bottom w:val="none" w:sz="0" w:space="0" w:color="auto"/>
        <w:right w:val="none" w:sz="0" w:space="0" w:color="auto"/>
      </w:divBdr>
    </w:div>
    <w:div w:id="773063255">
      <w:bodyDiv w:val="1"/>
      <w:marLeft w:val="0"/>
      <w:marRight w:val="0"/>
      <w:marTop w:val="0"/>
      <w:marBottom w:val="0"/>
      <w:divBdr>
        <w:top w:val="none" w:sz="0" w:space="0" w:color="auto"/>
        <w:left w:val="none" w:sz="0" w:space="0" w:color="auto"/>
        <w:bottom w:val="none" w:sz="0" w:space="0" w:color="auto"/>
        <w:right w:val="none" w:sz="0" w:space="0" w:color="auto"/>
      </w:divBdr>
    </w:div>
    <w:div w:id="828400237">
      <w:bodyDiv w:val="1"/>
      <w:marLeft w:val="0"/>
      <w:marRight w:val="0"/>
      <w:marTop w:val="0"/>
      <w:marBottom w:val="0"/>
      <w:divBdr>
        <w:top w:val="none" w:sz="0" w:space="0" w:color="auto"/>
        <w:left w:val="none" w:sz="0" w:space="0" w:color="auto"/>
        <w:bottom w:val="none" w:sz="0" w:space="0" w:color="auto"/>
        <w:right w:val="none" w:sz="0" w:space="0" w:color="auto"/>
      </w:divBdr>
    </w:div>
    <w:div w:id="1123840392">
      <w:bodyDiv w:val="1"/>
      <w:marLeft w:val="0"/>
      <w:marRight w:val="0"/>
      <w:marTop w:val="0"/>
      <w:marBottom w:val="0"/>
      <w:divBdr>
        <w:top w:val="none" w:sz="0" w:space="0" w:color="auto"/>
        <w:left w:val="none" w:sz="0" w:space="0" w:color="auto"/>
        <w:bottom w:val="none" w:sz="0" w:space="0" w:color="auto"/>
        <w:right w:val="none" w:sz="0" w:space="0" w:color="auto"/>
      </w:divBdr>
    </w:div>
    <w:div w:id="1128083196">
      <w:bodyDiv w:val="1"/>
      <w:marLeft w:val="0"/>
      <w:marRight w:val="0"/>
      <w:marTop w:val="0"/>
      <w:marBottom w:val="0"/>
      <w:divBdr>
        <w:top w:val="none" w:sz="0" w:space="0" w:color="auto"/>
        <w:left w:val="none" w:sz="0" w:space="0" w:color="auto"/>
        <w:bottom w:val="none" w:sz="0" w:space="0" w:color="auto"/>
        <w:right w:val="none" w:sz="0" w:space="0" w:color="auto"/>
      </w:divBdr>
    </w:div>
    <w:div w:id="1241911343">
      <w:bodyDiv w:val="1"/>
      <w:marLeft w:val="0"/>
      <w:marRight w:val="0"/>
      <w:marTop w:val="0"/>
      <w:marBottom w:val="0"/>
      <w:divBdr>
        <w:top w:val="none" w:sz="0" w:space="0" w:color="auto"/>
        <w:left w:val="none" w:sz="0" w:space="0" w:color="auto"/>
        <w:bottom w:val="none" w:sz="0" w:space="0" w:color="auto"/>
        <w:right w:val="none" w:sz="0" w:space="0" w:color="auto"/>
      </w:divBdr>
    </w:div>
    <w:div w:id="1262950764">
      <w:bodyDiv w:val="1"/>
      <w:marLeft w:val="0"/>
      <w:marRight w:val="0"/>
      <w:marTop w:val="0"/>
      <w:marBottom w:val="0"/>
      <w:divBdr>
        <w:top w:val="none" w:sz="0" w:space="0" w:color="auto"/>
        <w:left w:val="none" w:sz="0" w:space="0" w:color="auto"/>
        <w:bottom w:val="none" w:sz="0" w:space="0" w:color="auto"/>
        <w:right w:val="none" w:sz="0" w:space="0" w:color="auto"/>
      </w:divBdr>
    </w:div>
    <w:div w:id="1286042324">
      <w:bodyDiv w:val="1"/>
      <w:marLeft w:val="0"/>
      <w:marRight w:val="0"/>
      <w:marTop w:val="0"/>
      <w:marBottom w:val="0"/>
      <w:divBdr>
        <w:top w:val="none" w:sz="0" w:space="0" w:color="auto"/>
        <w:left w:val="none" w:sz="0" w:space="0" w:color="auto"/>
        <w:bottom w:val="none" w:sz="0" w:space="0" w:color="auto"/>
        <w:right w:val="none" w:sz="0" w:space="0" w:color="auto"/>
      </w:divBdr>
    </w:div>
    <w:div w:id="1289243509">
      <w:bodyDiv w:val="1"/>
      <w:marLeft w:val="0"/>
      <w:marRight w:val="0"/>
      <w:marTop w:val="0"/>
      <w:marBottom w:val="0"/>
      <w:divBdr>
        <w:top w:val="none" w:sz="0" w:space="0" w:color="auto"/>
        <w:left w:val="none" w:sz="0" w:space="0" w:color="auto"/>
        <w:bottom w:val="none" w:sz="0" w:space="0" w:color="auto"/>
        <w:right w:val="none" w:sz="0" w:space="0" w:color="auto"/>
      </w:divBdr>
    </w:div>
    <w:div w:id="1319768793">
      <w:bodyDiv w:val="1"/>
      <w:marLeft w:val="0"/>
      <w:marRight w:val="0"/>
      <w:marTop w:val="0"/>
      <w:marBottom w:val="0"/>
      <w:divBdr>
        <w:top w:val="none" w:sz="0" w:space="0" w:color="auto"/>
        <w:left w:val="none" w:sz="0" w:space="0" w:color="auto"/>
        <w:bottom w:val="none" w:sz="0" w:space="0" w:color="auto"/>
        <w:right w:val="none" w:sz="0" w:space="0" w:color="auto"/>
      </w:divBdr>
    </w:div>
    <w:div w:id="1325544538">
      <w:bodyDiv w:val="1"/>
      <w:marLeft w:val="0"/>
      <w:marRight w:val="0"/>
      <w:marTop w:val="0"/>
      <w:marBottom w:val="0"/>
      <w:divBdr>
        <w:top w:val="none" w:sz="0" w:space="0" w:color="auto"/>
        <w:left w:val="none" w:sz="0" w:space="0" w:color="auto"/>
        <w:bottom w:val="none" w:sz="0" w:space="0" w:color="auto"/>
        <w:right w:val="none" w:sz="0" w:space="0" w:color="auto"/>
      </w:divBdr>
    </w:div>
    <w:div w:id="1493446732">
      <w:bodyDiv w:val="1"/>
      <w:marLeft w:val="0"/>
      <w:marRight w:val="0"/>
      <w:marTop w:val="0"/>
      <w:marBottom w:val="0"/>
      <w:divBdr>
        <w:top w:val="none" w:sz="0" w:space="0" w:color="auto"/>
        <w:left w:val="none" w:sz="0" w:space="0" w:color="auto"/>
        <w:bottom w:val="none" w:sz="0" w:space="0" w:color="auto"/>
        <w:right w:val="none" w:sz="0" w:space="0" w:color="auto"/>
      </w:divBdr>
    </w:div>
    <w:div w:id="1674601602">
      <w:bodyDiv w:val="1"/>
      <w:marLeft w:val="0"/>
      <w:marRight w:val="0"/>
      <w:marTop w:val="0"/>
      <w:marBottom w:val="0"/>
      <w:divBdr>
        <w:top w:val="none" w:sz="0" w:space="0" w:color="auto"/>
        <w:left w:val="none" w:sz="0" w:space="0" w:color="auto"/>
        <w:bottom w:val="none" w:sz="0" w:space="0" w:color="auto"/>
        <w:right w:val="none" w:sz="0" w:space="0" w:color="auto"/>
      </w:divBdr>
    </w:div>
    <w:div w:id="1978028677">
      <w:bodyDiv w:val="1"/>
      <w:marLeft w:val="0"/>
      <w:marRight w:val="0"/>
      <w:marTop w:val="0"/>
      <w:marBottom w:val="0"/>
      <w:divBdr>
        <w:top w:val="none" w:sz="0" w:space="0" w:color="auto"/>
        <w:left w:val="none" w:sz="0" w:space="0" w:color="auto"/>
        <w:bottom w:val="none" w:sz="0" w:space="0" w:color="auto"/>
        <w:right w:val="none" w:sz="0" w:space="0" w:color="auto"/>
      </w:divBdr>
    </w:div>
    <w:div w:id="20843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8ff8f9-491b-4953-875f-73bf1d22c9ba">
      <UserInfo>
        <DisplayName>Graeme Kennedy</DisplayName>
        <AccountId>13</AccountId>
        <AccountType/>
      </UserInfo>
    </SharedWithUsers>
    <TaxCatchAll xmlns="e7319caf-eb46-48ce-85a7-0b652e0ff08d" xsi:nil="true"/>
    <lcf76f155ced4ddcb4097134ff3c332f xmlns="275f0065-dba9-402c-a23f-ae7b8cea8575">
      <Terms xmlns="http://schemas.microsoft.com/office/infopath/2007/PartnerControls"/>
    </lcf76f155ced4ddcb4097134ff3c332f>
    <AssetClass xmlns="275f0065-dba9-402c-a23f-ae7b8cea8575" xsi:nil="true"/>
    <Umbrella xmlns="275f0065-dba9-402c-a23f-ae7b8cea8575" xsi:nil="true"/>
    <Image xmlns="275f0065-dba9-402c-a23f-ae7b8cea8575" xsi:nil="true"/>
    <Manager xmlns="275f0065-dba9-402c-a23f-ae7b8cea8575" xsi:nil="true"/>
    <AssetID_x002f_Investment xmlns="275f0065-dba9-402c-a23f-ae7b8cea8575" xsi:nil="true"/>
    <Country xmlns="275f0065-dba9-402c-a23f-ae7b8cea85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30A2261BE3E4E9BE91B5E3CE032F5" ma:contentTypeVersion="25" ma:contentTypeDescription="Create a new document." ma:contentTypeScope="" ma:versionID="447f4253caf4e97e01bf95937341e6ee">
  <xsd:schema xmlns:xsd="http://www.w3.org/2001/XMLSchema" xmlns:xs="http://www.w3.org/2001/XMLSchema" xmlns:p="http://schemas.microsoft.com/office/2006/metadata/properties" xmlns:ns2="275f0065-dba9-402c-a23f-ae7b8cea8575" xmlns:ns3="fe8ff8f9-491b-4953-875f-73bf1d22c9ba" xmlns:ns4="e7319caf-eb46-48ce-85a7-0b652e0ff08d" targetNamespace="http://schemas.microsoft.com/office/2006/metadata/properties" ma:root="true" ma:fieldsID="0b718cbd29971bec086414ae5dae57e2" ns2:_="" ns3:_="" ns4:_="">
    <xsd:import namespace="275f0065-dba9-402c-a23f-ae7b8cea8575"/>
    <xsd:import namespace="fe8ff8f9-491b-4953-875f-73bf1d22c9ba"/>
    <xsd:import namespace="e7319caf-eb46-48ce-85a7-0b652e0ff0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AssetID_x002f_Investment" minOccurs="0"/>
                <xsd:element ref="ns2:Umbrella" minOccurs="0"/>
                <xsd:element ref="ns2:Manager" minOccurs="0"/>
                <xsd:element ref="ns2:Country" minOccurs="0"/>
                <xsd:element ref="ns2:AssetClas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f0065-dba9-402c-a23f-ae7b8cea8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82e48e-ae50-48de-ab22-3e5a3739d2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etID_x002f_Investment" ma:index="24" nillable="true" ma:displayName="Investment/ Asset ID" ma:description="the asset or investment that is associated with this legal entity" ma:format="Dropdown" ma:internalName="AssetID_x002f_Investment">
      <xsd:simpleType>
        <xsd:restriction base="dms:Note">
          <xsd:maxLength value="255"/>
        </xsd:restriction>
      </xsd:simpleType>
    </xsd:element>
    <xsd:element name="Umbrella" ma:index="25" nillable="true" ma:displayName="Umbrella" ma:format="Dropdown" ma:internalName="Umbrella">
      <xsd:simpleType>
        <xsd:restriction base="dms:Choice">
          <xsd:enumeration value="HOOPP Trust Fund"/>
          <xsd:enumeration value="HRI"/>
          <xsd:enumeration value="Choice 3"/>
        </xsd:restriction>
      </xsd:simpleType>
    </xsd:element>
    <xsd:element name="Manager" ma:index="26" nillable="true" ma:displayName="Manager" ma:format="Dropdown" ma:internalName="Manager">
      <xsd:simpleType>
        <xsd:restriction base="dms:Choice">
          <xsd:enumeration value="T. Pinkham"/>
          <xsd:enumeration value="T. McIntyre"/>
          <xsd:enumeration value="K. Taylor"/>
          <xsd:enumeration value="N. Aaviku"/>
        </xsd:restriction>
      </xsd:simpleType>
    </xsd:element>
    <xsd:element name="Country" ma:index="27" nillable="true" ma:displayName="Country" ma:description="Country " ma:format="Dropdown" ma:internalName="Country">
      <xsd:simpleType>
        <xsd:restriction base="dms:Choice">
          <xsd:enumeration value="Canada"/>
          <xsd:enumeration value="United States"/>
          <xsd:enumeration value="Choice 3"/>
        </xsd:restriction>
      </xsd:simpleType>
    </xsd:element>
    <xsd:element name="AssetClass" ma:index="28" nillable="true" ma:displayName="Asset Class" ma:format="Dropdown" ma:internalName="AssetClass">
      <xsd:simpleType>
        <xsd:restriction base="dms:Choice">
          <xsd:enumeration value="Office"/>
          <xsd:enumeration value="Industrial"/>
          <xsd:enumeration value="Residential"/>
          <xsd:enumeration value="Retail"/>
          <xsd:enumeration value="Choice 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ff8f9-491b-4953-875f-73bf1d22c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19caf-eb46-48ce-85a7-0b652e0ff08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e05acf-afbd-4007-b2f8-239c9a0bcf83}" ma:internalName="TaxCatchAll" ma:showField="CatchAllData" ma:web="fe8ff8f9-491b-4953-875f-73bf1d22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27E-5F5B-4456-871D-3A2796C6BD4C}">
  <ds:schemaRefs>
    <ds:schemaRef ds:uri="http://schemas.microsoft.com/office/2006/metadata/properties"/>
    <ds:schemaRef ds:uri="http://schemas.microsoft.com/office/infopath/2007/PartnerControls"/>
    <ds:schemaRef ds:uri="fe8ff8f9-491b-4953-875f-73bf1d22c9ba"/>
    <ds:schemaRef ds:uri="e7319caf-eb46-48ce-85a7-0b652e0ff08d"/>
    <ds:schemaRef ds:uri="275f0065-dba9-402c-a23f-ae7b8cea8575"/>
  </ds:schemaRefs>
</ds:datastoreItem>
</file>

<file path=customXml/itemProps2.xml><?xml version="1.0" encoding="utf-8"?>
<ds:datastoreItem xmlns:ds="http://schemas.openxmlformats.org/officeDocument/2006/customXml" ds:itemID="{E4F174A4-CFEE-4D2E-9A80-A7D93356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f0065-dba9-402c-a23f-ae7b8cea8575"/>
    <ds:schemaRef ds:uri="fe8ff8f9-491b-4953-875f-73bf1d22c9ba"/>
    <ds:schemaRef ds:uri="e7319caf-eb46-48ce-85a7-0b652e0f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D0E9B-571B-4823-89AB-67C9FDCBB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Celeste Wright</cp:lastModifiedBy>
  <cp:revision>3</cp:revision>
  <cp:lastPrinted>2024-09-11T16:23:00Z</cp:lastPrinted>
  <dcterms:created xsi:type="dcterms:W3CDTF">2024-12-13T20:21:00Z</dcterms:created>
  <dcterms:modified xsi:type="dcterms:W3CDTF">2024-12-13T20:51:00Z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0x01010019030A2261BE3E4E9BE91B5E3CE032F5</vt:lpwstr>
  </property>
  <property fmtid="{D5CDD505-2E9C-101B-9397-08002B2CF9AE}" pid="3" name="MediaServiceImageTags">
    <vt:lpwstr/>
  </property>
  <property fmtid="{D5CDD505-2E9C-101B-9397-08002B2CF9AE}" pid="4" name="GrammarlyDocumentId">
    <vt:lpwstr>0140e727cb4386221d89616f47b8aab6741bb22bd11e2bc73c7e5209954597ad</vt:lpwstr>
  </property>
</Properties>
</file>