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EB5F" w14:textId="77777777" w:rsidR="00CC4A68" w:rsidRDefault="00745A26">
      <w:pPr>
        <w:rPr>
          <w:lang w:val="en-CA"/>
        </w:rPr>
      </w:pPr>
      <w:r w:rsidRPr="00CC4A68">
        <w:rPr>
          <w:b/>
          <w:bCs/>
          <w:lang w:val="en-CA"/>
        </w:rPr>
        <w:t xml:space="preserve">AAFC-Engineering Review of </w:t>
      </w:r>
      <w:r w:rsidR="00CC4A68" w:rsidRPr="00CC4A68">
        <w:rPr>
          <w:b/>
          <w:bCs/>
          <w:lang w:val="en-CA"/>
        </w:rPr>
        <w:t>Posting – ERO 025-0219 ref# 1000334473</w:t>
      </w:r>
      <w:r w:rsidR="00CC4A68" w:rsidRPr="00CC4A68">
        <w:rPr>
          <w:lang w:val="en-CA"/>
        </w:rPr>
        <w:t xml:space="preserve"> </w:t>
      </w:r>
      <w:r w:rsidR="00CC4A68">
        <w:rPr>
          <w:lang w:val="en-CA"/>
        </w:rPr>
        <w:t xml:space="preserve">- </w:t>
      </w:r>
      <w:r w:rsidR="00CC4A68" w:rsidRPr="00CC4A68">
        <w:rPr>
          <w:lang w:val="en-CA"/>
        </w:rPr>
        <w:t>780 Baseline Road inc. Request for Permit to Take on Water – Environmental Registry of Ontario</w:t>
      </w:r>
      <w:r w:rsidR="00CC4A68">
        <w:rPr>
          <w:lang w:val="en-CA"/>
        </w:rPr>
        <w:t xml:space="preserve"> </w:t>
      </w:r>
    </w:p>
    <w:p w14:paraId="5FF897A5" w14:textId="79003075" w:rsidR="00745A26" w:rsidRDefault="00CC4A68">
      <w:pPr>
        <w:rPr>
          <w:lang w:val="en-CA"/>
        </w:rPr>
      </w:pPr>
      <w:r>
        <w:rPr>
          <w:lang w:val="en-CA"/>
        </w:rPr>
        <w:t>April 11, 2025</w:t>
      </w:r>
    </w:p>
    <w:p w14:paraId="6AEBE0F4" w14:textId="77777777" w:rsidR="00745A26" w:rsidRDefault="00745A26" w:rsidP="00745A26">
      <w:pPr>
        <w:spacing w:line="252" w:lineRule="auto"/>
        <w:rPr>
          <w:b/>
          <w:bCs/>
          <w:lang w:val="en-CA"/>
        </w:rPr>
      </w:pPr>
      <w:r>
        <w:rPr>
          <w:b/>
          <w:bCs/>
          <w:lang w:val="en-CA"/>
        </w:rPr>
        <w:t>Table 4-1 – Dewatering Discharge Management Plan</w:t>
      </w:r>
    </w:p>
    <w:p w14:paraId="7621DCE9" w14:textId="77777777" w:rsidR="00745A26" w:rsidRDefault="00745A26" w:rsidP="00745A26">
      <w:pPr>
        <w:pStyle w:val="ListParagraph"/>
        <w:numPr>
          <w:ilvl w:val="0"/>
          <w:numId w:val="1"/>
        </w:numPr>
        <w:spacing w:line="252" w:lineRule="auto"/>
        <w:contextualSpacing w:val="0"/>
        <w:rPr>
          <w:rFonts w:eastAsia="Times New Roman"/>
          <w:lang w:val="en-CA"/>
        </w:rPr>
      </w:pPr>
      <w:r>
        <w:rPr>
          <w:rFonts w:eastAsia="Times New Roman"/>
          <w:lang w:val="en-CA"/>
        </w:rPr>
        <w:t>Given the fluctuation of groundwater levels throughout the year, further clarification is needed regarding the definition of baseline parameters that will be used for monitoring groundwater levels in existing or proposed monitoring wells. It is anticipated that a similar approach to that listed in Table 3-1 will be adopted, consisting of a series of readings taken over several months to capture seasonal fluctuations in groundwater levels.</w:t>
      </w:r>
    </w:p>
    <w:p w14:paraId="0C24C29F" w14:textId="77777777" w:rsidR="00745A26" w:rsidRDefault="00745A26" w:rsidP="00745A26">
      <w:pPr>
        <w:pStyle w:val="ListParagraph"/>
        <w:numPr>
          <w:ilvl w:val="0"/>
          <w:numId w:val="1"/>
        </w:numPr>
        <w:spacing w:line="252" w:lineRule="auto"/>
        <w:contextualSpacing w:val="0"/>
        <w:rPr>
          <w:rFonts w:eastAsia="Times New Roman"/>
          <w:lang w:val="en-CA"/>
        </w:rPr>
      </w:pPr>
      <w:r>
        <w:rPr>
          <w:rFonts w:eastAsia="Times New Roman"/>
          <w:lang w:val="en-CA"/>
        </w:rPr>
        <w:t>If trigger levels are exceeded, this could result in irreversible damage to crops, which AAFC cannot tolerate as an acceptable level of risk. We recommend coordinating with AAFC staff and potentially incorporating a safety factor into the trigger levels to allow for a proactive response in implementing the mitigation measures outlined in the table.</w:t>
      </w:r>
    </w:p>
    <w:p w14:paraId="794AF77E" w14:textId="77777777" w:rsidR="00745A26" w:rsidRDefault="00745A26" w:rsidP="00745A26">
      <w:pPr>
        <w:spacing w:line="252" w:lineRule="auto"/>
        <w:rPr>
          <w:b/>
          <w:bCs/>
          <w:lang w:val="en-CA"/>
        </w:rPr>
      </w:pPr>
      <w:r>
        <w:rPr>
          <w:b/>
          <w:bCs/>
          <w:lang w:val="en-CA"/>
        </w:rPr>
        <w:t>5.1 – Central Experimental Farm Lands</w:t>
      </w:r>
    </w:p>
    <w:p w14:paraId="4C05A3A5" w14:textId="77777777" w:rsidR="00745A26" w:rsidRDefault="00745A26" w:rsidP="00745A26">
      <w:pPr>
        <w:pStyle w:val="ListParagraph"/>
        <w:numPr>
          <w:ilvl w:val="0"/>
          <w:numId w:val="2"/>
        </w:numPr>
        <w:spacing w:line="252" w:lineRule="auto"/>
        <w:contextualSpacing w:val="0"/>
        <w:rPr>
          <w:rFonts w:eastAsia="Times New Roman"/>
          <w:lang w:val="en-CA"/>
        </w:rPr>
      </w:pPr>
      <w:r>
        <w:rPr>
          <w:rFonts w:eastAsia="Times New Roman"/>
          <w:lang w:val="en-CA"/>
        </w:rPr>
        <w:t>Considering that the dewatering rate will be significantly higher in the short term (with a peak of 1.15 million LPD), please clarify the statement regarding the unlikelihood of potential impacts on the groundwater table at CEF during short-term construction activities.</w:t>
      </w:r>
    </w:p>
    <w:p w14:paraId="0F63C8FC" w14:textId="77777777" w:rsidR="00745A26" w:rsidRDefault="00745A26" w:rsidP="00745A26">
      <w:pPr>
        <w:pStyle w:val="ListParagraph"/>
        <w:numPr>
          <w:ilvl w:val="0"/>
          <w:numId w:val="2"/>
        </w:numPr>
        <w:spacing w:line="252" w:lineRule="auto"/>
        <w:contextualSpacing w:val="0"/>
        <w:rPr>
          <w:rFonts w:eastAsia="Times New Roman"/>
          <w:lang w:val="en-CA"/>
        </w:rPr>
      </w:pPr>
      <w:r>
        <w:rPr>
          <w:rFonts w:eastAsia="Times New Roman"/>
          <w:lang w:val="en-CA"/>
        </w:rPr>
        <w:t>To aid in understanding the short-, medium-, and long-term impacts, the report should include cross-sections illustrating the drawdown of groundwater in the Zone of Influence (ZOI) under both temporary and permanent conditions. This will provide a graphical representation of groundwater level reductions across the fields of the CEF.</w:t>
      </w:r>
    </w:p>
    <w:p w14:paraId="02222F70" w14:textId="77777777" w:rsidR="00745A26" w:rsidRDefault="00745A26" w:rsidP="00745A26">
      <w:pPr>
        <w:spacing w:line="252" w:lineRule="auto"/>
        <w:rPr>
          <w:b/>
          <w:bCs/>
          <w:lang w:val="en-CA"/>
        </w:rPr>
      </w:pPr>
      <w:r>
        <w:rPr>
          <w:b/>
          <w:bCs/>
          <w:lang w:val="en-CA"/>
        </w:rPr>
        <w:t>6.0 – Conclusions and Recommendations</w:t>
      </w:r>
    </w:p>
    <w:p w14:paraId="74827E87" w14:textId="77777777" w:rsidR="00745A26" w:rsidRDefault="00745A26" w:rsidP="00745A26">
      <w:pPr>
        <w:pStyle w:val="ListParagraph"/>
        <w:numPr>
          <w:ilvl w:val="0"/>
          <w:numId w:val="3"/>
        </w:numPr>
        <w:spacing w:line="252" w:lineRule="auto"/>
        <w:contextualSpacing w:val="0"/>
        <w:rPr>
          <w:rFonts w:eastAsia="Times New Roman"/>
          <w:lang w:val="en-CA"/>
        </w:rPr>
      </w:pPr>
      <w:r>
        <w:rPr>
          <w:rFonts w:eastAsia="Times New Roman"/>
          <w:lang w:val="en-CA"/>
        </w:rPr>
        <w:t>It is stated that there is a long-term potential impact on groundwater levels at CEF, and AAFC should be an active stakeholder in the design process of the foundation system for the new development.</w:t>
      </w:r>
    </w:p>
    <w:p w14:paraId="1E01B866" w14:textId="3F37DEF6" w:rsidR="00745A26" w:rsidRDefault="00745A26" w:rsidP="00745A26">
      <w:pPr>
        <w:rPr>
          <w:lang w:val="en-CA"/>
        </w:rPr>
      </w:pPr>
      <w:r>
        <w:rPr>
          <w:lang w:val="en-CA"/>
        </w:rPr>
        <w:t xml:space="preserve">We also recommend that AAFC remain an active stakeholder in the design process of the foundation system (and other relevant building components) of the proposed development. </w:t>
      </w:r>
    </w:p>
    <w:p w14:paraId="172176C3" w14:textId="77777777" w:rsidR="00745A26" w:rsidRPr="00745A26" w:rsidRDefault="00745A26">
      <w:pPr>
        <w:rPr>
          <w:lang w:val="en-CA"/>
        </w:rPr>
      </w:pPr>
    </w:p>
    <w:sectPr w:rsidR="00745A26" w:rsidRPr="00745A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3FBF" w14:textId="77777777" w:rsidR="0011742D" w:rsidRDefault="0011742D" w:rsidP="00CC4A68">
      <w:pPr>
        <w:spacing w:after="0" w:line="240" w:lineRule="auto"/>
      </w:pPr>
      <w:r>
        <w:separator/>
      </w:r>
    </w:p>
  </w:endnote>
  <w:endnote w:type="continuationSeparator" w:id="0">
    <w:p w14:paraId="16733B6B" w14:textId="77777777" w:rsidR="0011742D" w:rsidRDefault="0011742D" w:rsidP="00CC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4533" w14:textId="77777777" w:rsidR="00CC4A68" w:rsidRDefault="00CC4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88EA" w14:textId="396B0B55" w:rsidR="00CC4A68" w:rsidRDefault="00CC4A68">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05E5180" wp14:editId="7D6966A6">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44DCF2"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r>
      <w:rPr>
        <w:rFonts w:asciiTheme="majorHAnsi" w:eastAsiaTheme="majorEastAsia" w:hAnsiTheme="majorHAnsi" w:cstheme="majorBidi"/>
        <w:noProof/>
        <w:color w:val="156082" w:themeColor="accent1"/>
        <w:sz w:val="20"/>
        <w:szCs w:val="20"/>
      </w:rPr>
      <w:t>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3A3A" w14:textId="77777777" w:rsidR="00CC4A68" w:rsidRDefault="00CC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5D0D" w14:textId="77777777" w:rsidR="0011742D" w:rsidRDefault="0011742D" w:rsidP="00CC4A68">
      <w:pPr>
        <w:spacing w:after="0" w:line="240" w:lineRule="auto"/>
      </w:pPr>
      <w:r>
        <w:separator/>
      </w:r>
    </w:p>
  </w:footnote>
  <w:footnote w:type="continuationSeparator" w:id="0">
    <w:p w14:paraId="73CC2054" w14:textId="77777777" w:rsidR="0011742D" w:rsidRDefault="0011742D" w:rsidP="00CC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3B9D" w14:textId="673D362A" w:rsidR="00CC4A68" w:rsidRDefault="00CC4A68">
    <w:pPr>
      <w:pStyle w:val="Header"/>
    </w:pPr>
    <w:r>
      <w:rPr>
        <w:noProof/>
      </w:rPr>
      <mc:AlternateContent>
        <mc:Choice Requires="wps">
          <w:drawing>
            <wp:anchor distT="0" distB="0" distL="0" distR="0" simplePos="0" relativeHeight="251661312" behindDoc="0" locked="0" layoutInCell="1" allowOverlap="1" wp14:anchorId="3253C8DE" wp14:editId="71C21A66">
              <wp:simplePos x="635" y="635"/>
              <wp:positionH relativeFrom="page">
                <wp:align>right</wp:align>
              </wp:positionH>
              <wp:positionV relativeFrom="page">
                <wp:align>top</wp:align>
              </wp:positionV>
              <wp:extent cx="1624965" cy="370205"/>
              <wp:effectExtent l="0" t="0" r="0" b="10795"/>
              <wp:wrapNone/>
              <wp:docPr id="156467149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4965" cy="370205"/>
                      </a:xfrm>
                      <a:prstGeom prst="rect">
                        <a:avLst/>
                      </a:prstGeom>
                      <a:noFill/>
                      <a:ln>
                        <a:noFill/>
                      </a:ln>
                    </wps:spPr>
                    <wps:txbx>
                      <w:txbxContent>
                        <w:p w14:paraId="39CAB2B4" w14:textId="30366C86" w:rsidR="00CC4A68" w:rsidRPr="00CC4A68" w:rsidRDefault="00CC4A68" w:rsidP="00CC4A68">
                          <w:pPr>
                            <w:spacing w:after="0"/>
                            <w:rPr>
                              <w:rFonts w:ascii="Calibri" w:eastAsia="Calibri" w:hAnsi="Calibri" w:cs="Calibri"/>
                              <w:noProof/>
                              <w:color w:val="000000"/>
                              <w:sz w:val="20"/>
                              <w:szCs w:val="20"/>
                            </w:rPr>
                          </w:pPr>
                          <w:r w:rsidRPr="00CC4A6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53C8DE" id="_x0000_t202" coordsize="21600,21600" o:spt="202" path="m,l,21600r21600,l21600,xe">
              <v:stroke joinstyle="miter"/>
              <v:path gradientshapeok="t" o:connecttype="rect"/>
            </v:shapetype>
            <v:shape id="Text Box 2" o:spid="_x0000_s1026" type="#_x0000_t202" alt="Unclassified / Non classifié" style="position:absolute;margin-left:87.95pt;margin-top:0;width:127.95pt;height:29.1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g5EgIAACIEAAAOAAAAZHJzL2Uyb0RvYy54bWysU01v2zAMvQ/YfxB0X+xkTdY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pNrm5mU84kxT5/ySf5NJbJLn87H/CbAsOiUXJPtCS0&#10;xP4h4JB6SonNLKxarRM12v52QTXjTXYZMVrYb3rWVm/G30B1oK08DIQHJ1cttX4QAZ+FJ4ZpEVIt&#10;PtFRa+hKDkeLswb8z7/dx3wCnqKcdaSYkluSNGf6uyVCoriSMb7Jpzl5PnmT6VUevc0pye7MHZAY&#10;x/QunExmTEZ9MmsP5pVEvYzdKCSspJ4lx5N5h4N+6VFItVymJBKTE/hg107G0hGzCOhL/yq8O6KO&#10;xNcjnDQlinfgD7nxz+CWOyQKEjMR3wHNI+wkxMTt8dFEpb/1U9blaS9+AQAA//8DAFBLAwQUAAYA&#10;CAAAACEAtLnqDd4AAAAEAQAADwAAAGRycy9kb3ducmV2LnhtbEyPwWrDMBBE74X+g9hCLqWRm+Dg&#10;OJZDKQSSQw9N6kNusrWxTa2VkRTH/vuqvTSXhWGGmbfZdtQdG9C61pCA13kEDKkyqqVawNdp95IA&#10;c16Skp0hFDChg23++JDJVJkbfeJw9DULJeRSKaDxvk85d1WDWrq56ZGCdzFWSx+krbmy8hbKdccX&#10;UbTiWrYUFhrZ43uD1ffxqgUUo33+2K0P+6k8t8MUHYplcimEmD2NbxtgHkf/H4Zf/IAOeWAqzZWU&#10;Y52A8Ij/u8FbxPEaWCkgTpbA84zfw+c/AAAA//8DAFBLAQItABQABgAIAAAAIQC2gziS/gAAAOEB&#10;AAATAAAAAAAAAAAAAAAAAAAAAABbQ29udGVudF9UeXBlc10ueG1sUEsBAi0AFAAGAAgAAAAhADj9&#10;If/WAAAAlAEAAAsAAAAAAAAAAAAAAAAALwEAAF9yZWxzLy5yZWxzUEsBAi0AFAAGAAgAAAAhAIPp&#10;aDkSAgAAIgQAAA4AAAAAAAAAAAAAAAAALgIAAGRycy9lMm9Eb2MueG1sUEsBAi0AFAAGAAgAAAAh&#10;ALS56g3eAAAABAEAAA8AAAAAAAAAAAAAAAAAbAQAAGRycy9kb3ducmV2LnhtbFBLBQYAAAAABAAE&#10;APMAAAB3BQAAAAA=&#10;" filled="f" stroked="f">
              <v:fill o:detectmouseclick="t"/>
              <v:textbox style="mso-fit-shape-to-text:t" inset="0,15pt,20pt,0">
                <w:txbxContent>
                  <w:p w14:paraId="39CAB2B4" w14:textId="30366C86" w:rsidR="00CC4A68" w:rsidRPr="00CC4A68" w:rsidRDefault="00CC4A68" w:rsidP="00CC4A68">
                    <w:pPr>
                      <w:spacing w:after="0"/>
                      <w:rPr>
                        <w:rFonts w:ascii="Calibri" w:eastAsia="Calibri" w:hAnsi="Calibri" w:cs="Calibri"/>
                        <w:noProof/>
                        <w:color w:val="000000"/>
                        <w:sz w:val="20"/>
                        <w:szCs w:val="20"/>
                      </w:rPr>
                    </w:pPr>
                    <w:r w:rsidRPr="00CC4A6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0E79" w14:textId="27C3B314" w:rsidR="00CC4A68" w:rsidRDefault="00CC4A68">
    <w:pPr>
      <w:pStyle w:val="Header"/>
    </w:pPr>
    <w:r>
      <w:rPr>
        <w:noProof/>
      </w:rPr>
      <mc:AlternateContent>
        <mc:Choice Requires="wps">
          <w:drawing>
            <wp:anchor distT="0" distB="0" distL="0" distR="0" simplePos="0" relativeHeight="251662336" behindDoc="0" locked="0" layoutInCell="1" allowOverlap="1" wp14:anchorId="19B9CEF3" wp14:editId="25B33882">
              <wp:simplePos x="635" y="635"/>
              <wp:positionH relativeFrom="page">
                <wp:align>right</wp:align>
              </wp:positionH>
              <wp:positionV relativeFrom="page">
                <wp:align>top</wp:align>
              </wp:positionV>
              <wp:extent cx="1624965" cy="370205"/>
              <wp:effectExtent l="0" t="0" r="0" b="10795"/>
              <wp:wrapNone/>
              <wp:docPr id="308023300"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4965" cy="370205"/>
                      </a:xfrm>
                      <a:prstGeom prst="rect">
                        <a:avLst/>
                      </a:prstGeom>
                      <a:noFill/>
                      <a:ln>
                        <a:noFill/>
                      </a:ln>
                    </wps:spPr>
                    <wps:txbx>
                      <w:txbxContent>
                        <w:p w14:paraId="14E0F5B2" w14:textId="153E7A3E" w:rsidR="00CC4A68" w:rsidRPr="00CC4A68" w:rsidRDefault="00CC4A68" w:rsidP="00CC4A68">
                          <w:pPr>
                            <w:spacing w:after="0"/>
                            <w:rPr>
                              <w:rFonts w:ascii="Calibri" w:eastAsia="Calibri" w:hAnsi="Calibri" w:cs="Calibri"/>
                              <w:noProof/>
                              <w:color w:val="000000"/>
                              <w:sz w:val="20"/>
                              <w:szCs w:val="20"/>
                            </w:rPr>
                          </w:pPr>
                          <w:r w:rsidRPr="00CC4A6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B9CEF3" id="_x0000_t202" coordsize="21600,21600" o:spt="202" path="m,l,21600r21600,l21600,xe">
              <v:stroke joinstyle="miter"/>
              <v:path gradientshapeok="t" o:connecttype="rect"/>
            </v:shapetype>
            <v:shape id="Text Box 3" o:spid="_x0000_s1027" type="#_x0000_t202" alt="Unclassified / Non classifié" style="position:absolute;margin-left:87.95pt;margin-top:0;width:127.95pt;height:29.1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t7FAIAACIEAAAOAAAAZHJzL2Uyb0RvYy54bWysU01v2zAMvQ/YfxB0X+x4TbYacYqsRYYB&#10;QVsgHXpWZCk2IImCpMTOfv0oOU62bqdhF5kUaX6897S467UiR+F8C6ai00lOiTAc6tbsK/r9Zf3h&#10;MyU+MFMzBUZU9CQ8vVu+f7fobCkKaEDVwhEsYnzZ2Yo2IdgyyzxvhGZ+AlYYDEpwmgV03T6rHeuw&#10;ulZZkefzrANXWwdceI+3D0OQLlN9KQUPT1J6EYiqKM4W0unSuYtntlywcu+YbVp+HoP9wxSatQab&#10;Xko9sMDIwbV/lNItd+BBhgkHnYGULRdpB9xmmr/ZZtswK9IuCI63F5j8/yvLH49b++xI6L9AjwRG&#10;QDrrS4+XcZ9eOh2/OCnBOEJ4usAm+kB4/Gle3NzOZ5RwjH38lBf5LJbJrn9b58NXAZpEo6IOaUlo&#10;sePGhyF1TInNDKxbpRI1yvx2gTXjTXYdMVqh3/WkrStajOPvoD7hVg4Gwr3l6xZbb5gPz8whw7gI&#10;qjY84SEVdBWFs0VJA+7H3+5jPgKPUUo6VExFDUqaEvXNICFRXMmY3uazHD2XvGJ2k0dvNyaZg74H&#10;FOMU34XlyYzJQY2mdKBfUdSr2A1DzHDsWdEwmvdh0C8+Ci5Wq5SEYrIsbMzW8lg6YhYBfelfmbNn&#10;1APy9Qijplj5BvwhN/7p7eoQkILETMR3QPMMOwoxcXt+NFHpv/op6/q0lz8BAAD//wMAUEsDBBQA&#10;BgAIAAAAIQC0ueoN3gAAAAQBAAAPAAAAZHJzL2Rvd25yZXYueG1sTI/BasMwEETvhf6D2EIupZGb&#10;4OA4lkMpBJJDD03qQ26ytbFNrZWRFMf++6q9NJeFYYaZt9l21B0b0LrWkIDXeQQMqTKqpVrA12n3&#10;kgBzXpKSnSEUMKGDbf74kMlUmRt94nD0NQsl5FIpoPG+Tzl3VYNaurnpkYJ3MVZLH6StubLyFsp1&#10;xxdRtOJathQWGtnje4PV9/GqBRSjff7YrQ/7qTy3wxQdimVyKYSYPY1vG2AeR/8fhl/8gA55YCrN&#10;lZRjnYDwiP+7wVvE8RpYKSBOlsDzjN/D5z8AAAD//wMAUEsBAi0AFAAGAAgAAAAhALaDOJL+AAAA&#10;4QEAABMAAAAAAAAAAAAAAAAAAAAAAFtDb250ZW50X1R5cGVzXS54bWxQSwECLQAUAAYACAAAACEA&#10;OP0h/9YAAACUAQAACwAAAAAAAAAAAAAAAAAvAQAAX3JlbHMvLnJlbHNQSwECLQAUAAYACAAAACEA&#10;0n+bexQCAAAiBAAADgAAAAAAAAAAAAAAAAAuAgAAZHJzL2Uyb0RvYy54bWxQSwECLQAUAAYACAAA&#10;ACEAtLnqDd4AAAAEAQAADwAAAAAAAAAAAAAAAABuBAAAZHJzL2Rvd25yZXYueG1sUEsFBgAAAAAE&#10;AAQA8wAAAHkFAAAAAA==&#10;" filled="f" stroked="f">
              <v:fill o:detectmouseclick="t"/>
              <v:textbox style="mso-fit-shape-to-text:t" inset="0,15pt,20pt,0">
                <w:txbxContent>
                  <w:p w14:paraId="14E0F5B2" w14:textId="153E7A3E" w:rsidR="00CC4A68" w:rsidRPr="00CC4A68" w:rsidRDefault="00CC4A68" w:rsidP="00CC4A68">
                    <w:pPr>
                      <w:spacing w:after="0"/>
                      <w:rPr>
                        <w:rFonts w:ascii="Calibri" w:eastAsia="Calibri" w:hAnsi="Calibri" w:cs="Calibri"/>
                        <w:noProof/>
                        <w:color w:val="000000"/>
                        <w:sz w:val="20"/>
                        <w:szCs w:val="20"/>
                      </w:rPr>
                    </w:pPr>
                    <w:r w:rsidRPr="00CC4A6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5257" w14:textId="56F7D1B9" w:rsidR="00CC4A68" w:rsidRDefault="00CC4A68">
    <w:pPr>
      <w:pStyle w:val="Header"/>
    </w:pPr>
    <w:r>
      <w:rPr>
        <w:noProof/>
      </w:rPr>
      <mc:AlternateContent>
        <mc:Choice Requires="wps">
          <w:drawing>
            <wp:anchor distT="0" distB="0" distL="0" distR="0" simplePos="0" relativeHeight="251660288" behindDoc="0" locked="0" layoutInCell="1" allowOverlap="1" wp14:anchorId="7C358703" wp14:editId="08446F22">
              <wp:simplePos x="635" y="635"/>
              <wp:positionH relativeFrom="page">
                <wp:align>right</wp:align>
              </wp:positionH>
              <wp:positionV relativeFrom="page">
                <wp:align>top</wp:align>
              </wp:positionV>
              <wp:extent cx="1624965" cy="370205"/>
              <wp:effectExtent l="0" t="0" r="0" b="10795"/>
              <wp:wrapNone/>
              <wp:docPr id="28517463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4965" cy="370205"/>
                      </a:xfrm>
                      <a:prstGeom prst="rect">
                        <a:avLst/>
                      </a:prstGeom>
                      <a:noFill/>
                      <a:ln>
                        <a:noFill/>
                      </a:ln>
                    </wps:spPr>
                    <wps:txbx>
                      <w:txbxContent>
                        <w:p w14:paraId="5BE21E90" w14:textId="0CBB53B5" w:rsidR="00CC4A68" w:rsidRPr="00CC4A68" w:rsidRDefault="00CC4A68" w:rsidP="00CC4A68">
                          <w:pPr>
                            <w:spacing w:after="0"/>
                            <w:rPr>
                              <w:rFonts w:ascii="Calibri" w:eastAsia="Calibri" w:hAnsi="Calibri" w:cs="Calibri"/>
                              <w:noProof/>
                              <w:color w:val="000000"/>
                              <w:sz w:val="20"/>
                              <w:szCs w:val="20"/>
                            </w:rPr>
                          </w:pPr>
                          <w:r w:rsidRPr="00CC4A6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358703" id="_x0000_t202" coordsize="21600,21600" o:spt="202" path="m,l,21600r21600,l21600,xe">
              <v:stroke joinstyle="miter"/>
              <v:path gradientshapeok="t" o:connecttype="rect"/>
            </v:shapetype>
            <v:shape id="Text Box 1" o:spid="_x0000_s1028" type="#_x0000_t202" alt="Unclassified / Non classifié" style="position:absolute;margin-left:87.95pt;margin-top:0;width:127.9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0DgIAABsEAAAOAAAAZHJzL2Uyb0RvYy54bWysU1tv2yAUfp+0/4B4X+x4TbZacaqsVaZJ&#10;UVspnfpMMMSWgIOAxM5+/Q7YSbZuT9Ne4Nw4l+98LO56rchRON+Cqeh0klMiDIe6NfuKfn9Zf/hM&#10;iQ/M1EyBERU9CU/vlu/fLTpbigIaULVwBJMYX3a2ok0ItswyzxuhmZ+AFQadEpxmAVW3z2rHOsyu&#10;VVbk+TzrwNXWARfeo/VhcNJlyi+l4OFJSi8CURXF3kI6XTp38cyWC1buHbNNy8c22D90oVlrsOgl&#10;1QMLjBxc+0cq3XIHHmSYcNAZSNlykWbAaab5m2m2DbMizYLgeHuByf+/tPzxuLXPjoT+C/S4wAhI&#10;Z33p0Rjn6aXT8cZOCfoRwtMFNtEHwuOjeXFzO59RwtH38VNe5LOYJru+ts6HrwI0iUJFHa4locWO&#10;Gx+G0HNILGZg3SqVVqPMbwbMGS3ZtcUohX7Xj33voD7hOA6GTXvL1y3W3DAfnpnD1eIESNfwhIdU&#10;0FUURomSBtyPv9ljPCKOXko6pEpFDXKZEvXN4CYiq5Iwvc1nOWouacXsJo/a7hxkDvoekIVT/BCW&#10;JzEGB3UWpQP9imxexWroYoZjzYqGs3gfBuLib+BitUpByCLLwsZsLY+pI1gRyZf+lTk7wh1wUY9w&#10;JhMr36A+xMaX3q4OAbFPK4nADmiOeCMD01LH3xIp/queoq5/evkTAAD//wMAUEsDBBQABgAIAAAA&#10;IQC0ueoN3gAAAAQBAAAPAAAAZHJzL2Rvd25yZXYueG1sTI/BasMwEETvhf6D2EIupZGb4OA4lkMp&#10;BJJDD03qQ26ytbFNrZWRFMf++6q9NJeFYYaZt9l21B0b0LrWkIDXeQQMqTKqpVrA12n3kgBzXpKS&#10;nSEUMKGDbf74kMlUmRt94nD0NQsl5FIpoPG+Tzl3VYNaurnpkYJ3MVZLH6StubLyFsp1xxdRtOJa&#10;thQWGtnje4PV9/GqBRSjff7YrQ/7qTy3wxQdimVyKYSYPY1vG2AeR/8fhl/8gA55YCrNlZRjnYDw&#10;iP+7wVvE8RpYKSBOlsDzjN/D5z8AAAD//wMAUEsBAi0AFAAGAAgAAAAhALaDOJL+AAAA4QEAABMA&#10;AAAAAAAAAAAAAAAAAAAAAFtDb250ZW50X1R5cGVzXS54bWxQSwECLQAUAAYACAAAACEAOP0h/9YA&#10;AACUAQAACwAAAAAAAAAAAAAAAAAvAQAAX3JlbHMvLnJlbHNQSwECLQAUAAYACAAAACEANn6ftA4C&#10;AAAbBAAADgAAAAAAAAAAAAAAAAAuAgAAZHJzL2Uyb0RvYy54bWxQSwECLQAUAAYACAAAACEAtLnq&#10;Dd4AAAAEAQAADwAAAAAAAAAAAAAAAABoBAAAZHJzL2Rvd25yZXYueG1sUEsFBgAAAAAEAAQA8wAA&#10;AHMFAAAAAA==&#10;" filled="f" stroked="f">
              <v:fill o:detectmouseclick="t"/>
              <v:textbox style="mso-fit-shape-to-text:t" inset="0,15pt,20pt,0">
                <w:txbxContent>
                  <w:p w14:paraId="5BE21E90" w14:textId="0CBB53B5" w:rsidR="00CC4A68" w:rsidRPr="00CC4A68" w:rsidRDefault="00CC4A68" w:rsidP="00CC4A68">
                    <w:pPr>
                      <w:spacing w:after="0"/>
                      <w:rPr>
                        <w:rFonts w:ascii="Calibri" w:eastAsia="Calibri" w:hAnsi="Calibri" w:cs="Calibri"/>
                        <w:noProof/>
                        <w:color w:val="000000"/>
                        <w:sz w:val="20"/>
                        <w:szCs w:val="20"/>
                      </w:rPr>
                    </w:pPr>
                    <w:r w:rsidRPr="00CC4A6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CF6"/>
    <w:multiLevelType w:val="hybridMultilevel"/>
    <w:tmpl w:val="439C4B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3347610"/>
    <w:multiLevelType w:val="hybridMultilevel"/>
    <w:tmpl w:val="03EA75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5ECF06A0"/>
    <w:multiLevelType w:val="hybridMultilevel"/>
    <w:tmpl w:val="BC045E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735591342">
    <w:abstractNumId w:val="0"/>
  </w:num>
  <w:num w:numId="2" w16cid:durableId="1955673003">
    <w:abstractNumId w:val="1"/>
  </w:num>
  <w:num w:numId="3" w16cid:durableId="1278102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07"/>
    <w:rsid w:val="0011742D"/>
    <w:rsid w:val="001E1B07"/>
    <w:rsid w:val="00550DB6"/>
    <w:rsid w:val="00745A26"/>
    <w:rsid w:val="008D6C65"/>
    <w:rsid w:val="00970C8E"/>
    <w:rsid w:val="00CC4A68"/>
    <w:rsid w:val="00E8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74E6"/>
  <w15:chartTrackingRefBased/>
  <w15:docId w15:val="{7361E64A-BCA7-4231-A839-80ADCDC1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B07"/>
    <w:rPr>
      <w:rFonts w:eastAsiaTheme="majorEastAsia" w:cstheme="majorBidi"/>
      <w:color w:val="272727" w:themeColor="text1" w:themeTint="D8"/>
    </w:rPr>
  </w:style>
  <w:style w:type="paragraph" w:styleId="Title">
    <w:name w:val="Title"/>
    <w:basedOn w:val="Normal"/>
    <w:next w:val="Normal"/>
    <w:link w:val="TitleChar"/>
    <w:uiPriority w:val="10"/>
    <w:qFormat/>
    <w:rsid w:val="001E1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B07"/>
    <w:pPr>
      <w:spacing w:before="160"/>
      <w:jc w:val="center"/>
    </w:pPr>
    <w:rPr>
      <w:i/>
      <w:iCs/>
      <w:color w:val="404040" w:themeColor="text1" w:themeTint="BF"/>
    </w:rPr>
  </w:style>
  <w:style w:type="character" w:customStyle="1" w:styleId="QuoteChar">
    <w:name w:val="Quote Char"/>
    <w:basedOn w:val="DefaultParagraphFont"/>
    <w:link w:val="Quote"/>
    <w:uiPriority w:val="29"/>
    <w:rsid w:val="001E1B07"/>
    <w:rPr>
      <w:i/>
      <w:iCs/>
      <w:color w:val="404040" w:themeColor="text1" w:themeTint="BF"/>
    </w:rPr>
  </w:style>
  <w:style w:type="paragraph" w:styleId="ListParagraph">
    <w:name w:val="List Paragraph"/>
    <w:basedOn w:val="Normal"/>
    <w:uiPriority w:val="34"/>
    <w:qFormat/>
    <w:rsid w:val="001E1B07"/>
    <w:pPr>
      <w:ind w:left="720"/>
      <w:contextualSpacing/>
    </w:pPr>
  </w:style>
  <w:style w:type="character" w:styleId="IntenseEmphasis">
    <w:name w:val="Intense Emphasis"/>
    <w:basedOn w:val="DefaultParagraphFont"/>
    <w:uiPriority w:val="21"/>
    <w:qFormat/>
    <w:rsid w:val="001E1B07"/>
    <w:rPr>
      <w:i/>
      <w:iCs/>
      <w:color w:val="0F4761" w:themeColor="accent1" w:themeShade="BF"/>
    </w:rPr>
  </w:style>
  <w:style w:type="paragraph" w:styleId="IntenseQuote">
    <w:name w:val="Intense Quote"/>
    <w:basedOn w:val="Normal"/>
    <w:next w:val="Normal"/>
    <w:link w:val="IntenseQuoteChar"/>
    <w:uiPriority w:val="30"/>
    <w:qFormat/>
    <w:rsid w:val="001E1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B07"/>
    <w:rPr>
      <w:i/>
      <w:iCs/>
      <w:color w:val="0F4761" w:themeColor="accent1" w:themeShade="BF"/>
    </w:rPr>
  </w:style>
  <w:style w:type="character" w:styleId="IntenseReference">
    <w:name w:val="Intense Reference"/>
    <w:basedOn w:val="DefaultParagraphFont"/>
    <w:uiPriority w:val="32"/>
    <w:qFormat/>
    <w:rsid w:val="001E1B07"/>
    <w:rPr>
      <w:b/>
      <w:bCs/>
      <w:smallCaps/>
      <w:color w:val="0F4761" w:themeColor="accent1" w:themeShade="BF"/>
      <w:spacing w:val="5"/>
    </w:rPr>
  </w:style>
  <w:style w:type="character" w:styleId="Hyperlink">
    <w:name w:val="Hyperlink"/>
    <w:basedOn w:val="DefaultParagraphFont"/>
    <w:uiPriority w:val="99"/>
    <w:unhideWhenUsed/>
    <w:rsid w:val="001E1B07"/>
    <w:rPr>
      <w:color w:val="467886" w:themeColor="hyperlink"/>
      <w:u w:val="single"/>
    </w:rPr>
  </w:style>
  <w:style w:type="character" w:styleId="UnresolvedMention">
    <w:name w:val="Unresolved Mention"/>
    <w:basedOn w:val="DefaultParagraphFont"/>
    <w:uiPriority w:val="99"/>
    <w:semiHidden/>
    <w:unhideWhenUsed/>
    <w:rsid w:val="001E1B07"/>
    <w:rPr>
      <w:color w:val="605E5C"/>
      <w:shd w:val="clear" w:color="auto" w:fill="E1DFDD"/>
    </w:rPr>
  </w:style>
  <w:style w:type="paragraph" w:styleId="Header">
    <w:name w:val="header"/>
    <w:basedOn w:val="Normal"/>
    <w:link w:val="HeaderChar"/>
    <w:uiPriority w:val="99"/>
    <w:unhideWhenUsed/>
    <w:rsid w:val="00CC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A68"/>
  </w:style>
  <w:style w:type="paragraph" w:styleId="Footer">
    <w:name w:val="footer"/>
    <w:basedOn w:val="Normal"/>
    <w:link w:val="FooterChar"/>
    <w:uiPriority w:val="99"/>
    <w:unhideWhenUsed/>
    <w:rsid w:val="00CC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Nancy (AAFC/AAC) (she - her / elle)</dc:creator>
  <cp:keywords/>
  <dc:description/>
  <cp:lastModifiedBy>Maltais, Eric (AAFC/AAC)</cp:lastModifiedBy>
  <cp:revision>3</cp:revision>
  <dcterms:created xsi:type="dcterms:W3CDTF">2025-04-11T14:35:00Z</dcterms:created>
  <dcterms:modified xsi:type="dcterms:W3CDTF">2025-04-11T14:36:00Z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10ff6b6f,5d42fe06,125c1004</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baad8967-3ba6-4b00-a759-20a8ca19a393_Enabled">
    <vt:lpwstr>true</vt:lpwstr>
  </property>
  <property fmtid="{D5CDD505-2E9C-101B-9397-08002B2CF9AE}" pid="6" name="MSIP_Label_baad8967-3ba6-4b00-a759-20a8ca19a393_SetDate">
    <vt:lpwstr>2025-04-11T14:19:56Z</vt:lpwstr>
  </property>
  <property fmtid="{D5CDD505-2E9C-101B-9397-08002B2CF9AE}" pid="7" name="MSIP_Label_baad8967-3ba6-4b00-a759-20a8ca19a393_Method">
    <vt:lpwstr>Privileged</vt:lpwstr>
  </property>
  <property fmtid="{D5CDD505-2E9C-101B-9397-08002B2CF9AE}" pid="8" name="MSIP_Label_baad8967-3ba6-4b00-a759-20a8ca19a393_Name">
    <vt:lpwstr>UNCLASSIFIED</vt:lpwstr>
  </property>
  <property fmtid="{D5CDD505-2E9C-101B-9397-08002B2CF9AE}" pid="9" name="MSIP_Label_baad8967-3ba6-4b00-a759-20a8ca19a393_SiteId">
    <vt:lpwstr>9da98bb1-1857-4cc3-8751-9a49e35d24cd</vt:lpwstr>
  </property>
  <property fmtid="{D5CDD505-2E9C-101B-9397-08002B2CF9AE}" pid="10" name="MSIP_Label_baad8967-3ba6-4b00-a759-20a8ca19a393_ActionId">
    <vt:lpwstr>35a5fcc7-d167-48a9-a9ea-eaa6a040e893</vt:lpwstr>
  </property>
  <property fmtid="{D5CDD505-2E9C-101B-9397-08002B2CF9AE}" pid="11" name="MSIP_Label_baad8967-3ba6-4b00-a759-20a8ca19a393_ContentBits">
    <vt:lpwstr>1</vt:lpwstr>
  </property>
  <property fmtid="{D5CDD505-2E9C-101B-9397-08002B2CF9AE}" pid="12" name="MSIP_Label_baad8967-3ba6-4b00-a759-20a8ca19a393_Tag">
    <vt:lpwstr>10, 0, 1, 1</vt:lpwstr>
  </property>
</Properties>
</file>