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Char"/>
        </w:rPr>
        <w:alias w:val="Report Number"/>
        <w:tag w:val="Report Number"/>
        <w:id w:val="-11695301"/>
        <w:lock w:val="sdtLocked"/>
        <w:placeholder>
          <w:docPart w:val="17FC53CB1D1C4D9BBA79F474AA292F47"/>
        </w:placeholder>
      </w:sdtPr>
      <w:sdtEndPr>
        <w:rPr>
          <w:rStyle w:val="TitleChar"/>
        </w:rPr>
      </w:sdtEndPr>
      <w:sdtContent>
        <w:p w14:paraId="1A315989" w14:textId="77777777" w:rsidR="00D927FC" w:rsidRDefault="00291D5B" w:rsidP="00D927FC">
          <w:pPr>
            <w:pStyle w:val="Title"/>
            <w:spacing w:after="120"/>
            <w:rPr>
              <w:rStyle w:val="TitleChar"/>
            </w:rPr>
          </w:pPr>
          <w:r>
            <w:rPr>
              <w:rStyle w:val="TitleChar"/>
            </w:rPr>
            <w:t>East Gwillimbury</w:t>
          </w:r>
          <w:r w:rsidR="00D927FC">
            <w:rPr>
              <w:rStyle w:val="TitleChar"/>
            </w:rPr>
            <w:t>,</w:t>
          </w:r>
        </w:p>
        <w:p w14:paraId="68497614" w14:textId="78D839E1" w:rsidR="00C72032" w:rsidRDefault="00ED0399" w:rsidP="00D927FC">
          <w:pPr>
            <w:pStyle w:val="Title"/>
            <w:spacing w:after="120"/>
          </w:pPr>
          <w:r>
            <w:rPr>
              <w:rStyle w:val="TitleChar"/>
            </w:rPr>
            <w:t>Development Services</w:t>
          </w:r>
          <w:r w:rsidR="00D0166D" w:rsidRPr="00D0166D">
            <w:rPr>
              <w:rStyle w:val="TitleChar"/>
            </w:rPr>
            <w:t xml:space="preserve"> </w:t>
          </w:r>
          <w:r w:rsidR="00C60512">
            <w:rPr>
              <w:rStyle w:val="TitleChar"/>
            </w:rPr>
            <w:t>and</w:t>
          </w:r>
          <w:r w:rsidR="00E40130">
            <w:rPr>
              <w:rStyle w:val="TitleChar"/>
            </w:rPr>
            <w:t xml:space="preserve"> Finance </w:t>
          </w:r>
          <w:r w:rsidR="00E9262E">
            <w:rPr>
              <w:rStyle w:val="TitleChar"/>
            </w:rPr>
            <w:t>Comments</w:t>
          </w:r>
        </w:p>
      </w:sdtContent>
    </w:sdt>
    <w:p w14:paraId="6543CB09" w14:textId="071AC54C" w:rsidR="005842F1" w:rsidRDefault="00D927FC" w:rsidP="00760BE3">
      <w:pPr>
        <w:tabs>
          <w:tab w:val="left" w:pos="1620"/>
        </w:tabs>
        <w:ind w:left="1620" w:hanging="1620"/>
        <w:rPr>
          <w:lang w:val="en-US"/>
        </w:rPr>
      </w:pPr>
      <w:sdt>
        <w:sdtPr>
          <w:rPr>
            <w:rFonts w:eastAsiaTheme="majorEastAsia" w:cstheme="majorBidi"/>
            <w:b/>
            <w:color w:val="000000" w:themeColor="text1"/>
            <w:spacing w:val="-10"/>
            <w:kern w:val="28"/>
            <w:sz w:val="36"/>
            <w:szCs w:val="56"/>
            <w:lang w:val="en-US"/>
          </w:rPr>
          <w:id w:val="834344232"/>
          <w:lock w:val="sdtContentLocked"/>
          <w:placeholder>
            <w:docPart w:val="17FC53CB1D1C4D9BBA79F474AA292F47"/>
          </w:placeholder>
        </w:sdtPr>
        <w:sdtEndPr/>
        <w:sdtContent>
          <w:r w:rsidR="005842F1">
            <w:rPr>
              <w:b/>
              <w:bCs/>
              <w:lang w:val="en-US"/>
            </w:rPr>
            <w:t>To:</w:t>
          </w:r>
        </w:sdtContent>
      </w:sdt>
      <w:r w:rsidR="00BC7796">
        <w:rPr>
          <w:lang w:val="en-US"/>
        </w:rPr>
        <w:t xml:space="preserve"> </w:t>
      </w:r>
      <w:r w:rsidR="008B5298">
        <w:rPr>
          <w:lang w:val="en-US"/>
        </w:rPr>
        <w:tab/>
      </w:r>
      <w:sdt>
        <w:sdtPr>
          <w:rPr>
            <w:lang w:val="en-US"/>
          </w:rPr>
          <w:id w:val="204303355"/>
          <w:lock w:val="sdtLocked"/>
          <w:placeholder>
            <w:docPart w:val="17FC53CB1D1C4D9BBA79F474AA292F47"/>
          </w:placeholder>
        </w:sdtPr>
        <w:sdtEndPr/>
        <w:sdtContent>
          <w:r w:rsidR="007513E6">
            <w:rPr>
              <w:lang w:val="en-US"/>
            </w:rPr>
            <w:t>Hon. Rob Flack, Minister of Municipal Affairs and Housing</w:t>
          </w:r>
        </w:sdtContent>
      </w:sdt>
    </w:p>
    <w:p w14:paraId="74D0F614" w14:textId="7DA29756" w:rsidR="004624BF" w:rsidRPr="0099378E" w:rsidRDefault="00D927FC" w:rsidP="00760BE3">
      <w:pPr>
        <w:tabs>
          <w:tab w:val="left" w:pos="1620"/>
        </w:tabs>
        <w:ind w:left="1620" w:hanging="1620"/>
        <w:rPr>
          <w:lang w:val="en-US"/>
        </w:rPr>
      </w:pPr>
      <w:sdt>
        <w:sdtPr>
          <w:rPr>
            <w:b/>
            <w:bCs/>
            <w:lang w:val="en-US"/>
          </w:rPr>
          <w:id w:val="612478536"/>
          <w:lock w:val="sdtContentLocked"/>
          <w:placeholder>
            <w:docPart w:val="17FC53CB1D1C4D9BBA79F474AA292F47"/>
          </w:placeholder>
        </w:sdtPr>
        <w:sdtEndPr/>
        <w:sdtContent>
          <w:r w:rsidR="0023553C">
            <w:rPr>
              <w:b/>
              <w:bCs/>
              <w:lang w:val="en-US"/>
            </w:rPr>
            <w:t>Date</w:t>
          </w:r>
          <w:r w:rsidR="004624BF">
            <w:rPr>
              <w:b/>
              <w:bCs/>
              <w:lang w:val="en-US"/>
            </w:rPr>
            <w:t>:</w:t>
          </w:r>
        </w:sdtContent>
      </w:sdt>
      <w:r w:rsidR="004624BF">
        <w:rPr>
          <w:b/>
          <w:bCs/>
          <w:lang w:val="en-US"/>
        </w:rPr>
        <w:t xml:space="preserve"> </w:t>
      </w:r>
      <w:r w:rsidR="008B5298" w:rsidRPr="00C23560">
        <w:rPr>
          <w:lang w:val="en-US"/>
        </w:rPr>
        <w:tab/>
      </w:r>
      <w:sdt>
        <w:sdtPr>
          <w:rPr>
            <w:lang w:val="en-US"/>
          </w:rPr>
          <w:alias w:val="Meeting Date"/>
          <w:tag w:val="Meeting Date"/>
          <w:id w:val="-1225604700"/>
          <w:lock w:val="sdtLocked"/>
          <w:placeholder>
            <w:docPart w:val="A2F7AA7A0CA9438A85CF4331664361FF"/>
          </w:placeholder>
          <w:date w:fullDate="2025-06-26T00:00:00Z">
            <w:dateFormat w:val="MMMM d, yyyy"/>
            <w:lid w:val="en-CA"/>
            <w:storeMappedDataAs w:val="dateTime"/>
            <w:calendar w:val="gregorian"/>
          </w:date>
        </w:sdtPr>
        <w:sdtEndPr/>
        <w:sdtContent>
          <w:r w:rsidR="00C31ED9">
            <w:t xml:space="preserve">June </w:t>
          </w:r>
          <w:r w:rsidR="003D3F3A">
            <w:t>26</w:t>
          </w:r>
          <w:r w:rsidR="00C31ED9">
            <w:t>, 2025</w:t>
          </w:r>
        </w:sdtContent>
      </w:sdt>
    </w:p>
    <w:p w14:paraId="0F7D46FE" w14:textId="4585446A" w:rsidR="004624BF" w:rsidRDefault="00D927FC" w:rsidP="00760BE3">
      <w:pPr>
        <w:tabs>
          <w:tab w:val="left" w:pos="1620"/>
        </w:tabs>
        <w:ind w:left="1620" w:hanging="1620"/>
        <w:rPr>
          <w:lang w:val="en-US"/>
        </w:rPr>
      </w:pPr>
      <w:sdt>
        <w:sdtPr>
          <w:rPr>
            <w:b/>
            <w:bCs/>
            <w:lang w:val="en-US"/>
          </w:rPr>
          <w:id w:val="2080637595"/>
          <w:lock w:val="sdtContentLocked"/>
          <w:placeholder>
            <w:docPart w:val="17FC53CB1D1C4D9BBA79F474AA292F47"/>
          </w:placeholder>
        </w:sdtPr>
        <w:sdtEndPr/>
        <w:sdtContent>
          <w:r w:rsidR="0023553C">
            <w:rPr>
              <w:b/>
              <w:bCs/>
              <w:lang w:val="en-US"/>
            </w:rPr>
            <w:t>Subject</w:t>
          </w:r>
          <w:r w:rsidR="004624BF" w:rsidRPr="004624BF">
            <w:rPr>
              <w:b/>
              <w:bCs/>
              <w:lang w:val="en-US"/>
            </w:rPr>
            <w:t>:</w:t>
          </w:r>
        </w:sdtContent>
      </w:sdt>
      <w:r w:rsidR="004624BF">
        <w:rPr>
          <w:lang w:val="en-US"/>
        </w:rPr>
        <w:t xml:space="preserve"> </w:t>
      </w:r>
      <w:r w:rsidR="008B5298">
        <w:rPr>
          <w:lang w:val="en-US"/>
        </w:rPr>
        <w:tab/>
      </w:r>
      <w:sdt>
        <w:sdtPr>
          <w:rPr>
            <w:lang w:val="en-US"/>
          </w:rPr>
          <w:id w:val="-2138701108"/>
          <w:lock w:val="sdtLocked"/>
          <w:placeholder>
            <w:docPart w:val="7333064FD9C64CF7B59D5B69D3B04FD8"/>
          </w:placeholder>
        </w:sdtPr>
        <w:sdtEndPr/>
        <w:sdtContent>
          <w:r w:rsidR="00291D5B">
            <w:rPr>
              <w:lang w:val="en-US"/>
            </w:rPr>
            <w:t xml:space="preserve">Bill 17, Protect Ontario by Building Faster and Smarter Act, 2025       </w:t>
          </w:r>
          <w:r w:rsidR="003D3F3A">
            <w:rPr>
              <w:lang w:val="en-US"/>
            </w:rPr>
            <w:t xml:space="preserve">ERO </w:t>
          </w:r>
          <w:r w:rsidR="00E9262E">
            <w:rPr>
              <w:lang w:val="en-US"/>
            </w:rPr>
            <w:t xml:space="preserve">Number </w:t>
          </w:r>
          <w:r w:rsidR="003D3F3A" w:rsidRPr="003D3F3A">
            <w:t>025-0462</w:t>
          </w:r>
        </w:sdtContent>
      </w:sdt>
    </w:p>
    <w:p w14:paraId="54193D23" w14:textId="29080A5E" w:rsidR="00760BE3" w:rsidRDefault="00D927FC" w:rsidP="00760BE3">
      <w:pPr>
        <w:tabs>
          <w:tab w:val="left" w:pos="1620"/>
        </w:tabs>
        <w:ind w:left="1620" w:hanging="1620"/>
        <w:rPr>
          <w:lang w:val="en-US"/>
        </w:rPr>
      </w:pPr>
      <w:sdt>
        <w:sdtPr>
          <w:rPr>
            <w:b/>
            <w:bCs/>
            <w:lang w:val="en-US"/>
          </w:rPr>
          <w:id w:val="228277654"/>
          <w:lock w:val="sdtContentLocked"/>
          <w:placeholder>
            <w:docPart w:val="17FC53CB1D1C4D9BBA79F474AA292F47"/>
          </w:placeholder>
        </w:sdtPr>
        <w:sdtEndPr/>
        <w:sdtContent>
          <w:r w:rsidR="0023553C">
            <w:rPr>
              <w:b/>
              <w:bCs/>
              <w:lang w:val="en-US"/>
            </w:rPr>
            <w:t>Origin</w:t>
          </w:r>
          <w:r w:rsidR="004624BF">
            <w:rPr>
              <w:b/>
              <w:bCs/>
              <w:lang w:val="en-US"/>
            </w:rPr>
            <w:t>:</w:t>
          </w:r>
        </w:sdtContent>
      </w:sdt>
      <w:r w:rsidR="004930B8">
        <w:rPr>
          <w:lang w:val="en-US"/>
        </w:rPr>
        <w:t xml:space="preserve"> </w:t>
      </w:r>
      <w:r w:rsidR="0023553C">
        <w:rPr>
          <w:lang w:val="en-US"/>
        </w:rPr>
        <w:tab/>
      </w:r>
      <w:sdt>
        <w:sdtPr>
          <w:rPr>
            <w:lang w:val="en-US"/>
          </w:rPr>
          <w:id w:val="-429744643"/>
          <w:lock w:val="sdtLocked"/>
          <w:placeholder>
            <w:docPart w:val="A5C34BBC1230424CB3546C988A9D08C2"/>
          </w:placeholder>
        </w:sdtPr>
        <w:sdtEndPr/>
        <w:sdtContent>
          <w:r w:rsidR="00C900A8">
            <w:rPr>
              <w:lang w:val="en-US"/>
            </w:rPr>
            <w:t xml:space="preserve">Jack Krubnik, </w:t>
          </w:r>
          <w:r w:rsidR="00C31ED9">
            <w:rPr>
              <w:lang w:val="en-US"/>
            </w:rPr>
            <w:t>Acting General Manager</w:t>
          </w:r>
          <w:r w:rsidR="00D204FA">
            <w:rPr>
              <w:lang w:val="en-US"/>
            </w:rPr>
            <w:t xml:space="preserve">, Development Services       </w:t>
          </w:r>
          <w:r w:rsidR="00723FB2">
            <w:rPr>
              <w:lang w:val="en-US"/>
            </w:rPr>
            <w:t>Warren Marshall, General Manager</w:t>
          </w:r>
          <w:r w:rsidR="00306ED0">
            <w:rPr>
              <w:lang w:val="en-US"/>
            </w:rPr>
            <w:t>, F</w:t>
          </w:r>
          <w:r w:rsidR="006D0A22">
            <w:rPr>
              <w:lang w:val="en-US"/>
            </w:rPr>
            <w:t>i</w:t>
          </w:r>
          <w:r w:rsidR="00306ED0">
            <w:rPr>
              <w:lang w:val="en-US"/>
            </w:rPr>
            <w:t>nance</w:t>
          </w:r>
        </w:sdtContent>
      </w:sdt>
      <w:r w:rsidR="0023553C">
        <w:rPr>
          <w:lang w:val="en-US"/>
        </w:rPr>
        <w:tab/>
      </w:r>
    </w:p>
    <w:p w14:paraId="674B50C3" w14:textId="77777777" w:rsidR="004624BF" w:rsidRDefault="004930B8" w:rsidP="00760BE3">
      <w:pPr>
        <w:tabs>
          <w:tab w:val="left" w:pos="1620"/>
        </w:tabs>
        <w:ind w:left="1620" w:hanging="1620"/>
        <w:rPr>
          <w:lang w:val="en-US"/>
        </w:rPr>
      </w:pPr>
      <w:r>
        <w:rPr>
          <w:b/>
          <w:bCs/>
          <w:noProof/>
          <w:lang w:val="en-US"/>
        </w:rPr>
        <mc:AlternateContent>
          <mc:Choice Requires="wps">
            <w:drawing>
              <wp:inline distT="0" distB="0" distL="0" distR="0" wp14:anchorId="736A0C88" wp14:editId="466FBD89">
                <wp:extent cx="6020410" cy="0"/>
                <wp:effectExtent l="0" t="0" r="0" b="0"/>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20410" cy="0"/>
                        </a:xfrm>
                        <a:prstGeom prst="line">
                          <a:avLst/>
                        </a:prstGeom>
                        <a:ln w="12700"/>
                      </wps:spPr>
                      <wps:style>
                        <a:lnRef idx="1">
                          <a:schemeClr val="accent3"/>
                        </a:lnRef>
                        <a:fillRef idx="0">
                          <a:schemeClr val="accent3"/>
                        </a:fillRef>
                        <a:effectRef idx="0">
                          <a:schemeClr val="accent3"/>
                        </a:effectRef>
                        <a:fontRef idx="minor">
                          <a:schemeClr val="tx1"/>
                        </a:fontRef>
                      </wps:style>
                      <wps:bodyPr/>
                    </wps:wsp>
                  </a:graphicData>
                </a:graphic>
              </wp:inline>
            </w:drawing>
          </mc:Choice>
          <mc:Fallback>
            <w:pict>
              <v:line w14:anchorId="3F9E6043"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47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" strokecolor="#a5a5a5 [3206]" strokeweight="1pt">
                <v:stroke joinstyle="miter"/>
                <w10:anchorlock/>
              </v:line>
            </w:pict>
          </mc:Fallback>
        </mc:AlternateContent>
      </w:r>
    </w:p>
    <w:sdt>
      <w:sdtPr>
        <w:rPr>
          <w:lang w:val="en-US"/>
        </w:rPr>
        <w:id w:val="199748093"/>
        <w:lock w:val="sdtLocked"/>
        <w:placeholder>
          <w:docPart w:val="AE1908B3BB1349BEA946F0EAB63A95D3"/>
        </w:placeholder>
      </w:sdtPr>
      <w:sdtEndPr/>
      <w:sdtContent>
        <w:p w14:paraId="4481322B" w14:textId="182FE31B" w:rsidR="001C236D" w:rsidRDefault="001C236D" w:rsidP="00F0641A">
          <w:pPr>
            <w:tabs>
              <w:tab w:val="left" w:pos="851"/>
            </w:tabs>
          </w:pPr>
          <w:r>
            <w:rPr>
              <w:lang w:val="en-US"/>
            </w:rPr>
            <w:t xml:space="preserve">On </w:t>
          </w:r>
          <w:r w:rsidRPr="001C236D">
            <w:t>May 12, 2025, the Ontario government took the next legislative step in advancing its target of building 1.5 million new homes by 2031. Bill 17, the </w:t>
          </w:r>
          <w:hyperlink r:id="rId12" w:tgtFrame="_blank" w:history="1">
            <w:r w:rsidRPr="001C236D">
              <w:rPr>
                <w:rStyle w:val="Hyperlink"/>
                <w:i/>
                <w:iCs/>
              </w:rPr>
              <w:t>Protect Ontario by Building Faster and Smarter</w:t>
            </w:r>
            <w:r w:rsidRPr="001C236D">
              <w:rPr>
                <w:rStyle w:val="Hyperlink"/>
              </w:rPr>
              <w:t> </w:t>
            </w:r>
            <w:r w:rsidRPr="001C236D">
              <w:rPr>
                <w:rStyle w:val="Hyperlink"/>
                <w:i/>
                <w:iCs/>
              </w:rPr>
              <w:t>Act, 2025</w:t>
            </w:r>
          </w:hyperlink>
          <w:r w:rsidRPr="001C236D">
            <w:t xml:space="preserve"> proposes </w:t>
          </w:r>
          <w:r w:rsidR="003B7AF1">
            <w:t xml:space="preserve">numerous </w:t>
          </w:r>
          <w:r w:rsidRPr="001C236D">
            <w:t>changes to multiple statutes</w:t>
          </w:r>
          <w:r w:rsidR="006079F2">
            <w:t xml:space="preserve">. </w:t>
          </w:r>
          <w:r w:rsidRPr="001C236D">
            <w:t>A summary of key changes is below.</w:t>
          </w:r>
        </w:p>
        <w:p w14:paraId="3538831B" w14:textId="2A71F0FD" w:rsidR="002B2D27" w:rsidRDefault="002B2D27" w:rsidP="00F0641A">
          <w:pPr>
            <w:tabs>
              <w:tab w:val="left" w:pos="851"/>
            </w:tabs>
            <w:rPr>
              <w:lang w:val="en-US"/>
            </w:rPr>
          </w:pPr>
          <w:r>
            <w:t xml:space="preserve">The </w:t>
          </w:r>
          <w:r w:rsidRPr="002B2D27">
            <w:t>government also released a detailed </w:t>
          </w:r>
          <w:hyperlink r:id="rId13" w:tgtFrame="_blank" w:history="1">
            <w:r w:rsidRPr="002B2D27">
              <w:rPr>
                <w:rStyle w:val="Hyperlink"/>
              </w:rPr>
              <w:t>technical briefing</w:t>
            </w:r>
          </w:hyperlink>
          <w:r w:rsidRPr="002B2D27">
            <w:t xml:space="preserve"> which provides further information on other initiatives that are being advanced, including consultations with municipalities and stakeholders on other initiatives.</w:t>
          </w:r>
        </w:p>
        <w:p w14:paraId="6EFCDD40" w14:textId="57D09163" w:rsidR="00F0641A" w:rsidRPr="00F0641A" w:rsidRDefault="00C545C9" w:rsidP="00F0641A">
          <w:pPr>
            <w:tabs>
              <w:tab w:val="left" w:pos="851"/>
            </w:tabs>
          </w:pPr>
          <w:r>
            <w:rPr>
              <w:lang w:val="en-US"/>
            </w:rPr>
            <w:t xml:space="preserve">The </w:t>
          </w:r>
          <w:proofErr w:type="gramStart"/>
          <w:r w:rsidR="00F0641A" w:rsidRPr="00F0641A">
            <w:t>Province</w:t>
          </w:r>
          <w:proofErr w:type="gramEnd"/>
          <w:r w:rsidR="00F0641A" w:rsidRPr="00F0641A">
            <w:t xml:space="preserve"> has stated that </w:t>
          </w:r>
          <w:proofErr w:type="gramStart"/>
          <w:r w:rsidR="00F0641A" w:rsidRPr="00F0641A">
            <w:t>a goal</w:t>
          </w:r>
          <w:proofErr w:type="gramEnd"/>
          <w:r w:rsidR="00F0641A" w:rsidRPr="00F0641A">
            <w:t xml:space="preserve"> of this Bill is to simplify and streamline </w:t>
          </w:r>
          <w:r w:rsidR="00071327">
            <w:t>d</w:t>
          </w:r>
          <w:r w:rsidR="00F0641A" w:rsidRPr="00F0641A">
            <w:t>evelopment while reducing barriers</w:t>
          </w:r>
          <w:r w:rsidR="00071327">
            <w:t>. B</w:t>
          </w:r>
          <w:r w:rsidR="00F0641A" w:rsidRPr="00F0641A">
            <w:t xml:space="preserve">ill proposes to amend various acts with the intent of building more homes faster in Ontario to address the current housing crisis. In addition to changes to the </w:t>
          </w:r>
          <w:hyperlink r:id="rId14">
            <w:r w:rsidR="712454EB" w:rsidRPr="211EE1A9">
              <w:rPr>
                <w:rStyle w:val="Hyperlink"/>
                <w:i/>
                <w:iCs/>
              </w:rPr>
              <w:t>Development Charges Act</w:t>
            </w:r>
            <w:r w:rsidR="712454EB" w:rsidRPr="211EE1A9">
              <w:rPr>
                <w:rStyle w:val="Hyperlink"/>
              </w:rPr>
              <w:t xml:space="preserve"> (</w:t>
            </w:r>
            <w:r w:rsidR="5F48B10A" w:rsidRPr="211EE1A9">
              <w:rPr>
                <w:rStyle w:val="Hyperlink"/>
              </w:rPr>
              <w:t>D.C.A.</w:t>
            </w:r>
            <w:r w:rsidR="712454EB" w:rsidRPr="211EE1A9">
              <w:rPr>
                <w:rStyle w:val="Hyperlink"/>
              </w:rPr>
              <w:t>)</w:t>
            </w:r>
          </w:hyperlink>
          <w:r w:rsidR="5F48B10A">
            <w:t>,</w:t>
          </w:r>
          <w:r w:rsidR="00F0641A" w:rsidRPr="00F0641A">
            <w:t xml:space="preserve"> changes are proposed to the following Acts: </w:t>
          </w:r>
        </w:p>
        <w:p w14:paraId="75C0D19D" w14:textId="77777777" w:rsidR="00F0641A" w:rsidRPr="00F0641A" w:rsidRDefault="00F0641A" w:rsidP="009D666C">
          <w:pPr>
            <w:numPr>
              <w:ilvl w:val="0"/>
              <w:numId w:val="12"/>
            </w:numPr>
            <w:tabs>
              <w:tab w:val="left" w:pos="851"/>
            </w:tabs>
            <w:spacing w:after="0"/>
          </w:pPr>
          <w:r w:rsidRPr="211EE1A9">
            <w:rPr>
              <w:i/>
            </w:rPr>
            <w:t>Building Code Act</w:t>
          </w:r>
          <w:r w:rsidRPr="00F0641A">
            <w:t xml:space="preserve">, </w:t>
          </w:r>
          <w:proofErr w:type="gramStart"/>
          <w:r w:rsidRPr="00F0641A">
            <w:t>1992;</w:t>
          </w:r>
          <w:proofErr w:type="gramEnd"/>
          <w:r w:rsidRPr="00F0641A">
            <w:t xml:space="preserve"> </w:t>
          </w:r>
        </w:p>
        <w:p w14:paraId="01366D80" w14:textId="77777777" w:rsidR="00F0641A" w:rsidRPr="00F0641A" w:rsidRDefault="00F0641A" w:rsidP="009D666C">
          <w:pPr>
            <w:numPr>
              <w:ilvl w:val="0"/>
              <w:numId w:val="12"/>
            </w:numPr>
            <w:tabs>
              <w:tab w:val="left" w:pos="851"/>
            </w:tabs>
            <w:spacing w:after="0"/>
          </w:pPr>
          <w:r w:rsidRPr="211EE1A9">
            <w:rPr>
              <w:i/>
            </w:rPr>
            <w:t>Building Transit Faster Act</w:t>
          </w:r>
          <w:r w:rsidRPr="00F0641A">
            <w:t xml:space="preserve">, </w:t>
          </w:r>
          <w:proofErr w:type="gramStart"/>
          <w:r w:rsidRPr="00F0641A">
            <w:t>2020;</w:t>
          </w:r>
          <w:proofErr w:type="gramEnd"/>
          <w:r w:rsidRPr="00F0641A">
            <w:t xml:space="preserve"> </w:t>
          </w:r>
        </w:p>
        <w:p w14:paraId="2013658C" w14:textId="77777777" w:rsidR="00F0641A" w:rsidRPr="00F0641A" w:rsidRDefault="00F0641A" w:rsidP="009D666C">
          <w:pPr>
            <w:numPr>
              <w:ilvl w:val="0"/>
              <w:numId w:val="12"/>
            </w:numPr>
            <w:tabs>
              <w:tab w:val="left" w:pos="851"/>
            </w:tabs>
            <w:spacing w:after="0"/>
          </w:pPr>
          <w:r w:rsidRPr="211EE1A9">
            <w:rPr>
              <w:i/>
            </w:rPr>
            <w:t>City of Toronto Act</w:t>
          </w:r>
          <w:r w:rsidRPr="00F0641A">
            <w:t xml:space="preserve">, </w:t>
          </w:r>
          <w:proofErr w:type="gramStart"/>
          <w:r w:rsidRPr="00F0641A">
            <w:t>2006;</w:t>
          </w:r>
          <w:proofErr w:type="gramEnd"/>
          <w:r w:rsidRPr="00F0641A">
            <w:t xml:space="preserve"> </w:t>
          </w:r>
        </w:p>
        <w:p w14:paraId="232B7F7C" w14:textId="77777777" w:rsidR="00F0641A" w:rsidRPr="00F0641A" w:rsidRDefault="00F0641A" w:rsidP="009D666C">
          <w:pPr>
            <w:numPr>
              <w:ilvl w:val="0"/>
              <w:numId w:val="12"/>
            </w:numPr>
            <w:tabs>
              <w:tab w:val="left" w:pos="851"/>
            </w:tabs>
            <w:spacing w:after="0"/>
          </w:pPr>
          <w:r w:rsidRPr="211EE1A9">
            <w:rPr>
              <w:i/>
            </w:rPr>
            <w:t>Metrolinx Act</w:t>
          </w:r>
          <w:r w:rsidRPr="00F0641A">
            <w:t xml:space="preserve">, </w:t>
          </w:r>
          <w:proofErr w:type="gramStart"/>
          <w:r w:rsidRPr="00F0641A">
            <w:t>2006;</w:t>
          </w:r>
          <w:proofErr w:type="gramEnd"/>
          <w:r w:rsidRPr="00F0641A">
            <w:t xml:space="preserve"> </w:t>
          </w:r>
        </w:p>
        <w:p w14:paraId="56C66BEF" w14:textId="77777777" w:rsidR="00F0641A" w:rsidRPr="00F0641A" w:rsidRDefault="00F0641A" w:rsidP="009D666C">
          <w:pPr>
            <w:numPr>
              <w:ilvl w:val="0"/>
              <w:numId w:val="12"/>
            </w:numPr>
            <w:tabs>
              <w:tab w:val="left" w:pos="851"/>
            </w:tabs>
            <w:spacing w:after="0"/>
          </w:pPr>
          <w:r w:rsidRPr="00F0641A">
            <w:rPr>
              <w:i/>
              <w:iCs/>
            </w:rPr>
            <w:t xml:space="preserve">Ministry of Infrastructure Act, </w:t>
          </w:r>
          <w:proofErr w:type="gramStart"/>
          <w:r w:rsidRPr="00F0641A">
            <w:rPr>
              <w:i/>
              <w:iCs/>
            </w:rPr>
            <w:t>2011;</w:t>
          </w:r>
          <w:proofErr w:type="gramEnd"/>
          <w:r w:rsidRPr="00F0641A">
            <w:rPr>
              <w:i/>
              <w:iCs/>
            </w:rPr>
            <w:t xml:space="preserve"> </w:t>
          </w:r>
        </w:p>
        <w:p w14:paraId="152794A5" w14:textId="77777777" w:rsidR="00F0641A" w:rsidRPr="00F0641A" w:rsidRDefault="00F0641A" w:rsidP="009D666C">
          <w:pPr>
            <w:numPr>
              <w:ilvl w:val="0"/>
              <w:numId w:val="12"/>
            </w:numPr>
            <w:tabs>
              <w:tab w:val="left" w:pos="851"/>
            </w:tabs>
            <w:spacing w:after="0"/>
          </w:pPr>
          <w:r w:rsidRPr="00F0641A">
            <w:rPr>
              <w:i/>
              <w:iCs/>
            </w:rPr>
            <w:t xml:space="preserve">Planning Act; </w:t>
          </w:r>
          <w:r w:rsidRPr="00F0641A">
            <w:t xml:space="preserve">and </w:t>
          </w:r>
        </w:p>
        <w:p w14:paraId="2A7E2D73" w14:textId="77777777" w:rsidR="00F0641A" w:rsidRPr="00F0641A" w:rsidRDefault="00F0641A" w:rsidP="009D666C">
          <w:pPr>
            <w:numPr>
              <w:ilvl w:val="0"/>
              <w:numId w:val="12"/>
            </w:numPr>
            <w:tabs>
              <w:tab w:val="left" w:pos="851"/>
            </w:tabs>
            <w:spacing w:after="0"/>
          </w:pPr>
          <w:r w:rsidRPr="00F0641A">
            <w:rPr>
              <w:i/>
              <w:iCs/>
            </w:rPr>
            <w:t xml:space="preserve">Transit-oriented Communities Act, 2020. </w:t>
          </w:r>
        </w:p>
        <w:p w14:paraId="7134F2F1" w14:textId="77777777" w:rsidR="009D666C" w:rsidRDefault="009D666C" w:rsidP="009D666C">
          <w:pPr>
            <w:tabs>
              <w:tab w:val="left" w:pos="851"/>
            </w:tabs>
            <w:spacing w:after="0"/>
          </w:pPr>
        </w:p>
        <w:p w14:paraId="0670A0A3" w14:textId="1B87C944" w:rsidR="00D633FE" w:rsidRPr="00D507F4" w:rsidRDefault="00581ED3" w:rsidP="00DC6266">
          <w:pPr>
            <w:tabs>
              <w:tab w:val="left" w:pos="851"/>
            </w:tabs>
            <w:spacing w:after="0"/>
          </w:pPr>
          <w:r>
            <w:t>Th</w:t>
          </w:r>
          <w:r w:rsidR="00927B32" w:rsidRPr="00927B32">
            <w:t>ese changes signal a shift toward standardization, streamlining, and increased provincial oversight.</w:t>
          </w:r>
          <w:r w:rsidR="00741B63">
            <w:t xml:space="preserve"> </w:t>
          </w:r>
          <w:r w:rsidR="00927B32">
            <w:t>K</w:t>
          </w:r>
          <w:r w:rsidR="00741B63" w:rsidRPr="00741B63">
            <w:t>ey highlights of the proposed changes are outlined below</w:t>
          </w:r>
          <w:r w:rsidR="00662090">
            <w:t xml:space="preserve">. </w:t>
          </w:r>
        </w:p>
        <w:p w14:paraId="0E731DAB" w14:textId="77777777" w:rsidR="00D633FE" w:rsidRDefault="00D633FE" w:rsidP="00DC6266">
          <w:pPr>
            <w:tabs>
              <w:tab w:val="left" w:pos="851"/>
            </w:tabs>
            <w:spacing w:after="0"/>
            <w:rPr>
              <w:b/>
              <w:bCs/>
            </w:rPr>
          </w:pPr>
        </w:p>
        <w:p w14:paraId="561D5AF9" w14:textId="77777777" w:rsidR="009D3C52" w:rsidRDefault="009D3C52">
          <w:pPr>
            <w:rPr>
              <w:b/>
              <w:bCs/>
            </w:rPr>
          </w:pPr>
          <w:r>
            <w:rPr>
              <w:b/>
              <w:bCs/>
            </w:rPr>
            <w:br w:type="page"/>
          </w:r>
        </w:p>
        <w:p w14:paraId="794523ED" w14:textId="6448C0E7" w:rsidR="005A14E1" w:rsidRPr="006C5F5C" w:rsidRDefault="00DC6266" w:rsidP="00BC37C5">
          <w:pPr>
            <w:tabs>
              <w:tab w:val="left" w:pos="851"/>
            </w:tabs>
            <w:spacing w:after="0" w:line="240" w:lineRule="auto"/>
            <w:rPr>
              <w:b/>
              <w:bCs/>
            </w:rPr>
          </w:pPr>
          <w:r>
            <w:rPr>
              <w:b/>
              <w:bCs/>
            </w:rPr>
            <w:lastRenderedPageBreak/>
            <w:t>Development Charges Act, 1997</w:t>
          </w:r>
        </w:p>
        <w:p w14:paraId="6C031D6B" w14:textId="77777777" w:rsidR="005009ED" w:rsidRPr="00FF5329" w:rsidRDefault="005009ED" w:rsidP="005009ED">
          <w:pPr>
            <w:pStyle w:val="NormalWeb"/>
            <w:rPr>
              <w:rFonts w:ascii="Arial" w:eastAsiaTheme="minorHAnsi" w:hAnsi="Arial" w:cstheme="minorBidi"/>
              <w:b/>
              <w:bCs/>
              <w:kern w:val="2"/>
              <w:szCs w:val="22"/>
              <w:lang w:eastAsia="en-US"/>
              <w14:ligatures w14:val="standardContextual"/>
            </w:rPr>
          </w:pPr>
          <w:r w:rsidRPr="00FF5329">
            <w:rPr>
              <w:rFonts w:ascii="Arial" w:eastAsiaTheme="minorHAnsi" w:hAnsi="Arial" w:cstheme="minorBidi"/>
              <w:b/>
              <w:bCs/>
              <w:kern w:val="2"/>
              <w:szCs w:val="22"/>
              <w:lang w:eastAsia="en-US"/>
              <w14:ligatures w14:val="standardContextual"/>
            </w:rPr>
            <w:t xml:space="preserve">Merge </w:t>
          </w:r>
          <w:r>
            <w:rPr>
              <w:rFonts w:ascii="Arial" w:eastAsiaTheme="minorHAnsi" w:hAnsi="Arial" w:cstheme="minorBidi"/>
              <w:b/>
              <w:bCs/>
              <w:kern w:val="2"/>
              <w:szCs w:val="22"/>
              <w:lang w:eastAsia="en-US"/>
              <w14:ligatures w14:val="standardContextual"/>
            </w:rPr>
            <w:t xml:space="preserve">Development </w:t>
          </w:r>
          <w:r w:rsidRPr="00FF5329">
            <w:rPr>
              <w:rFonts w:ascii="Arial" w:eastAsiaTheme="minorHAnsi" w:hAnsi="Arial" w:cstheme="minorBidi"/>
              <w:b/>
              <w:bCs/>
              <w:kern w:val="2"/>
              <w:szCs w:val="22"/>
              <w:lang w:eastAsia="en-US"/>
              <w14:ligatures w14:val="standardContextual"/>
            </w:rPr>
            <w:t>C</w:t>
          </w:r>
          <w:r>
            <w:rPr>
              <w:rFonts w:ascii="Arial" w:eastAsiaTheme="minorHAnsi" w:hAnsi="Arial" w:cstheme="minorBidi"/>
              <w:b/>
              <w:bCs/>
              <w:kern w:val="2"/>
              <w:szCs w:val="22"/>
              <w:lang w:eastAsia="en-US"/>
              <w14:ligatures w14:val="standardContextual"/>
            </w:rPr>
            <w:t>harge</w:t>
          </w:r>
          <w:r w:rsidRPr="00FF5329">
            <w:rPr>
              <w:rFonts w:ascii="Arial" w:eastAsiaTheme="minorHAnsi" w:hAnsi="Arial" w:cstheme="minorBidi"/>
              <w:b/>
              <w:bCs/>
              <w:kern w:val="2"/>
              <w:szCs w:val="22"/>
              <w:lang w:eastAsia="en-US"/>
              <w14:ligatures w14:val="standardContextual"/>
            </w:rPr>
            <w:t xml:space="preserve"> Service Categories for Credit Purposes</w:t>
          </w:r>
        </w:p>
        <w:p w14:paraId="4E8C723A" w14:textId="77777777" w:rsidR="005009ED" w:rsidRDefault="005009ED" w:rsidP="005009ED">
          <w:pPr>
            <w:rPr>
              <w:lang w:val="en-US"/>
            </w:rPr>
          </w:pPr>
          <w:r>
            <w:rPr>
              <w:lang w:val="en-US"/>
            </w:rPr>
            <w:t xml:space="preserve">The current framework under </w:t>
          </w:r>
          <w:r w:rsidRPr="00F2376B">
            <w:rPr>
              <w:lang w:val="en-US"/>
            </w:rPr>
            <w:t xml:space="preserve">the </w:t>
          </w:r>
          <w:r>
            <w:rPr>
              <w:i/>
              <w:iCs/>
              <w:lang w:val="en-US"/>
            </w:rPr>
            <w:t>DCA</w:t>
          </w:r>
          <w:r w:rsidRPr="00F2376B">
            <w:rPr>
              <w:lang w:val="en-US"/>
            </w:rPr>
            <w:t xml:space="preserve"> restricts developers from applying </w:t>
          </w:r>
          <w:r>
            <w:rPr>
              <w:lang w:val="en-US"/>
            </w:rPr>
            <w:t>Development Charge (</w:t>
          </w:r>
          <w:r w:rsidRPr="00F2376B">
            <w:rPr>
              <w:lang w:val="en-US"/>
            </w:rPr>
            <w:t>DC</w:t>
          </w:r>
          <w:r>
            <w:rPr>
              <w:lang w:val="en-US"/>
            </w:rPr>
            <w:t>)</w:t>
          </w:r>
          <w:r w:rsidRPr="00F2376B">
            <w:rPr>
              <w:lang w:val="en-US"/>
            </w:rPr>
            <w:t xml:space="preserve"> credits across different service categories</w:t>
          </w:r>
          <w:r w:rsidRPr="000403D5">
            <w:rPr>
              <w:lang w:val="en-US"/>
            </w:rPr>
            <w:t xml:space="preserve"> (</w:t>
          </w:r>
          <w:r w:rsidRPr="004B7954">
            <w:rPr>
              <w:lang w:val="en-US"/>
            </w:rPr>
            <w:t>e.g., receiving credits from the Public Works DC reserve for road works).</w:t>
          </w:r>
          <w:r w:rsidRPr="00CF70C3">
            <w:rPr>
              <w:lang w:val="en-US"/>
            </w:rPr>
            <w:t xml:space="preserve"> </w:t>
          </w:r>
          <w:r>
            <w:rPr>
              <w:lang w:val="en-US"/>
            </w:rPr>
            <w:t>The</w:t>
          </w:r>
          <w:r w:rsidRPr="00CF70C3">
            <w:rPr>
              <w:lang w:val="en-US"/>
            </w:rPr>
            <w:t xml:space="preserve"> proposed legislative amendment would grant the province regulation-making authority to merge related service categories for DC credit purposes. This change would enable developers to utilize credits across broader categories </w:t>
          </w:r>
          <w:r w:rsidRPr="004B7954">
            <w:rPr>
              <w:lang w:val="en-US"/>
            </w:rPr>
            <w:t>and receive credits quicker.</w:t>
          </w:r>
        </w:p>
        <w:p w14:paraId="7D070BAF" w14:textId="77777777" w:rsidR="005009ED" w:rsidRDefault="005009ED" w:rsidP="005009ED">
          <w:pPr>
            <w:pStyle w:val="ListParagraph"/>
            <w:numPr>
              <w:ilvl w:val="0"/>
              <w:numId w:val="19"/>
            </w:numPr>
          </w:pPr>
          <w:r w:rsidRPr="007A5928">
            <w:t xml:space="preserve">The current framework under the DCA </w:t>
          </w:r>
          <w:r w:rsidRPr="004B7954">
            <w:t>ensures</w:t>
          </w:r>
          <w:r w:rsidRPr="007A5928">
            <w:t xml:space="preserve"> that credits are applied </w:t>
          </w:r>
          <w:r>
            <w:t>only</w:t>
          </w:r>
          <w:r w:rsidRPr="007A5928">
            <w:t xml:space="preserve"> to the specific service categories for which they were collected. </w:t>
          </w:r>
          <w:r>
            <w:t>Allowing</w:t>
          </w:r>
          <w:r w:rsidRPr="00BD679C">
            <w:t xml:space="preserve"> credits to be applied across broader service categories could create administrative challenges and lead to funding misalignment, potentially </w:t>
          </w:r>
          <w:r>
            <w:t xml:space="preserve">limiting </w:t>
          </w:r>
          <w:r w:rsidRPr="00BD679C">
            <w:t xml:space="preserve">the Town’s ability to effectively manage reserves and plan for the timely delivery of critical </w:t>
          </w:r>
          <w:r>
            <w:t xml:space="preserve">growth-related </w:t>
          </w:r>
          <w:r w:rsidRPr="00BD679C">
            <w:t>infrastructure.</w:t>
          </w:r>
        </w:p>
        <w:p w14:paraId="5D8F9BBA" w14:textId="77777777" w:rsidR="005009ED" w:rsidRDefault="005009ED" w:rsidP="005009ED">
          <w:pPr>
            <w:pStyle w:val="ListParagraph"/>
            <w:numPr>
              <w:ilvl w:val="0"/>
              <w:numId w:val="19"/>
            </w:numPr>
          </w:pPr>
          <w:r>
            <w:t xml:space="preserve">It is unclear how this proposed change would apply to existing credit obligations. Retroactive application could significantly impact municipal reserve fund balances and planned capital programs. Further clarification is needed to assess the full financial implications for </w:t>
          </w:r>
          <w:r w:rsidRPr="004B7954">
            <w:t>the Town.</w:t>
          </w:r>
        </w:p>
        <w:p w14:paraId="6D8A6D2C" w14:textId="77777777" w:rsidR="0030618E" w:rsidRPr="00931F0E" w:rsidRDefault="0030618E" w:rsidP="0030618E">
          <w:pPr>
            <w:pStyle w:val="NormalWeb"/>
            <w:rPr>
              <w:rFonts w:ascii="Arial" w:eastAsiaTheme="minorHAnsi" w:hAnsi="Arial" w:cstheme="minorBidi"/>
              <w:b/>
              <w:bCs/>
              <w:kern w:val="2"/>
              <w:szCs w:val="22"/>
              <w:lang w:eastAsia="en-US"/>
              <w14:ligatures w14:val="standardContextual"/>
            </w:rPr>
          </w:pPr>
          <w:r w:rsidRPr="004B7954">
            <w:rPr>
              <w:rFonts w:ascii="Arial" w:eastAsiaTheme="minorHAnsi" w:hAnsi="Arial" w:cstheme="minorBidi"/>
              <w:b/>
              <w:bCs/>
              <w:kern w:val="2"/>
              <w:szCs w:val="22"/>
              <w:lang w:eastAsia="en-US"/>
              <w14:ligatures w14:val="standardContextual"/>
            </w:rPr>
            <w:t>Defin</w:t>
          </w:r>
          <w:r>
            <w:rPr>
              <w:rFonts w:ascii="Arial" w:eastAsiaTheme="minorHAnsi" w:hAnsi="Arial" w:cstheme="minorBidi"/>
              <w:b/>
              <w:bCs/>
              <w:kern w:val="2"/>
              <w:szCs w:val="22"/>
              <w:lang w:eastAsia="en-US"/>
              <w14:ligatures w14:val="standardContextual"/>
            </w:rPr>
            <w:t>ing</w:t>
          </w:r>
          <w:r w:rsidRPr="00931F0E">
            <w:rPr>
              <w:rFonts w:ascii="Arial" w:eastAsiaTheme="minorHAnsi" w:hAnsi="Arial" w:cstheme="minorBidi"/>
              <w:b/>
              <w:bCs/>
              <w:kern w:val="2"/>
              <w:szCs w:val="22"/>
              <w:lang w:eastAsia="en-US"/>
              <w14:ligatures w14:val="standardContextual"/>
            </w:rPr>
            <w:t xml:space="preserve"> a Local Service</w:t>
          </w:r>
          <w:r>
            <w:rPr>
              <w:rFonts w:ascii="Arial" w:eastAsiaTheme="minorHAnsi" w:hAnsi="Arial" w:cstheme="minorBidi"/>
              <w:b/>
              <w:bCs/>
              <w:kern w:val="2"/>
              <w:szCs w:val="22"/>
              <w:lang w:eastAsia="en-US"/>
              <w14:ligatures w14:val="standardContextual"/>
            </w:rPr>
            <w:t xml:space="preserve"> in the Regulations</w:t>
          </w:r>
        </w:p>
        <w:p w14:paraId="728B1FA7" w14:textId="1F7DCC2D" w:rsidR="0030618E" w:rsidRPr="00931F0E" w:rsidRDefault="0030618E" w:rsidP="0030618E">
          <w:pPr>
            <w:pStyle w:val="NormalWeb"/>
            <w:rPr>
              <w:rFonts w:ascii="Arial" w:eastAsiaTheme="minorEastAsia" w:hAnsi="Arial" w:cstheme="minorBidi"/>
              <w:kern w:val="2"/>
              <w:lang w:eastAsia="en-US"/>
              <w14:ligatures w14:val="standardContextual"/>
            </w:rPr>
          </w:pPr>
          <w:r w:rsidRPr="211EE1A9">
            <w:rPr>
              <w:rFonts w:ascii="Arial" w:eastAsiaTheme="minorEastAsia" w:hAnsi="Arial" w:cstheme="minorBidi"/>
              <w:kern w:val="2"/>
              <w:lang w:eastAsia="en-US"/>
              <w14:ligatures w14:val="standardContextual"/>
            </w:rPr>
            <w:t xml:space="preserve">Local services are infrastructure that municipalities may require developers to construct and/or fund as a condition of a development approval. The DCA currently prohibits municipalities from recovering costs for local services through </w:t>
          </w:r>
          <w:proofErr w:type="gramStart"/>
          <w:r w:rsidR="16C98BC3" w:rsidRPr="211EE1A9">
            <w:rPr>
              <w:rFonts w:ascii="Arial" w:eastAsiaTheme="minorEastAsia" w:hAnsi="Arial" w:cstheme="minorBidi"/>
              <w:kern w:val="2"/>
              <w:lang w:eastAsia="en-US"/>
              <w14:ligatures w14:val="standardContextual"/>
            </w:rPr>
            <w:t>DC</w:t>
          </w:r>
          <w:r w:rsidR="14E5CA50" w:rsidRPr="211EE1A9">
            <w:rPr>
              <w:rFonts w:ascii="Arial" w:eastAsiaTheme="minorEastAsia" w:hAnsi="Arial" w:cstheme="minorBidi"/>
              <w:kern w:val="2"/>
              <w:lang w:eastAsia="en-US"/>
              <w14:ligatures w14:val="standardContextual"/>
            </w:rPr>
            <w:t>’</w:t>
          </w:r>
          <w:r w:rsidR="16C98BC3" w:rsidRPr="211EE1A9">
            <w:rPr>
              <w:rFonts w:ascii="Arial" w:eastAsiaTheme="minorEastAsia" w:hAnsi="Arial" w:cstheme="minorBidi"/>
              <w:kern w:val="2"/>
              <w:lang w:eastAsia="en-US"/>
              <w14:ligatures w14:val="standardContextual"/>
            </w:rPr>
            <w:t>s</w:t>
          </w:r>
          <w:r w:rsidRPr="211EE1A9">
            <w:rPr>
              <w:rFonts w:ascii="Arial" w:eastAsiaTheme="minorEastAsia" w:hAnsi="Arial" w:cstheme="minorBidi"/>
              <w:kern w:val="2"/>
              <w:lang w:eastAsia="en-US"/>
              <w14:ligatures w14:val="standardContextual"/>
            </w:rPr>
            <w:t>, but</w:t>
          </w:r>
          <w:proofErr w:type="gramEnd"/>
          <w:r w:rsidRPr="211EE1A9">
            <w:rPr>
              <w:rFonts w:ascii="Arial" w:eastAsiaTheme="minorEastAsia" w:hAnsi="Arial" w:cstheme="minorBidi"/>
              <w:kern w:val="2"/>
              <w:lang w:eastAsia="en-US"/>
              <w14:ligatures w14:val="standardContextual"/>
            </w:rPr>
            <w:t xml:space="preserve"> lacks a clear definition of what constitutes a "local service". In some cases, disputes have occurred between municipalities and developers over cost responsibilities, delaying development approvals in some cases. The proposed amendment would grant the province regulation-making authority to define and standardize local services for all municipalities.</w:t>
          </w:r>
        </w:p>
        <w:p w14:paraId="5E4A2E72" w14:textId="77777777" w:rsidR="0030618E" w:rsidRDefault="0030618E" w:rsidP="0030618E">
          <w:pPr>
            <w:pStyle w:val="ListParagraph"/>
            <w:numPr>
              <w:ilvl w:val="0"/>
              <w:numId w:val="19"/>
            </w:numPr>
            <w:spacing w:before="100" w:beforeAutospacing="1" w:after="100" w:afterAutospacing="1" w:line="240" w:lineRule="auto"/>
          </w:pPr>
          <w:r w:rsidRPr="004B7954">
            <w:t xml:space="preserve">A </w:t>
          </w:r>
          <w:r w:rsidRPr="004C1BD6">
            <w:t xml:space="preserve">provincially imposed definition may limit </w:t>
          </w:r>
          <w:r w:rsidRPr="004B7954">
            <w:t>the Town’s ability to determine</w:t>
          </w:r>
          <w:r w:rsidRPr="004C1BD6">
            <w:t xml:space="preserve"> servicing needs based on local context. Municipalities are better positioned to assess infrastructure requirements and </w:t>
          </w:r>
          <w:r w:rsidRPr="004B7954">
            <w:t xml:space="preserve">determine </w:t>
          </w:r>
          <w:r w:rsidRPr="004C1BD6">
            <w:t xml:space="preserve">equitable cost-sharing with developers. </w:t>
          </w:r>
          <w:r w:rsidRPr="004B7954">
            <w:t xml:space="preserve">Restricting </w:t>
          </w:r>
          <w:r w:rsidRPr="004C1BD6">
            <w:t xml:space="preserve">local services could shift costs from developers to </w:t>
          </w:r>
          <w:r w:rsidRPr="004B7954">
            <w:t>the Town</w:t>
          </w:r>
          <w:r w:rsidRPr="004C1BD6">
            <w:t>, placing additional strain on capital budgets and compromising infrastructure planning.</w:t>
          </w:r>
        </w:p>
        <w:p w14:paraId="055949E5" w14:textId="77777777" w:rsidR="009D3C52" w:rsidRPr="00961DAC" w:rsidRDefault="009D3C52" w:rsidP="009D3C52">
          <w:pPr>
            <w:spacing w:before="100" w:beforeAutospacing="1" w:after="100" w:afterAutospacing="1" w:line="240" w:lineRule="auto"/>
            <w:ind w:left="360"/>
          </w:pPr>
        </w:p>
        <w:p w14:paraId="1F874FBE" w14:textId="77777777" w:rsidR="000778B5" w:rsidRDefault="000778B5">
          <w:pPr>
            <w:rPr>
              <w:b/>
              <w:bCs/>
            </w:rPr>
          </w:pPr>
          <w:r>
            <w:rPr>
              <w:b/>
              <w:bCs/>
            </w:rPr>
            <w:br w:type="page"/>
          </w:r>
        </w:p>
        <w:p w14:paraId="1441D682" w14:textId="20C42334" w:rsidR="009B116B" w:rsidRDefault="009B116B" w:rsidP="009B116B">
          <w:pPr>
            <w:pStyle w:val="NormalWeb"/>
            <w:rPr>
              <w:rFonts w:ascii="Arial" w:eastAsiaTheme="minorHAnsi" w:hAnsi="Arial" w:cstheme="minorBidi"/>
              <w:b/>
              <w:bCs/>
              <w:kern w:val="2"/>
              <w:szCs w:val="22"/>
              <w:lang w:eastAsia="en-US"/>
              <w14:ligatures w14:val="standardContextual"/>
            </w:rPr>
          </w:pPr>
          <w:r w:rsidRPr="00806D4A">
            <w:rPr>
              <w:rFonts w:ascii="Arial" w:eastAsiaTheme="minorHAnsi" w:hAnsi="Arial" w:cstheme="minorBidi"/>
              <w:b/>
              <w:bCs/>
              <w:kern w:val="2"/>
              <w:szCs w:val="22"/>
              <w:lang w:eastAsia="en-US"/>
              <w14:ligatures w14:val="standardContextual"/>
            </w:rPr>
            <w:lastRenderedPageBreak/>
            <w:t>Defer</w:t>
          </w:r>
          <w:r>
            <w:rPr>
              <w:rFonts w:ascii="Arial" w:eastAsiaTheme="minorHAnsi" w:hAnsi="Arial" w:cstheme="minorBidi"/>
              <w:b/>
              <w:bCs/>
              <w:kern w:val="2"/>
              <w:szCs w:val="22"/>
              <w:lang w:eastAsia="en-US"/>
              <w14:ligatures w14:val="standardContextual"/>
            </w:rPr>
            <w:t xml:space="preserve">ral of DC </w:t>
          </w:r>
          <w:r w:rsidRPr="00806D4A">
            <w:rPr>
              <w:rFonts w:ascii="Arial" w:eastAsiaTheme="minorHAnsi" w:hAnsi="Arial" w:cstheme="minorBidi"/>
              <w:b/>
              <w:bCs/>
              <w:kern w:val="2"/>
              <w:szCs w:val="22"/>
              <w:lang w:eastAsia="en-US"/>
              <w14:ligatures w14:val="standardContextual"/>
            </w:rPr>
            <w:t>Payment for All Residential Developments</w:t>
          </w:r>
          <w:r>
            <w:rPr>
              <w:rFonts w:ascii="Arial" w:eastAsiaTheme="minorHAnsi" w:hAnsi="Arial" w:cstheme="minorBidi"/>
              <w:b/>
              <w:bCs/>
              <w:kern w:val="2"/>
              <w:szCs w:val="22"/>
              <w:lang w:eastAsia="en-US"/>
              <w14:ligatures w14:val="standardContextual"/>
            </w:rPr>
            <w:t xml:space="preserve"> to Occupancy </w:t>
          </w:r>
        </w:p>
        <w:p w14:paraId="3CCF062E" w14:textId="77777777" w:rsidR="009B116B" w:rsidRDefault="009B116B" w:rsidP="009B116B">
          <w:pPr>
            <w:pStyle w:val="NormalWeb"/>
            <w:rPr>
              <w:rFonts w:ascii="Arial" w:eastAsiaTheme="minorHAnsi" w:hAnsi="Arial" w:cstheme="minorBidi"/>
              <w:kern w:val="2"/>
              <w:szCs w:val="22"/>
              <w:lang w:eastAsia="en-US"/>
              <w14:ligatures w14:val="standardContextual"/>
            </w:rPr>
          </w:pPr>
          <w:r w:rsidRPr="00F4403E">
            <w:rPr>
              <w:rFonts w:ascii="Arial" w:eastAsiaTheme="minorHAnsi" w:hAnsi="Arial" w:cstheme="minorBidi"/>
              <w:kern w:val="2"/>
              <w:szCs w:val="22"/>
              <w:lang w:eastAsia="en-US"/>
              <w14:ligatures w14:val="standardContextual"/>
            </w:rPr>
            <w:t xml:space="preserve">Under the </w:t>
          </w:r>
          <w:r w:rsidRPr="000B2680">
            <w:rPr>
              <w:rFonts w:ascii="Arial" w:eastAsiaTheme="minorHAnsi" w:hAnsi="Arial" w:cstheme="minorBidi"/>
              <w:kern w:val="2"/>
              <w:szCs w:val="22"/>
              <w:lang w:eastAsia="en-US"/>
              <w14:ligatures w14:val="standardContextual"/>
            </w:rPr>
            <w:t>DCA,</w:t>
          </w:r>
          <w:r w:rsidRPr="00F4403E">
            <w:rPr>
              <w:rFonts w:ascii="Arial" w:eastAsiaTheme="minorHAnsi" w:hAnsi="Arial" w:cstheme="minorBidi"/>
              <w:kern w:val="2"/>
              <w:szCs w:val="22"/>
              <w:lang w:eastAsia="en-US"/>
              <w14:ligatures w14:val="standardContextual"/>
            </w:rPr>
            <w:t xml:space="preserve"> only rental housing and institutional developments are </w:t>
          </w:r>
          <w:r>
            <w:rPr>
              <w:rFonts w:ascii="Arial" w:eastAsiaTheme="minorHAnsi" w:hAnsi="Arial" w:cstheme="minorBidi"/>
              <w:kern w:val="2"/>
              <w:szCs w:val="22"/>
              <w:lang w:eastAsia="en-US"/>
              <w14:ligatures w14:val="standardContextual"/>
            </w:rPr>
            <w:t>granted</w:t>
          </w:r>
          <w:r w:rsidRPr="00F4403E">
            <w:rPr>
              <w:rFonts w:ascii="Arial" w:eastAsiaTheme="minorHAnsi" w:hAnsi="Arial" w:cstheme="minorBidi"/>
              <w:kern w:val="2"/>
              <w:szCs w:val="22"/>
              <w:lang w:eastAsia="en-US"/>
              <w14:ligatures w14:val="standardContextual"/>
            </w:rPr>
            <w:t xml:space="preserve"> a mandatory deferral of </w:t>
          </w:r>
          <w:r>
            <w:rPr>
              <w:rFonts w:ascii="Arial" w:eastAsiaTheme="minorHAnsi" w:hAnsi="Arial" w:cstheme="minorBidi"/>
              <w:kern w:val="2"/>
              <w:szCs w:val="22"/>
              <w:lang w:eastAsia="en-US"/>
              <w14:ligatures w14:val="standardContextual"/>
            </w:rPr>
            <w:t>DC collection</w:t>
          </w:r>
          <w:r w:rsidRPr="00F4403E">
            <w:rPr>
              <w:rFonts w:ascii="Arial" w:eastAsiaTheme="minorHAnsi" w:hAnsi="Arial" w:cstheme="minorBidi"/>
              <w:kern w:val="2"/>
              <w:szCs w:val="22"/>
              <w:lang w:eastAsia="en-US"/>
              <w14:ligatures w14:val="standardContextual"/>
            </w:rPr>
            <w:t xml:space="preserve"> until</w:t>
          </w:r>
          <w:r>
            <w:rPr>
              <w:rFonts w:ascii="Arial" w:eastAsiaTheme="minorHAnsi" w:hAnsi="Arial" w:cstheme="minorBidi"/>
              <w:kern w:val="2"/>
              <w:szCs w:val="22"/>
              <w:lang w:eastAsia="en-US"/>
              <w14:ligatures w14:val="standardContextual"/>
            </w:rPr>
            <w:t xml:space="preserve"> the issuance of</w:t>
          </w:r>
          <w:r w:rsidRPr="00F4403E">
            <w:rPr>
              <w:rFonts w:ascii="Arial" w:eastAsiaTheme="minorHAnsi" w:hAnsi="Arial" w:cstheme="minorBidi"/>
              <w:kern w:val="2"/>
              <w:szCs w:val="22"/>
              <w:lang w:eastAsia="en-US"/>
              <w14:ligatures w14:val="standardContextual"/>
            </w:rPr>
            <w:t xml:space="preserve"> </w:t>
          </w:r>
          <w:r>
            <w:rPr>
              <w:rFonts w:ascii="Arial" w:eastAsiaTheme="minorHAnsi" w:hAnsi="Arial" w:cstheme="minorBidi"/>
              <w:kern w:val="2"/>
              <w:szCs w:val="22"/>
              <w:lang w:eastAsia="en-US"/>
              <w14:ligatures w14:val="standardContextual"/>
            </w:rPr>
            <w:t xml:space="preserve">an </w:t>
          </w:r>
          <w:r w:rsidRPr="00F4403E">
            <w:rPr>
              <w:rFonts w:ascii="Arial" w:eastAsiaTheme="minorHAnsi" w:hAnsi="Arial" w:cstheme="minorBidi"/>
              <w:kern w:val="2"/>
              <w:szCs w:val="22"/>
              <w:lang w:eastAsia="en-US"/>
              <w14:ligatures w14:val="standardContextual"/>
            </w:rPr>
            <w:t>occupancy</w:t>
          </w:r>
          <w:r>
            <w:rPr>
              <w:rFonts w:ascii="Arial" w:eastAsiaTheme="minorHAnsi" w:hAnsi="Arial" w:cstheme="minorBidi"/>
              <w:kern w:val="2"/>
              <w:szCs w:val="22"/>
              <w:lang w:eastAsia="en-US"/>
              <w14:ligatures w14:val="standardContextual"/>
            </w:rPr>
            <w:t xml:space="preserve"> permit</w:t>
          </w:r>
          <w:r w:rsidRPr="00F4403E">
            <w:rPr>
              <w:rFonts w:ascii="Arial" w:eastAsiaTheme="minorHAnsi" w:hAnsi="Arial" w:cstheme="minorBidi"/>
              <w:kern w:val="2"/>
              <w:szCs w:val="22"/>
              <w:lang w:eastAsia="en-US"/>
              <w14:ligatures w14:val="standardContextual"/>
            </w:rPr>
            <w:t>.</w:t>
          </w:r>
          <w:r>
            <w:rPr>
              <w:rFonts w:ascii="Arial" w:eastAsiaTheme="minorHAnsi" w:hAnsi="Arial" w:cstheme="minorBidi"/>
              <w:kern w:val="2"/>
              <w:szCs w:val="22"/>
              <w:lang w:eastAsia="en-US"/>
              <w14:ligatures w14:val="standardContextual"/>
            </w:rPr>
            <w:t xml:space="preserve"> DCs for other types of residential development are generally determined and paid at the time of building permit issuance.</w:t>
          </w:r>
          <w:r w:rsidRPr="00F4403E">
            <w:rPr>
              <w:rFonts w:ascii="Arial" w:eastAsiaTheme="minorHAnsi" w:hAnsi="Arial" w:cstheme="minorBidi"/>
              <w:kern w:val="2"/>
              <w:szCs w:val="22"/>
              <w:lang w:eastAsia="en-US"/>
              <w14:ligatures w14:val="standardContextual"/>
            </w:rPr>
            <w:t xml:space="preserve"> The proposed change would allow all residential developments to </w:t>
          </w:r>
          <w:r>
            <w:rPr>
              <w:rFonts w:ascii="Arial" w:eastAsiaTheme="minorHAnsi" w:hAnsi="Arial" w:cstheme="minorBidi"/>
              <w:kern w:val="2"/>
              <w:szCs w:val="22"/>
              <w:lang w:eastAsia="en-US"/>
              <w14:ligatures w14:val="standardContextual"/>
            </w:rPr>
            <w:t>defer payment to the occupancy stage</w:t>
          </w:r>
          <w:r w:rsidRPr="004B7954">
            <w:rPr>
              <w:rFonts w:ascii="Arial" w:eastAsiaTheme="minorHAnsi" w:hAnsi="Arial" w:cstheme="minorBidi"/>
              <w:kern w:val="2"/>
              <w:szCs w:val="22"/>
              <w:lang w:eastAsia="en-US"/>
              <w14:ligatures w14:val="standardContextual"/>
            </w:rPr>
            <w:t>, helping with developers’ cash flow.</w:t>
          </w:r>
          <w:r>
            <w:rPr>
              <w:rFonts w:ascii="Arial" w:eastAsiaTheme="minorHAnsi" w:hAnsi="Arial" w:cstheme="minorBidi"/>
              <w:kern w:val="2"/>
              <w:szCs w:val="22"/>
              <w:lang w:eastAsia="en-US"/>
              <w14:ligatures w14:val="standardContextual"/>
            </w:rPr>
            <w:t xml:space="preserve"> </w:t>
          </w:r>
          <w:r w:rsidRPr="00F4403E">
            <w:rPr>
              <w:rFonts w:ascii="Arial" w:eastAsiaTheme="minorHAnsi" w:hAnsi="Arial" w:cstheme="minorBidi"/>
              <w:kern w:val="2"/>
              <w:szCs w:val="22"/>
              <w:lang w:eastAsia="en-US"/>
              <w14:ligatures w14:val="standardContextual"/>
            </w:rPr>
            <w:t>The proposal also removes the ability for municipalities to charge interest on deferred payments for residential developments.</w:t>
          </w:r>
        </w:p>
        <w:p w14:paraId="6D2CDB17" w14:textId="77777777" w:rsidR="009B116B" w:rsidRDefault="009B116B" w:rsidP="009B116B">
          <w:pPr>
            <w:pStyle w:val="ListParagraph"/>
            <w:numPr>
              <w:ilvl w:val="0"/>
              <w:numId w:val="19"/>
            </w:numPr>
            <w:spacing w:before="100" w:beforeAutospacing="1" w:after="100" w:afterAutospacing="1" w:line="240" w:lineRule="auto"/>
            <w:rPr>
              <w:lang w:val="en-US"/>
            </w:rPr>
          </w:pPr>
          <w:r w:rsidRPr="00582BFB">
            <w:rPr>
              <w:lang w:val="en-US"/>
            </w:rPr>
            <w:t xml:space="preserve">Not all developments receive occupancy permits, as occupancy permits are only issued for new residential dwelling units. </w:t>
          </w:r>
          <w:r w:rsidRPr="004B7954">
            <w:rPr>
              <w:lang w:val="en-US"/>
            </w:rPr>
            <w:t xml:space="preserve">With the time between building permit issuance and occupancy permits potentially extending from months to years, </w:t>
          </w:r>
          <w:r w:rsidRPr="004B7954">
            <w:t>the collection of critical funding for municipalities would be delayed</w:t>
          </w:r>
          <w:r w:rsidRPr="004B7954">
            <w:rPr>
              <w:lang w:val="en-US"/>
            </w:rPr>
            <w:t xml:space="preserve">, </w:t>
          </w:r>
          <w:r w:rsidRPr="00582BFB">
            <w:rPr>
              <w:lang w:val="en-US"/>
            </w:rPr>
            <w:t xml:space="preserve">shifting the financial burden </w:t>
          </w:r>
          <w:r w:rsidRPr="004B7954">
            <w:rPr>
              <w:lang w:val="en-US"/>
            </w:rPr>
            <w:t xml:space="preserve">of growth </w:t>
          </w:r>
          <w:r w:rsidRPr="00582BFB">
            <w:rPr>
              <w:lang w:val="en-US"/>
            </w:rPr>
            <w:t xml:space="preserve">to municipalities. </w:t>
          </w:r>
          <w:r>
            <w:rPr>
              <w:lang w:val="en-US"/>
            </w:rPr>
            <w:t>Clarity is also needed regarding whether the first occupancy will trigger payment of all DCs in the development.</w:t>
          </w:r>
        </w:p>
        <w:p w14:paraId="6DD89405" w14:textId="368079CF" w:rsidR="66AB705F" w:rsidRPr="000778B5" w:rsidRDefault="009B116B" w:rsidP="000778B5">
          <w:pPr>
            <w:pStyle w:val="ListParagraph"/>
            <w:numPr>
              <w:ilvl w:val="0"/>
              <w:numId w:val="19"/>
            </w:numPr>
            <w:spacing w:before="100" w:beforeAutospacing="1" w:after="100" w:afterAutospacing="1" w:line="240" w:lineRule="auto"/>
            <w:rPr>
              <w:rFonts w:eastAsiaTheme="minorEastAsia"/>
              <w:b/>
              <w:bCs/>
            </w:rPr>
          </w:pPr>
          <w:r>
            <w:rPr>
              <w:lang w:val="en-US"/>
            </w:rPr>
            <w:t>T</w:t>
          </w:r>
          <w:r w:rsidRPr="00582BFB">
            <w:rPr>
              <w:lang w:val="en-US"/>
            </w:rPr>
            <w:t xml:space="preserve">he removal of interest charges on deferred payments further limits municipal revenue, which could impact the funding of necessary infrastructure. </w:t>
          </w:r>
        </w:p>
        <w:p w14:paraId="7C60AC01" w14:textId="77777777" w:rsidR="005D3881" w:rsidRPr="008B14FB" w:rsidRDefault="005D3881" w:rsidP="005D3881">
          <w:pPr>
            <w:pStyle w:val="NormalWeb"/>
            <w:rPr>
              <w:rFonts w:ascii="Arial" w:eastAsiaTheme="minorEastAsia" w:hAnsi="Arial" w:cstheme="minorBidi"/>
              <w:b/>
              <w:kern w:val="2"/>
              <w:lang w:eastAsia="en-US"/>
              <w14:ligatures w14:val="standardContextual"/>
            </w:rPr>
          </w:pPr>
          <w:r w:rsidRPr="66AB705F">
            <w:rPr>
              <w:rFonts w:ascii="Arial" w:eastAsiaTheme="minorEastAsia" w:hAnsi="Arial" w:cstheme="minorBidi"/>
              <w:b/>
              <w:kern w:val="2"/>
              <w:lang w:eastAsia="en-US"/>
              <w14:ligatures w14:val="standardContextual"/>
            </w:rPr>
            <w:t>Prescribe Limits on Recoverable Capital Costs</w:t>
          </w:r>
        </w:p>
        <w:p w14:paraId="23B38C8A" w14:textId="77777777" w:rsidR="005D3881" w:rsidRDefault="005D3881" w:rsidP="005D3881">
          <w:pPr>
            <w:pStyle w:val="NormalWeb"/>
            <w:rPr>
              <w:rFonts w:ascii="Arial" w:eastAsiaTheme="minorHAnsi" w:hAnsi="Arial" w:cstheme="minorBidi"/>
              <w:kern w:val="2"/>
              <w:szCs w:val="22"/>
              <w:lang w:eastAsia="en-US"/>
              <w14:ligatures w14:val="standardContextual"/>
            </w:rPr>
          </w:pPr>
          <w:r w:rsidRPr="008B14FB">
            <w:rPr>
              <w:rFonts w:ascii="Arial" w:eastAsiaTheme="minorHAnsi" w:hAnsi="Arial" w:cstheme="minorBidi"/>
              <w:kern w:val="2"/>
              <w:szCs w:val="22"/>
              <w:lang w:eastAsia="en-US"/>
              <w14:ligatures w14:val="standardContextual"/>
            </w:rPr>
            <w:t xml:space="preserve">The </w:t>
          </w:r>
          <w:r w:rsidRPr="00355179">
            <w:rPr>
              <w:rFonts w:ascii="Arial" w:eastAsiaTheme="minorHAnsi" w:hAnsi="Arial" w:cstheme="minorBidi"/>
              <w:kern w:val="2"/>
              <w:szCs w:val="22"/>
              <w:lang w:eastAsia="en-US"/>
              <w14:ligatures w14:val="standardContextual"/>
            </w:rPr>
            <w:t>DCA</w:t>
          </w:r>
          <w:r w:rsidRPr="008B14FB">
            <w:rPr>
              <w:rFonts w:ascii="Arial" w:eastAsiaTheme="minorHAnsi" w:hAnsi="Arial" w:cstheme="minorBidi"/>
              <w:kern w:val="2"/>
              <w:szCs w:val="22"/>
              <w:lang w:eastAsia="en-US"/>
              <w14:ligatures w14:val="standardContextual"/>
            </w:rPr>
            <w:t xml:space="preserve"> currently outlines eligible capital costs recoverable through DCs, including land, buildings, and equipment. While existing regulation-making authority allows the province to prescribe when land is ineligible, a proposed amendment would expand this authority to allow the province to set limits and exceptions on </w:t>
          </w:r>
          <w:r w:rsidRPr="004B7954">
            <w:rPr>
              <w:rFonts w:ascii="Arial" w:eastAsiaTheme="minorHAnsi" w:hAnsi="Arial" w:cstheme="minorBidi"/>
              <w:kern w:val="2"/>
              <w:szCs w:val="22"/>
              <w:lang w:eastAsia="en-US"/>
              <w14:ligatures w14:val="standardContextual"/>
            </w:rPr>
            <w:t xml:space="preserve">any </w:t>
          </w:r>
          <w:r w:rsidRPr="008B14FB">
            <w:rPr>
              <w:rFonts w:ascii="Arial" w:eastAsiaTheme="minorHAnsi" w:hAnsi="Arial" w:cstheme="minorBidi"/>
              <w:kern w:val="2"/>
              <w:szCs w:val="22"/>
              <w:lang w:eastAsia="en-US"/>
              <w14:ligatures w14:val="standardContextual"/>
            </w:rPr>
            <w:t>recoverable capital costs, including land. The intent is to enhance predictability and consistency in DC calculations across municipalities and services, addressing concerns that inflated land cost estimates can drive up DC rates.</w:t>
          </w:r>
        </w:p>
        <w:p w14:paraId="1A5824F5" w14:textId="0165D3BF" w:rsidR="66AB705F" w:rsidRPr="000778B5" w:rsidRDefault="005D3881" w:rsidP="66AB705F">
          <w:pPr>
            <w:pStyle w:val="ListParagraph"/>
            <w:numPr>
              <w:ilvl w:val="0"/>
              <w:numId w:val="19"/>
            </w:numPr>
            <w:spacing w:before="100" w:beforeAutospacing="1" w:after="100" w:afterAutospacing="1" w:line="240" w:lineRule="auto"/>
          </w:pPr>
          <w:r w:rsidRPr="003859E6">
            <w:rPr>
              <w:lang w:val="en-US"/>
            </w:rPr>
            <w:t xml:space="preserve">Limiting recoverable capital costs through regulation </w:t>
          </w:r>
          <w:r w:rsidRPr="004B7954">
            <w:rPr>
              <w:lang w:val="en-US"/>
            </w:rPr>
            <w:t>w</w:t>
          </w:r>
          <w:r w:rsidRPr="003859E6">
            <w:rPr>
              <w:lang w:val="en-US"/>
            </w:rPr>
            <w:t xml:space="preserve">ould reduce </w:t>
          </w:r>
          <w:r w:rsidRPr="004B7954">
            <w:rPr>
              <w:lang w:val="en-US"/>
            </w:rPr>
            <w:t>the Town’s</w:t>
          </w:r>
          <w:r w:rsidRPr="003859E6">
            <w:rPr>
              <w:lang w:val="en-US"/>
            </w:rPr>
            <w:t xml:space="preserve"> ability to fund growth-related </w:t>
          </w:r>
          <w:r>
            <w:rPr>
              <w:lang w:val="en-US"/>
            </w:rPr>
            <w:t>servicing costs</w:t>
          </w:r>
          <w:r w:rsidRPr="003859E6">
            <w:rPr>
              <w:lang w:val="en-US"/>
            </w:rPr>
            <w:t xml:space="preserve">. </w:t>
          </w:r>
          <w:r w:rsidRPr="004B7954">
            <w:rPr>
              <w:lang w:val="en-US"/>
            </w:rPr>
            <w:t>Reflecting</w:t>
          </w:r>
          <w:r w:rsidRPr="003859E6">
            <w:rPr>
              <w:lang w:val="en-US"/>
            </w:rPr>
            <w:t xml:space="preserve"> actual local land values in DC background studies is essential for accurate </w:t>
          </w:r>
          <w:r w:rsidRPr="004B7954">
            <w:rPr>
              <w:lang w:val="en-US"/>
            </w:rPr>
            <w:t xml:space="preserve">growth-related </w:t>
          </w:r>
          <w:r w:rsidRPr="003859E6">
            <w:rPr>
              <w:lang w:val="en-US"/>
            </w:rPr>
            <w:t>cost recovery. Prescribed limits may result in funding gaps</w:t>
          </w:r>
          <w:r w:rsidRPr="004B7954">
            <w:rPr>
              <w:lang w:val="en-US"/>
            </w:rPr>
            <w:t xml:space="preserve">. Any gap </w:t>
          </w:r>
          <w:bookmarkStart w:id="0" w:name="_Hlk198795655"/>
          <w:r w:rsidRPr="004B7954">
            <w:rPr>
              <w:lang w:val="en-US"/>
            </w:rPr>
            <w:t>must be funded from non-DC sources, i.e., tax levy and</w:t>
          </w:r>
          <w:r w:rsidR="009D3C52">
            <w:rPr>
              <w:lang w:val="en-US"/>
            </w:rPr>
            <w:t>/</w:t>
          </w:r>
          <w:r w:rsidRPr="004B7954">
            <w:rPr>
              <w:lang w:val="en-US"/>
            </w:rPr>
            <w:t>or user rates</w:t>
          </w:r>
          <w:bookmarkEnd w:id="0"/>
          <w:r>
            <w:rPr>
              <w:lang w:val="en-US"/>
            </w:rPr>
            <w:t>.</w:t>
          </w:r>
          <w:r w:rsidRPr="004B7954">
            <w:rPr>
              <w:lang w:val="en-US"/>
            </w:rPr>
            <w:t xml:space="preserve"> </w:t>
          </w:r>
          <w:r>
            <w:rPr>
              <w:lang w:val="en-US"/>
            </w:rPr>
            <w:t xml:space="preserve">This </w:t>
          </w:r>
          <w:r w:rsidRPr="004B7954">
            <w:rPr>
              <w:lang w:val="en-US"/>
            </w:rPr>
            <w:t>could</w:t>
          </w:r>
          <w:r w:rsidRPr="003F7D31">
            <w:rPr>
              <w:lang w:val="en-US"/>
            </w:rPr>
            <w:t xml:space="preserve"> </w:t>
          </w:r>
          <w:r>
            <w:rPr>
              <w:lang w:val="en-US"/>
            </w:rPr>
            <w:t>shift growth-related costs to existing development</w:t>
          </w:r>
          <w:r w:rsidRPr="003F7D31">
            <w:rPr>
              <w:lang w:val="en-US"/>
            </w:rPr>
            <w:t xml:space="preserve"> </w:t>
          </w:r>
          <w:r>
            <w:rPr>
              <w:lang w:val="en-US"/>
            </w:rPr>
            <w:t xml:space="preserve">and </w:t>
          </w:r>
          <w:r w:rsidRPr="004B7954">
            <w:rPr>
              <w:lang w:val="en-US"/>
            </w:rPr>
            <w:t>constrain the Town’s capacity to deliver required services as growth occurs</w:t>
          </w:r>
          <w:r>
            <w:rPr>
              <w:lang w:val="en-US"/>
            </w:rPr>
            <w:t>.</w:t>
          </w:r>
        </w:p>
        <w:p w14:paraId="791D52A4" w14:textId="77777777" w:rsidR="00D263E1" w:rsidRPr="009F7669" w:rsidRDefault="00D263E1" w:rsidP="00D263E1">
          <w:pPr>
            <w:pStyle w:val="NormalWeb"/>
            <w:rPr>
              <w:rFonts w:ascii="Arial" w:eastAsiaTheme="minorEastAsia" w:hAnsi="Arial" w:cstheme="minorBidi"/>
              <w:b/>
              <w:kern w:val="2"/>
              <w:lang w:eastAsia="en-US"/>
              <w14:ligatures w14:val="standardContextual"/>
            </w:rPr>
          </w:pPr>
          <w:r w:rsidRPr="66AB705F">
            <w:rPr>
              <w:rFonts w:ascii="Arial" w:eastAsiaTheme="minorEastAsia" w:hAnsi="Arial" w:cstheme="minorBidi"/>
              <w:b/>
              <w:kern w:val="2"/>
              <w:lang w:eastAsia="en-US"/>
              <w14:ligatures w14:val="standardContextual"/>
            </w:rPr>
            <w:t>Enable Developments to Benefit from the Lowest Applicable DC Rate</w:t>
          </w:r>
        </w:p>
        <w:p w14:paraId="74F85310" w14:textId="77777777" w:rsidR="00D263E1" w:rsidRDefault="00D263E1" w:rsidP="00D263E1">
          <w:pPr>
            <w:pStyle w:val="NormalWeb"/>
            <w:rPr>
              <w:rFonts w:ascii="Arial" w:eastAsiaTheme="minorHAnsi" w:hAnsi="Arial" w:cstheme="minorBidi"/>
              <w:kern w:val="2"/>
              <w:szCs w:val="22"/>
              <w:lang w:eastAsia="en-US"/>
              <w14:ligatures w14:val="standardContextual"/>
            </w:rPr>
          </w:pPr>
          <w:r w:rsidRPr="009F7669">
            <w:rPr>
              <w:rFonts w:ascii="Arial" w:eastAsiaTheme="minorHAnsi" w:hAnsi="Arial" w:cstheme="minorBidi"/>
              <w:kern w:val="2"/>
              <w:szCs w:val="22"/>
              <w:lang w:eastAsia="en-US"/>
              <w14:ligatures w14:val="standardContextual"/>
            </w:rPr>
            <w:t xml:space="preserve">Currently, DC rates are frozen at the time of a site plan or zoning </w:t>
          </w:r>
          <w:r>
            <w:rPr>
              <w:rFonts w:ascii="Arial" w:eastAsiaTheme="minorHAnsi" w:hAnsi="Arial" w:cstheme="minorBidi"/>
              <w:kern w:val="2"/>
              <w:szCs w:val="22"/>
              <w:lang w:eastAsia="en-US"/>
              <w14:ligatures w14:val="standardContextual"/>
            </w:rPr>
            <w:t xml:space="preserve">by-law amendment </w:t>
          </w:r>
          <w:r w:rsidRPr="009F7669">
            <w:rPr>
              <w:rFonts w:ascii="Arial" w:eastAsiaTheme="minorHAnsi" w:hAnsi="Arial" w:cstheme="minorBidi"/>
              <w:kern w:val="2"/>
              <w:szCs w:val="22"/>
              <w:lang w:eastAsia="en-US"/>
              <w14:ligatures w14:val="standardContextual"/>
            </w:rPr>
            <w:t xml:space="preserve">application and remain in effect for 18 months, provided a building permit is issued within that period. If the permit is delayed, the </w:t>
          </w:r>
          <w:r>
            <w:rPr>
              <w:rFonts w:ascii="Arial" w:eastAsiaTheme="minorHAnsi" w:hAnsi="Arial" w:cstheme="minorBidi"/>
              <w:kern w:val="2"/>
              <w:szCs w:val="22"/>
              <w:lang w:eastAsia="en-US"/>
              <w14:ligatures w14:val="standardContextual"/>
            </w:rPr>
            <w:t xml:space="preserve">prevailing </w:t>
          </w:r>
          <w:r w:rsidRPr="009F7669">
            <w:rPr>
              <w:rFonts w:ascii="Arial" w:eastAsiaTheme="minorHAnsi" w:hAnsi="Arial" w:cstheme="minorBidi"/>
              <w:kern w:val="2"/>
              <w:szCs w:val="22"/>
              <w:lang w:eastAsia="en-US"/>
              <w14:ligatures w14:val="standardContextual"/>
            </w:rPr>
            <w:t xml:space="preserve">DC rate at the time of issuance applies—even if it is higher. Under the proposed change, developments would be eligible to pay the lower of the frozen rate or the prevailing rate at the time of payment, if </w:t>
          </w:r>
          <w:r w:rsidRPr="009F7669">
            <w:rPr>
              <w:rFonts w:ascii="Arial" w:eastAsiaTheme="minorHAnsi" w:hAnsi="Arial" w:cstheme="minorBidi"/>
              <w:kern w:val="2"/>
              <w:szCs w:val="22"/>
              <w:lang w:eastAsia="en-US"/>
              <w14:ligatures w14:val="standardContextual"/>
            </w:rPr>
            <w:lastRenderedPageBreak/>
            <w:t>reduced. This approach aims to enhance cost predictability and reduce financial pressure on developers.</w:t>
          </w:r>
        </w:p>
        <w:p w14:paraId="3D0A1ACB" w14:textId="07E9BDB7" w:rsidR="66AB705F" w:rsidRPr="000778B5" w:rsidRDefault="00D263E1" w:rsidP="66AB705F">
          <w:pPr>
            <w:pStyle w:val="ListParagraph"/>
            <w:numPr>
              <w:ilvl w:val="0"/>
              <w:numId w:val="19"/>
            </w:numPr>
            <w:spacing w:before="100" w:beforeAutospacing="1" w:after="100" w:afterAutospacing="1" w:line="240" w:lineRule="auto"/>
            <w:rPr>
              <w:lang w:val="en-US"/>
            </w:rPr>
          </w:pPr>
          <w:r w:rsidRPr="009F7669">
            <w:rPr>
              <w:lang w:val="en-US"/>
            </w:rPr>
            <w:t xml:space="preserve">This proposal aligns with current Town practice and supports fairness and transparency in DC administration. </w:t>
          </w:r>
        </w:p>
        <w:p w14:paraId="50F5B09D" w14:textId="77777777" w:rsidR="00D263E1" w:rsidRPr="00270934" w:rsidRDefault="00D263E1" w:rsidP="00D263E1">
          <w:pPr>
            <w:pStyle w:val="NormalWeb"/>
            <w:rPr>
              <w:rFonts w:ascii="Arial" w:eastAsiaTheme="minorEastAsia" w:hAnsi="Arial" w:cstheme="minorBidi"/>
              <w:b/>
              <w:kern w:val="2"/>
              <w:lang w:eastAsia="en-US"/>
              <w14:ligatures w14:val="standardContextual"/>
            </w:rPr>
          </w:pPr>
          <w:r w:rsidRPr="66AB705F">
            <w:rPr>
              <w:rFonts w:ascii="Arial" w:eastAsiaTheme="minorEastAsia" w:hAnsi="Arial" w:cstheme="minorBidi"/>
              <w:b/>
              <w:kern w:val="2"/>
              <w:lang w:eastAsia="en-US"/>
              <w14:ligatures w14:val="standardContextual"/>
            </w:rPr>
            <w:t>Exempt Long-Term Care Homes from Municipal DCs</w:t>
          </w:r>
        </w:p>
        <w:p w14:paraId="7C856374" w14:textId="375C5D73" w:rsidR="00D263E1" w:rsidRDefault="00D263E1" w:rsidP="00D263E1">
          <w:pPr>
            <w:pStyle w:val="NormalWeb"/>
            <w:rPr>
              <w:rFonts w:ascii="Arial" w:eastAsiaTheme="minorEastAsia" w:hAnsi="Arial" w:cstheme="minorBidi"/>
              <w:kern w:val="2"/>
              <w:lang w:eastAsia="en-US"/>
              <w14:ligatures w14:val="standardContextual"/>
            </w:rPr>
          </w:pPr>
          <w:r w:rsidRPr="211EE1A9">
            <w:rPr>
              <w:rFonts w:ascii="Arial" w:eastAsiaTheme="minorEastAsia" w:hAnsi="Arial" w:cstheme="minorBidi"/>
              <w:kern w:val="2"/>
              <w:lang w:eastAsia="en-US"/>
              <w14:ligatures w14:val="standardContextual"/>
            </w:rPr>
            <w:t>Currently, long-term care (LTC) homes benefit from a DC deferral structure, with payments made in six annual installments beginning at building occupancy. Interest may be charged on these deferred amounts. The proposed amendment would exempt LTC homes, both non-profit and for-profit, from municipal development charges entirely. This exemption aims to remove financial barriers, support increased LTC home construction, and help the province meet its commitment to deliver 58,000 new LTC beds by 2028.</w:t>
          </w:r>
        </w:p>
        <w:p w14:paraId="0A63EFE7" w14:textId="2A9926A7" w:rsidR="66AB705F" w:rsidRPr="000E775E" w:rsidRDefault="006D68BC" w:rsidP="66AB705F">
          <w:pPr>
            <w:pStyle w:val="NormalWeb"/>
            <w:numPr>
              <w:ilvl w:val="0"/>
              <w:numId w:val="19"/>
            </w:numPr>
            <w:rPr>
              <w:rFonts w:ascii="Arial" w:eastAsiaTheme="minorHAnsi" w:hAnsi="Arial" w:cstheme="minorBidi"/>
              <w:kern w:val="2"/>
              <w:szCs w:val="22"/>
              <w:lang w:eastAsia="en-US"/>
              <w14:ligatures w14:val="standardContextual"/>
            </w:rPr>
          </w:pPr>
          <w:r w:rsidRPr="66AB705F">
            <w:rPr>
              <w:rFonts w:ascii="Arial" w:eastAsiaTheme="minorEastAsia" w:hAnsi="Arial" w:cstheme="minorBidi"/>
              <w:kern w:val="2"/>
              <w:lang w:eastAsia="en-US"/>
              <w14:ligatures w14:val="standardContextual"/>
            </w:rPr>
            <w:t>The Town is supportive of increasing long-term care capacity to meet the needs of an aging population. However, the shortfall in DC collections from exempting LTC facilities must be funded from non-DC sources, i.e., tax levy and or user rates.</w:t>
          </w:r>
        </w:p>
        <w:p w14:paraId="32D95EE5" w14:textId="77777777" w:rsidR="0003164F" w:rsidRPr="006905E1" w:rsidRDefault="0003164F" w:rsidP="0003164F">
          <w:pPr>
            <w:pStyle w:val="NormalWeb"/>
            <w:rPr>
              <w:rFonts w:ascii="Arial" w:eastAsiaTheme="minorEastAsia" w:hAnsi="Arial" w:cstheme="minorBidi"/>
              <w:b/>
              <w:kern w:val="2"/>
              <w:lang w:eastAsia="en-US"/>
              <w14:ligatures w14:val="standardContextual"/>
            </w:rPr>
          </w:pPr>
          <w:r w:rsidRPr="66AB705F">
            <w:rPr>
              <w:rFonts w:ascii="Arial" w:eastAsiaTheme="minorEastAsia" w:hAnsi="Arial" w:cstheme="minorBidi"/>
              <w:b/>
              <w:kern w:val="2"/>
              <w:lang w:eastAsia="en-US"/>
              <w14:ligatures w14:val="standardContextual"/>
            </w:rPr>
            <w:t>Prescribe Methodologies for Calculating the Benefit of New Infrastructure to Existing Development</w:t>
          </w:r>
        </w:p>
        <w:p w14:paraId="581A3ADA" w14:textId="77777777" w:rsidR="0003164F" w:rsidRPr="006905E1" w:rsidRDefault="0003164F" w:rsidP="0003164F">
          <w:pPr>
            <w:pStyle w:val="NormalWeb"/>
            <w:rPr>
              <w:rFonts w:ascii="Arial" w:eastAsiaTheme="minorHAnsi" w:hAnsi="Arial" w:cstheme="minorBidi"/>
              <w:kern w:val="2"/>
              <w:szCs w:val="22"/>
              <w:lang w:eastAsia="en-US"/>
              <w14:ligatures w14:val="standardContextual"/>
            </w:rPr>
          </w:pPr>
          <w:r w:rsidRPr="00BF2D4E">
            <w:rPr>
              <w:rFonts w:ascii="Arial" w:eastAsiaTheme="minorHAnsi" w:hAnsi="Arial" w:cstheme="minorBidi"/>
              <w:kern w:val="2"/>
              <w:szCs w:val="22"/>
              <w:lang w:eastAsia="en-US"/>
              <w14:ligatures w14:val="standardContextual"/>
            </w:rPr>
            <w:t>The DCA req</w:t>
          </w:r>
          <w:r w:rsidRPr="006905E1">
            <w:rPr>
              <w:rFonts w:ascii="Arial" w:eastAsiaTheme="minorHAnsi" w:hAnsi="Arial" w:cstheme="minorBidi"/>
              <w:kern w:val="2"/>
              <w:szCs w:val="22"/>
              <w:lang w:eastAsia="en-US"/>
              <w14:ligatures w14:val="standardContextual"/>
            </w:rPr>
            <w:t>uires municipalities to deduct the portion of infrastructure costs that benefit existing development</w:t>
          </w:r>
          <w:r>
            <w:rPr>
              <w:rFonts w:ascii="Arial" w:eastAsiaTheme="minorHAnsi" w:hAnsi="Arial" w:cstheme="minorBidi"/>
              <w:kern w:val="2"/>
              <w:szCs w:val="22"/>
              <w:lang w:eastAsia="en-US"/>
              <w14:ligatures w14:val="standardContextual"/>
            </w:rPr>
            <w:t xml:space="preserve">, </w:t>
          </w:r>
          <w:r w:rsidRPr="006905E1">
            <w:rPr>
              <w:rFonts w:ascii="Arial" w:eastAsiaTheme="minorHAnsi" w:hAnsi="Arial" w:cstheme="minorBidi"/>
              <w:kern w:val="2"/>
              <w:szCs w:val="22"/>
              <w:lang w:eastAsia="en-US"/>
              <w14:ligatures w14:val="standardContextual"/>
            </w:rPr>
            <w:t>referred to as the "Benefit to Existing" (BTE)</w:t>
          </w:r>
          <w:r>
            <w:rPr>
              <w:rFonts w:ascii="Arial" w:eastAsiaTheme="minorHAnsi" w:hAnsi="Arial" w:cstheme="minorBidi"/>
              <w:kern w:val="2"/>
              <w:szCs w:val="22"/>
              <w:lang w:eastAsia="en-US"/>
              <w14:ligatures w14:val="standardContextual"/>
            </w:rPr>
            <w:t xml:space="preserve">, </w:t>
          </w:r>
          <w:r w:rsidRPr="006905E1">
            <w:rPr>
              <w:rFonts w:ascii="Arial" w:eastAsiaTheme="minorHAnsi" w:hAnsi="Arial" w:cstheme="minorBidi"/>
              <w:kern w:val="2"/>
              <w:szCs w:val="22"/>
              <w:lang w:eastAsia="en-US"/>
              <w14:ligatures w14:val="standardContextual"/>
            </w:rPr>
            <w:t>from the total capital costs recoverable through</w:t>
          </w:r>
          <w:r>
            <w:rPr>
              <w:rFonts w:ascii="Arial" w:eastAsiaTheme="minorHAnsi" w:hAnsi="Arial" w:cstheme="minorBidi"/>
              <w:kern w:val="2"/>
              <w:szCs w:val="22"/>
              <w:lang w:eastAsia="en-US"/>
              <w14:ligatures w14:val="standardContextual"/>
            </w:rPr>
            <w:t xml:space="preserve"> DCs</w:t>
          </w:r>
          <w:r w:rsidRPr="006905E1">
            <w:rPr>
              <w:rFonts w:ascii="Arial" w:eastAsiaTheme="minorHAnsi" w:hAnsi="Arial" w:cstheme="minorBidi"/>
              <w:kern w:val="2"/>
              <w:szCs w:val="22"/>
              <w:lang w:eastAsia="en-US"/>
              <w14:ligatures w14:val="standardContextual"/>
            </w:rPr>
            <w:t xml:space="preserve">. Currently, municipalities determine this deduction based on local context and professional judgment, without a prescribed methodology in the legislation. The proposed change would enable the province to create regulations prescribing </w:t>
          </w:r>
          <w:r>
            <w:rPr>
              <w:rFonts w:ascii="Arial" w:eastAsiaTheme="minorHAnsi" w:hAnsi="Arial" w:cstheme="minorBidi"/>
              <w:kern w:val="2"/>
              <w:szCs w:val="22"/>
              <w:lang w:eastAsia="en-US"/>
              <w14:ligatures w14:val="standardContextual"/>
            </w:rPr>
            <w:t xml:space="preserve">a </w:t>
          </w:r>
          <w:r w:rsidRPr="006905E1">
            <w:rPr>
              <w:rFonts w:ascii="Arial" w:eastAsiaTheme="minorHAnsi" w:hAnsi="Arial" w:cstheme="minorBidi"/>
              <w:kern w:val="2"/>
              <w:szCs w:val="22"/>
              <w:lang w:eastAsia="en-US"/>
              <w14:ligatures w14:val="standardContextual"/>
            </w:rPr>
            <w:t>standardized BTE calculation methodolo</w:t>
          </w:r>
          <w:r>
            <w:rPr>
              <w:rFonts w:ascii="Arial" w:eastAsiaTheme="minorHAnsi" w:hAnsi="Arial" w:cstheme="minorBidi"/>
              <w:kern w:val="2"/>
              <w:szCs w:val="22"/>
              <w:lang w:eastAsia="en-US"/>
              <w14:ligatures w14:val="standardContextual"/>
            </w:rPr>
            <w:t>gy</w:t>
          </w:r>
          <w:r w:rsidRPr="006905E1">
            <w:rPr>
              <w:rFonts w:ascii="Arial" w:eastAsiaTheme="minorHAnsi" w:hAnsi="Arial" w:cstheme="minorBidi"/>
              <w:kern w:val="2"/>
              <w:szCs w:val="22"/>
              <w:lang w:eastAsia="en-US"/>
              <w14:ligatures w14:val="standardContextual"/>
            </w:rPr>
            <w:t>.</w:t>
          </w:r>
        </w:p>
        <w:p w14:paraId="4C146FC4" w14:textId="4160E677" w:rsidR="66AB705F" w:rsidRPr="000E775E" w:rsidRDefault="0003164F" w:rsidP="66AB705F">
          <w:pPr>
            <w:pStyle w:val="NormalWeb"/>
            <w:numPr>
              <w:ilvl w:val="0"/>
              <w:numId w:val="19"/>
            </w:numPr>
            <w:rPr>
              <w:rFonts w:ascii="Arial" w:eastAsiaTheme="minorHAnsi" w:hAnsi="Arial" w:cstheme="minorBidi"/>
              <w:kern w:val="2"/>
              <w:szCs w:val="22"/>
              <w:lang w:eastAsia="en-US"/>
              <w14:ligatures w14:val="standardContextual"/>
            </w:rPr>
          </w:pPr>
          <w:r w:rsidRPr="66AB705F">
            <w:rPr>
              <w:rFonts w:ascii="Arial" w:eastAsiaTheme="minorEastAsia" w:hAnsi="Arial" w:cstheme="minorBidi"/>
              <w:kern w:val="2"/>
              <w:lang w:eastAsia="en-US"/>
              <w14:ligatures w14:val="standardContextual"/>
            </w:rPr>
            <w:t xml:space="preserve">The ability for municipalities to determine BTE based on their own circumstances is critical to ensuring the costs of growth are being borne by the development creating the growth. Prescribing a methodology will limit the Town’s ability to assess infrastructure benefits fairly and accurately, resulting growth-related costs being borne by existing development. </w:t>
          </w:r>
        </w:p>
        <w:p w14:paraId="0BDEA486" w14:textId="77777777" w:rsidR="0003164F" w:rsidRPr="00D15BC3" w:rsidRDefault="0003164F" w:rsidP="0003164F">
          <w:pPr>
            <w:pStyle w:val="NormalWeb"/>
            <w:rPr>
              <w:rFonts w:ascii="Arial" w:eastAsiaTheme="minorEastAsia" w:hAnsi="Arial" w:cstheme="minorBidi"/>
              <w:b/>
              <w:kern w:val="2"/>
              <w:lang w:eastAsia="en-US"/>
              <w14:ligatures w14:val="standardContextual"/>
            </w:rPr>
          </w:pPr>
          <w:r w:rsidRPr="66AB705F">
            <w:rPr>
              <w:rFonts w:ascii="Arial" w:eastAsiaTheme="minorEastAsia" w:hAnsi="Arial" w:cstheme="minorBidi"/>
              <w:b/>
              <w:kern w:val="2"/>
              <w:lang w:eastAsia="en-US"/>
              <w14:ligatures w14:val="standardContextual"/>
            </w:rPr>
            <w:t>Changes to Annual Reporting Requirements</w:t>
          </w:r>
        </w:p>
        <w:p w14:paraId="775A54BC" w14:textId="77777777" w:rsidR="0003164F" w:rsidRPr="00D15BC3" w:rsidRDefault="0003164F" w:rsidP="0003164F">
          <w:pPr>
            <w:spacing w:before="100" w:beforeAutospacing="1" w:after="100" w:afterAutospacing="1" w:line="240" w:lineRule="auto"/>
            <w:rPr>
              <w:rFonts w:eastAsia="Times New Roman" w:cs="Arial"/>
              <w:kern w:val="0"/>
              <w:lang w:val="en-US" w:eastAsia="zh-CN"/>
              <w14:ligatures w14:val="none"/>
            </w:rPr>
          </w:pPr>
          <w:r w:rsidRPr="211EE1A9">
            <w:rPr>
              <w:rFonts w:eastAsia="Times New Roman" w:cs="Arial"/>
              <w:kern w:val="0"/>
              <w:lang w:val="en-US" w:eastAsia="zh-CN"/>
              <w14:ligatures w14:val="none"/>
            </w:rPr>
            <w:t xml:space="preserve">As introduced by the </w:t>
          </w:r>
          <w:r w:rsidRPr="211EE1A9">
            <w:rPr>
              <w:rFonts w:eastAsia="Times New Roman" w:cs="Arial"/>
              <w:i/>
              <w:kern w:val="0"/>
              <w:lang w:val="en-US" w:eastAsia="zh-CN"/>
              <w14:ligatures w14:val="none"/>
            </w:rPr>
            <w:t xml:space="preserve">More Homes Built Faster Act, </w:t>
          </w:r>
          <w:r w:rsidRPr="211EE1A9">
            <w:rPr>
              <w:rFonts w:eastAsia="Times New Roman" w:cs="Arial"/>
              <w:kern w:val="0"/>
              <w:lang w:val="en-US" w:eastAsia="zh-CN"/>
              <w14:ligatures w14:val="none"/>
            </w:rPr>
            <w:t xml:space="preserve">2022 (Bill 23), municipalities are required to allocate or spend at least 60% of DC reserve funds annually for select services—specifically water, wastewater, and roads. The proposed changes would expand this requirement to include all DC-eligible service categories (e.g., recreation, fire, libraries). The province is also considering regulatory amendments to standardize </w:t>
          </w:r>
          <w:r w:rsidRPr="211EE1A9">
            <w:rPr>
              <w:rFonts w:eastAsia="Times New Roman" w:cs="Arial"/>
              <w:kern w:val="0"/>
              <w:lang w:val="en-US" w:eastAsia="zh-CN"/>
              <w14:ligatures w14:val="none"/>
            </w:rPr>
            <w:lastRenderedPageBreak/>
            <w:t>DC background studies and improve public accessibility of annual treasurer statements. These measures aim to increase transparency around DC collection and spending and enhance public confidence in infrastructure planning and investment.</w:t>
          </w:r>
        </w:p>
        <w:p w14:paraId="5DB893C1" w14:textId="7B799B43" w:rsidR="66AB705F" w:rsidRPr="000E775E" w:rsidRDefault="0003164F" w:rsidP="66AB705F">
          <w:pPr>
            <w:pStyle w:val="NormalWeb"/>
            <w:numPr>
              <w:ilvl w:val="0"/>
              <w:numId w:val="19"/>
            </w:numPr>
            <w:rPr>
              <w:rFonts w:ascii="Arial" w:hAnsi="Arial" w:cs="Arial"/>
              <w:color w:val="0D0D0D"/>
            </w:rPr>
          </w:pPr>
          <w:r w:rsidRPr="66AB705F">
            <w:rPr>
              <w:rFonts w:ascii="Arial" w:hAnsi="Arial" w:cs="Arial"/>
              <w:color w:val="0D0D0D" w:themeColor="text1" w:themeTint="F2"/>
            </w:rPr>
            <w:t>Expanding the 60% annual allocation requirement to all DC service categories may pose challenges for long-term financial planning. Some services, such as recreation or roads, involve major capital projects that occur infrequently but require substantial funding when they do. Limiting reserve funds to 60% annually for these services could result in insufficient reserves when large-scale projects arise, potentially leading to debt financing or funding shortfalls. The Town encourages the province to allow municipalities to consider service-specific spending requirements to maintain flexibility in financial planning and ensure responsible, needs-based infrastructure delivery.</w:t>
          </w:r>
        </w:p>
        <w:p w14:paraId="45AF6F41" w14:textId="77777777" w:rsidR="00A927CD" w:rsidRPr="004B7954" w:rsidRDefault="00A927CD" w:rsidP="00A927CD">
          <w:pPr>
            <w:pStyle w:val="NormalWeb"/>
            <w:rPr>
              <w:rFonts w:ascii="Arial" w:eastAsiaTheme="minorEastAsia" w:hAnsi="Arial" w:cstheme="minorBidi"/>
              <w:b/>
              <w:kern w:val="2"/>
              <w:lang w:eastAsia="en-US"/>
              <w14:ligatures w14:val="standardContextual"/>
            </w:rPr>
          </w:pPr>
          <w:r w:rsidRPr="66AB705F">
            <w:rPr>
              <w:rFonts w:ascii="Arial" w:eastAsiaTheme="minorEastAsia" w:hAnsi="Arial" w:cstheme="minorBidi"/>
              <w:b/>
              <w:kern w:val="2"/>
              <w:lang w:eastAsia="en-US"/>
              <w14:ligatures w14:val="standardContextual"/>
            </w:rPr>
            <w:t>Enable By-laws to be Amended to Reduce DC Rates Without Certain Procedural Requirements</w:t>
          </w:r>
        </w:p>
        <w:p w14:paraId="08DB7104" w14:textId="5DEE82CE" w:rsidR="66AB705F" w:rsidRPr="000E775E" w:rsidRDefault="00A927CD" w:rsidP="66AB705F">
          <w:pPr>
            <w:pStyle w:val="NormalWeb"/>
            <w:rPr>
              <w:rFonts w:ascii="Arial" w:eastAsiaTheme="minorEastAsia" w:hAnsi="Arial" w:cstheme="minorBidi"/>
              <w:kern w:val="2"/>
              <w:lang w:eastAsia="en-US"/>
              <w14:ligatures w14:val="standardContextual"/>
            </w:rPr>
          </w:pPr>
          <w:r w:rsidRPr="66AB705F">
            <w:rPr>
              <w:rFonts w:ascii="Arial" w:eastAsiaTheme="minorEastAsia" w:hAnsi="Arial" w:cstheme="minorBidi"/>
              <w:kern w:val="2"/>
              <w:lang w:eastAsia="en-US"/>
              <w14:ligatures w14:val="standardContextual"/>
            </w:rPr>
            <w:t xml:space="preserve">Currently, municipalities must undergo a lengthy process to amend a DC by-law to adjust rates, introduce exemptions, or implement rate phase-ins. The proposed change would allow municipalities to amend DC by-laws for the purpose of reducing rates in force or to introduce exemptions without the need for a new background study or public consultation. This would enable municipalities to make changes such as removing annual indexing, phasing in DCs, or offering discounts without procedural delays, saving time and costs. </w:t>
          </w:r>
        </w:p>
        <w:p w14:paraId="5BAA3C13" w14:textId="77777777" w:rsidR="00A927CD" w:rsidRPr="004B7954" w:rsidRDefault="00A927CD" w:rsidP="00A927CD">
          <w:pPr>
            <w:pStyle w:val="NormalWeb"/>
            <w:rPr>
              <w:rFonts w:ascii="Arial" w:eastAsiaTheme="minorEastAsia" w:hAnsi="Arial" w:cstheme="minorBidi"/>
              <w:b/>
              <w:kern w:val="2"/>
              <w:lang w:eastAsia="en-US"/>
              <w14:ligatures w14:val="standardContextual"/>
            </w:rPr>
          </w:pPr>
          <w:r w:rsidRPr="66AB705F">
            <w:rPr>
              <w:rFonts w:ascii="Arial" w:eastAsiaTheme="minorEastAsia" w:hAnsi="Arial" w:cstheme="minorBidi"/>
              <w:b/>
              <w:kern w:val="2"/>
              <w:lang w:eastAsia="en-US"/>
              <w14:ligatures w14:val="standardContextual"/>
            </w:rPr>
            <w:t>Enable Use of the Non-Residential Building Construction Price Index for London</w:t>
          </w:r>
        </w:p>
        <w:p w14:paraId="2CCF9645" w14:textId="77777777" w:rsidR="00A927CD" w:rsidRPr="00956DED" w:rsidRDefault="00A927CD" w:rsidP="00A927CD">
          <w:pPr>
            <w:pStyle w:val="NormalWeb"/>
            <w:rPr>
              <w:rFonts w:ascii="Arial" w:eastAsiaTheme="minorHAnsi" w:hAnsi="Arial" w:cstheme="minorBidi"/>
              <w:kern w:val="2"/>
              <w:szCs w:val="22"/>
              <w:lang w:eastAsia="en-US"/>
              <w14:ligatures w14:val="standardContextual"/>
            </w:rPr>
          </w:pPr>
          <w:r w:rsidRPr="66AB705F">
            <w:rPr>
              <w:rFonts w:ascii="Arial" w:eastAsiaTheme="minorEastAsia" w:hAnsi="Arial" w:cstheme="minorBidi"/>
              <w:kern w:val="2"/>
              <w:lang w:eastAsia="en-US"/>
              <w14:ligatures w14:val="standardContextual"/>
            </w:rPr>
            <w:t xml:space="preserve">Currently, only the Toronto and Ottawa-Gatineau Non-Residential Building Construction Price Index (NRBCPI) from Statistics Canada may be used to index DCs. The proposed change would allow the use of the London NRBCPI, offering municipalities in Southwestern Ontario an index that better reflects local construction costs. </w:t>
          </w:r>
          <w:r w:rsidRPr="00956DED">
            <w:rPr>
              <w:rFonts w:ascii="Arial" w:hAnsi="Arial" w:cs="Arial"/>
            </w:rPr>
            <w:t xml:space="preserve">This proposal has </w:t>
          </w:r>
          <w:r>
            <w:rPr>
              <w:rFonts w:ascii="Arial" w:hAnsi="Arial" w:cs="Arial"/>
            </w:rPr>
            <w:t>no</w:t>
          </w:r>
          <w:r w:rsidRPr="00956DED">
            <w:rPr>
              <w:rFonts w:ascii="Arial" w:hAnsi="Arial" w:cs="Arial"/>
            </w:rPr>
            <w:t xml:space="preserve"> impact on the Town, as it does not fall within the affected geographic area.</w:t>
          </w:r>
        </w:p>
        <w:p w14:paraId="49BA0DC8" w14:textId="79424998" w:rsidR="66AB705F" w:rsidRDefault="66AB705F" w:rsidP="66AB705F">
          <w:pPr>
            <w:tabs>
              <w:tab w:val="left" w:pos="851"/>
            </w:tabs>
            <w:spacing w:after="0" w:line="240" w:lineRule="auto"/>
            <w:rPr>
              <w:b/>
              <w:bCs/>
            </w:rPr>
          </w:pPr>
        </w:p>
        <w:p w14:paraId="4C1DC271" w14:textId="77777777" w:rsidR="000E775E" w:rsidRDefault="000E775E">
          <w:pPr>
            <w:rPr>
              <w:b/>
              <w:bCs/>
            </w:rPr>
          </w:pPr>
          <w:r>
            <w:rPr>
              <w:b/>
              <w:bCs/>
            </w:rPr>
            <w:br w:type="page"/>
          </w:r>
        </w:p>
        <w:p w14:paraId="6FB07736" w14:textId="221CF633" w:rsidR="00D507F4" w:rsidRDefault="00F11255" w:rsidP="00D507F4">
          <w:pPr>
            <w:tabs>
              <w:tab w:val="left" w:pos="851"/>
            </w:tabs>
            <w:spacing w:after="0" w:line="240" w:lineRule="auto"/>
            <w:rPr>
              <w:b/>
              <w:bCs/>
            </w:rPr>
          </w:pPr>
          <w:r w:rsidRPr="00BD71FA">
            <w:rPr>
              <w:b/>
              <w:bCs/>
            </w:rPr>
            <w:lastRenderedPageBreak/>
            <w:t xml:space="preserve">Planning </w:t>
          </w:r>
          <w:r w:rsidR="00280D20">
            <w:rPr>
              <w:b/>
              <w:bCs/>
            </w:rPr>
            <w:t>Act</w:t>
          </w:r>
        </w:p>
        <w:p w14:paraId="255B702B" w14:textId="77777777" w:rsidR="000E775E" w:rsidRPr="00BD71FA" w:rsidRDefault="000E775E" w:rsidP="00D507F4">
          <w:pPr>
            <w:tabs>
              <w:tab w:val="left" w:pos="851"/>
            </w:tabs>
            <w:spacing w:after="0" w:line="240" w:lineRule="auto"/>
            <w:rPr>
              <w:b/>
              <w:bCs/>
            </w:rPr>
          </w:pPr>
        </w:p>
        <w:p w14:paraId="5808E85B" w14:textId="77777777" w:rsidR="00280D20" w:rsidRDefault="00280D20" w:rsidP="00D507F4">
          <w:pPr>
            <w:tabs>
              <w:tab w:val="left" w:pos="851"/>
            </w:tabs>
            <w:spacing w:after="0" w:line="240" w:lineRule="auto"/>
          </w:pPr>
          <w:r w:rsidRPr="00280D20">
            <w:t>Bill 17 proposes to amend the </w:t>
          </w:r>
          <w:r w:rsidRPr="00280D20">
            <w:rPr>
              <w:i/>
              <w:iCs/>
            </w:rPr>
            <w:t>Planning Act</w:t>
          </w:r>
          <w:r w:rsidRPr="00280D20">
            <w:t> and the </w:t>
          </w:r>
          <w:r w:rsidRPr="00280D20">
            <w:rPr>
              <w:i/>
              <w:iCs/>
            </w:rPr>
            <w:t>City of Toronto Act</w:t>
          </w:r>
          <w:r>
            <w:t>, 2006</w:t>
          </w:r>
          <w:r w:rsidRPr="00280D20">
            <w:rPr>
              <w:i/>
              <w:iCs/>
            </w:rPr>
            <w:t> </w:t>
          </w:r>
          <w:r w:rsidRPr="00280D20">
            <w:t>to establish a more consistent and standardized planning process:</w:t>
          </w:r>
        </w:p>
        <w:p w14:paraId="22632F88" w14:textId="77777777" w:rsidR="005A4C07" w:rsidRDefault="005A4C07" w:rsidP="00E973FC">
          <w:pPr>
            <w:tabs>
              <w:tab w:val="left" w:pos="851"/>
            </w:tabs>
            <w:spacing w:after="0" w:line="240" w:lineRule="auto"/>
          </w:pPr>
        </w:p>
        <w:p w14:paraId="68C6E1E5" w14:textId="77777777" w:rsidR="00280D20" w:rsidRPr="00280D20" w:rsidRDefault="00280D20" w:rsidP="005A4C07">
          <w:pPr>
            <w:tabs>
              <w:tab w:val="left" w:pos="851"/>
            </w:tabs>
            <w:spacing w:after="0" w:line="240" w:lineRule="auto"/>
          </w:pPr>
          <w:r w:rsidRPr="00280D20">
            <w:rPr>
              <w:b/>
              <w:bCs/>
            </w:rPr>
            <w:t>Complete Application Requirements</w:t>
          </w:r>
          <w:r w:rsidRPr="00280D20">
            <w:t>:</w:t>
          </w:r>
        </w:p>
        <w:p w14:paraId="0D66BC0A" w14:textId="77777777" w:rsidR="009527E3" w:rsidRDefault="00280D20" w:rsidP="009527E3">
          <w:pPr>
            <w:tabs>
              <w:tab w:val="left" w:pos="851"/>
            </w:tabs>
            <w:spacing w:after="0" w:line="240" w:lineRule="auto"/>
          </w:pPr>
          <w:r w:rsidRPr="00280D20">
            <w:t>In the context of planning applications, municipalities will only be able to require studies and reports that are already identified in their official plans. Written approval from the Minister of Municipal Affairs and Housing (the “</w:t>
          </w:r>
          <w:r>
            <w:t>Minister</w:t>
          </w:r>
          <w:r w:rsidRPr="00280D20">
            <w:t>”) will be required before a municipality can adopt an official plan amendment making changes to the list of information and material that needs to be filed for a complete application.</w:t>
          </w:r>
          <w:r w:rsidR="00E973FC">
            <w:t xml:space="preserve"> </w:t>
          </w:r>
          <w:r w:rsidRPr="00280D20">
            <w:t> </w:t>
          </w:r>
        </w:p>
        <w:p w14:paraId="0F7C62FD" w14:textId="5D4F8EFF" w:rsidR="009527E3" w:rsidRDefault="009527E3" w:rsidP="009527E3">
          <w:pPr>
            <w:tabs>
              <w:tab w:val="left" w:pos="851"/>
            </w:tabs>
            <w:spacing w:after="0" w:line="240" w:lineRule="auto"/>
          </w:pPr>
        </w:p>
        <w:p w14:paraId="48B92C59" w14:textId="521325FE" w:rsidR="00280D20" w:rsidRPr="00280D20" w:rsidRDefault="00280D20" w:rsidP="009527E3">
          <w:pPr>
            <w:tabs>
              <w:tab w:val="left" w:pos="851"/>
            </w:tabs>
            <w:spacing w:after="0" w:line="240" w:lineRule="auto"/>
          </w:pPr>
          <w:r w:rsidRPr="00280D20">
            <w:t>Municipalities will be required to accept studies prepared by certain certified professionals. The list of certified professionals is to be prescribed by a future regulation, which the Province is presently consulting on</w:t>
          </w:r>
          <w:r w:rsidR="2A18DC83">
            <w:t xml:space="preserve"> (</w:t>
          </w:r>
          <w:hyperlink r:id="rId15">
            <w:r w:rsidR="2A18DC83" w:rsidRPr="211EE1A9">
              <w:rPr>
                <w:rStyle w:val="Hyperlink"/>
              </w:rPr>
              <w:t>ERO No. 025-0462</w:t>
            </w:r>
          </w:hyperlink>
          <w:r w:rsidR="2A18DC83">
            <w:t>)</w:t>
          </w:r>
          <w:r w:rsidR="26B33FD3">
            <w:t>.</w:t>
          </w:r>
          <w:r w:rsidR="60910FEE">
            <w:t xml:space="preserve"> </w:t>
          </w:r>
          <w:r w:rsidR="2A18DC83">
            <w:t> </w:t>
          </w:r>
        </w:p>
        <w:p w14:paraId="795A085E" w14:textId="2B7D4D95" w:rsidR="00280D20" w:rsidRDefault="00280D20" w:rsidP="004633A0">
          <w:pPr>
            <w:tabs>
              <w:tab w:val="left" w:pos="851"/>
            </w:tabs>
            <w:spacing w:after="0" w:line="240" w:lineRule="auto"/>
          </w:pPr>
          <w:r w:rsidRPr="00280D20">
            <w:t>The type of information and material that municipalities are able to require for a complete application is proposed to be restricted by regulation (</w:t>
          </w:r>
          <w:hyperlink r:id="rId16">
            <w:r w:rsidR="2A18DC83" w:rsidRPr="211EE1A9">
              <w:rPr>
                <w:rStyle w:val="Hyperlink"/>
              </w:rPr>
              <w:t>ERO No. 025-0462</w:t>
            </w:r>
          </w:hyperlink>
          <w:r w:rsidR="2A18DC83">
            <w:t>)</w:t>
          </w:r>
          <w:r w:rsidR="26B33FD3">
            <w:t>.</w:t>
          </w:r>
          <w:r w:rsidR="60910FEE">
            <w:t xml:space="preserve"> </w:t>
          </w:r>
          <w:r w:rsidR="2A18DC83">
            <w:t> </w:t>
          </w:r>
        </w:p>
        <w:p w14:paraId="36BF7F02" w14:textId="77777777" w:rsidR="004633A0" w:rsidRDefault="004633A0" w:rsidP="004633A0">
          <w:pPr>
            <w:tabs>
              <w:tab w:val="left" w:pos="851"/>
            </w:tabs>
            <w:spacing w:after="0" w:line="240" w:lineRule="auto"/>
          </w:pPr>
        </w:p>
        <w:p w14:paraId="50CE65ED" w14:textId="77777777" w:rsidR="004633A0" w:rsidRPr="004633A0" w:rsidRDefault="004633A0" w:rsidP="004633A0">
          <w:pPr>
            <w:tabs>
              <w:tab w:val="left" w:pos="851"/>
            </w:tabs>
            <w:spacing w:after="0" w:line="240" w:lineRule="auto"/>
          </w:pPr>
          <w:r w:rsidRPr="004633A0">
            <w:t>Specifically, it is proposed that the following topics could not be required as part of a complete planning application:</w:t>
          </w:r>
        </w:p>
        <w:p w14:paraId="19292066" w14:textId="77777777" w:rsidR="004633A0" w:rsidRPr="004633A0" w:rsidRDefault="004633A0" w:rsidP="001F4A7F">
          <w:pPr>
            <w:numPr>
              <w:ilvl w:val="0"/>
              <w:numId w:val="22"/>
            </w:numPr>
            <w:tabs>
              <w:tab w:val="left" w:pos="851"/>
            </w:tabs>
            <w:spacing w:after="0" w:line="240" w:lineRule="auto"/>
          </w:pPr>
          <w:r w:rsidRPr="004633A0">
            <w:t>Sun/Shadow: information and material related to the impact of shadows cast by a proposed development on the subject land and on surrounding lands including streets.</w:t>
          </w:r>
        </w:p>
        <w:p w14:paraId="59CCA0BA" w14:textId="77777777" w:rsidR="004633A0" w:rsidRPr="004633A0" w:rsidRDefault="004633A0" w:rsidP="001F4A7F">
          <w:pPr>
            <w:numPr>
              <w:ilvl w:val="0"/>
              <w:numId w:val="22"/>
            </w:numPr>
            <w:tabs>
              <w:tab w:val="left" w:pos="851"/>
            </w:tabs>
            <w:spacing w:after="0" w:line="240" w:lineRule="auto"/>
          </w:pPr>
          <w:r w:rsidRPr="004633A0">
            <w:t>Wind: information and material related to the potential impacts of a proposed development on wind conditions in surrounding areas.</w:t>
          </w:r>
        </w:p>
        <w:p w14:paraId="1A3ED7D7" w14:textId="77777777" w:rsidR="004633A0" w:rsidRPr="004633A0" w:rsidRDefault="004633A0" w:rsidP="001F4A7F">
          <w:pPr>
            <w:numPr>
              <w:ilvl w:val="0"/>
              <w:numId w:val="22"/>
            </w:numPr>
            <w:tabs>
              <w:tab w:val="left" w:pos="851"/>
            </w:tabs>
            <w:spacing w:after="0" w:line="240" w:lineRule="auto"/>
          </w:pPr>
          <w:r w:rsidRPr="004633A0">
            <w:t>Urban Design: information and material concerning the urban design of a proposed development, including how a proposed development aligns with municipal urban design guidelines or policies.</w:t>
          </w:r>
        </w:p>
        <w:p w14:paraId="77EB0587" w14:textId="77777777" w:rsidR="004633A0" w:rsidRPr="004633A0" w:rsidRDefault="004633A0" w:rsidP="001F4A7F">
          <w:pPr>
            <w:numPr>
              <w:ilvl w:val="0"/>
              <w:numId w:val="22"/>
            </w:numPr>
            <w:tabs>
              <w:tab w:val="left" w:pos="851"/>
            </w:tabs>
            <w:spacing w:after="0" w:line="240" w:lineRule="auto"/>
          </w:pPr>
          <w:r w:rsidRPr="004633A0">
            <w:t>Lighting: information and material related to lighting and lighting levels on the site, including the location and type of lighting fixtures proposed on the exterior of the building and on the site.</w:t>
          </w:r>
        </w:p>
        <w:p w14:paraId="1F7B7C28" w14:textId="77777777" w:rsidR="00530284" w:rsidRDefault="00530284" w:rsidP="007146DF">
          <w:pPr>
            <w:tabs>
              <w:tab w:val="left" w:pos="851"/>
            </w:tabs>
            <w:spacing w:after="0" w:line="240" w:lineRule="auto"/>
            <w:rPr>
              <w:b/>
              <w:bCs/>
            </w:rPr>
          </w:pPr>
        </w:p>
        <w:p w14:paraId="3BB37C47" w14:textId="194BB734" w:rsidR="007814EA" w:rsidRPr="007814EA" w:rsidRDefault="00ED2339" w:rsidP="007814EA">
          <w:pPr>
            <w:pStyle w:val="ListParagraph"/>
            <w:numPr>
              <w:ilvl w:val="0"/>
              <w:numId w:val="21"/>
            </w:numPr>
            <w:tabs>
              <w:tab w:val="left" w:pos="851"/>
            </w:tabs>
            <w:spacing w:after="0" w:line="240" w:lineRule="auto"/>
          </w:pPr>
          <w:r>
            <w:t xml:space="preserve">Sun/Shadow, wind, </w:t>
          </w:r>
          <w:r w:rsidR="009834A1">
            <w:t xml:space="preserve">urban design and lighting </w:t>
          </w:r>
          <w:r w:rsidR="00660F0B">
            <w:t xml:space="preserve">studies and evaluation are important factors to the development review process. </w:t>
          </w:r>
          <w:r w:rsidR="00790497">
            <w:t xml:space="preserve">The evaluation of these elements does not slow down the speed of development review, </w:t>
          </w:r>
          <w:r w:rsidR="00E07D84">
            <w:t xml:space="preserve">yet the impacts to poor sun/shadow, wind, urban design and wind are well documented within the Ontario context and </w:t>
          </w:r>
          <w:r w:rsidR="00F17EED">
            <w:t xml:space="preserve">internationally. Staff are strongly advocating for the retention of these topics </w:t>
          </w:r>
          <w:r w:rsidR="005A016F">
            <w:t>as potential components of a complete planning application.</w:t>
          </w:r>
        </w:p>
        <w:p w14:paraId="606616AB" w14:textId="77777777" w:rsidR="007814EA" w:rsidRPr="007814EA" w:rsidRDefault="007814EA" w:rsidP="007814EA">
          <w:pPr>
            <w:tabs>
              <w:tab w:val="left" w:pos="851"/>
            </w:tabs>
            <w:spacing w:after="0" w:line="240" w:lineRule="auto"/>
            <w:rPr>
              <w:b/>
              <w:bCs/>
            </w:rPr>
          </w:pPr>
        </w:p>
        <w:p w14:paraId="3234FB48" w14:textId="0037D37E" w:rsidR="00280D20" w:rsidRPr="00280D20" w:rsidRDefault="00280D20" w:rsidP="007146DF">
          <w:pPr>
            <w:tabs>
              <w:tab w:val="left" w:pos="851"/>
            </w:tabs>
            <w:spacing w:after="0" w:line="240" w:lineRule="auto"/>
          </w:pPr>
          <w:r w:rsidRPr="00280D20">
            <w:rPr>
              <w:b/>
              <w:bCs/>
            </w:rPr>
            <w:t>“As-of-Right” Variations to Minimum Setbacks</w:t>
          </w:r>
          <w:r w:rsidRPr="00280D20">
            <w:t>: Proposed buildings in certain areas will be permitted to deviate from minimum setback requirements (up to a percentage to be prescribed in regulation, e.g., within 10% of setback requirements) “as-of-right,” without the need to obtain a minor variance</w:t>
          </w:r>
          <w:r w:rsidR="2A18DC83">
            <w:t xml:space="preserve"> (</w:t>
          </w:r>
          <w:hyperlink r:id="rId17">
            <w:r w:rsidR="2A18DC83" w:rsidRPr="211EE1A9">
              <w:rPr>
                <w:rStyle w:val="Hyperlink"/>
                <w:b/>
                <w:bCs/>
              </w:rPr>
              <w:t>ERO No. 025-0463</w:t>
            </w:r>
          </w:hyperlink>
          <w:r w:rsidR="2A18DC83">
            <w:t>)</w:t>
          </w:r>
          <w:r w:rsidR="6FF3CCEF">
            <w:t>.</w:t>
          </w:r>
        </w:p>
        <w:p w14:paraId="1FF4AB2F" w14:textId="77777777" w:rsidR="00530284" w:rsidRDefault="00530284" w:rsidP="007146DF">
          <w:pPr>
            <w:tabs>
              <w:tab w:val="left" w:pos="851"/>
            </w:tabs>
            <w:spacing w:after="0" w:line="240" w:lineRule="auto"/>
            <w:rPr>
              <w:b/>
              <w:bCs/>
            </w:rPr>
          </w:pPr>
        </w:p>
        <w:p w14:paraId="400C1307" w14:textId="5F56CC9E" w:rsidR="00280D20" w:rsidRPr="00280D20" w:rsidRDefault="00280D20" w:rsidP="007146DF">
          <w:pPr>
            <w:tabs>
              <w:tab w:val="left" w:pos="851"/>
            </w:tabs>
            <w:spacing w:after="0" w:line="240" w:lineRule="auto"/>
          </w:pPr>
          <w:r w:rsidRPr="00280D20">
            <w:rPr>
              <w:b/>
              <w:bCs/>
            </w:rPr>
            <w:lastRenderedPageBreak/>
            <w:t>Minister’s Zoning Orders (“MZOs”)</w:t>
          </w:r>
          <w:r w:rsidRPr="00280D20">
            <w:t>: The Minister will have the authority to impose conditions upon MZOs (including the requirement for an owner to enter into an agreement that is registrable on the land and binding upon subsequent owners). </w:t>
          </w:r>
        </w:p>
        <w:p w14:paraId="2A42D3C1" w14:textId="673AF437" w:rsidR="00280D20" w:rsidRPr="00280D20" w:rsidRDefault="00280D20" w:rsidP="006819F7">
          <w:pPr>
            <w:numPr>
              <w:ilvl w:val="0"/>
              <w:numId w:val="23"/>
            </w:numPr>
            <w:tabs>
              <w:tab w:val="left" w:pos="851"/>
            </w:tabs>
            <w:spacing w:after="0" w:line="240" w:lineRule="auto"/>
          </w:pPr>
          <w:r w:rsidRPr="00280D20">
            <w:rPr>
              <w:b/>
              <w:bCs/>
            </w:rPr>
            <w:t>Schools on Residential Lands</w:t>
          </w:r>
          <w:r w:rsidRPr="00280D20">
            <w:t>: Elementary or secondary schools of a school board (or any ancillary uses) will be permitted “as-of-right” on urban land zoned for residential uses</w:t>
          </w:r>
          <w:r w:rsidR="00B70AEC">
            <w:t>. A</w:t>
          </w:r>
          <w:r w:rsidRPr="00280D20">
            <w:t>ny official plan policies or zoning by-laws contrary to this permission will be of no effect.</w:t>
          </w:r>
        </w:p>
        <w:p w14:paraId="1CB74384" w14:textId="77777777" w:rsidR="00485259" w:rsidRDefault="00485259" w:rsidP="66AB705F">
          <w:pPr>
            <w:tabs>
              <w:tab w:val="left" w:pos="851"/>
            </w:tabs>
            <w:spacing w:after="0"/>
            <w:rPr>
              <w:b/>
              <w:bCs/>
            </w:rPr>
          </w:pPr>
        </w:p>
        <w:p w14:paraId="393A60F3" w14:textId="76AE6DCD" w:rsidR="00F11255" w:rsidRPr="00D507F4" w:rsidRDefault="008F54F0" w:rsidP="66AB705F">
          <w:pPr>
            <w:tabs>
              <w:tab w:val="left" w:pos="851"/>
            </w:tabs>
            <w:spacing w:after="0"/>
            <w:rPr>
              <w:b/>
              <w:bCs/>
            </w:rPr>
          </w:pPr>
          <w:r w:rsidRPr="00D507F4">
            <w:rPr>
              <w:b/>
              <w:bCs/>
            </w:rPr>
            <w:t>Building Code Act, 1992</w:t>
          </w:r>
          <w:r w:rsidR="00785057">
            <w:rPr>
              <w:b/>
              <w:bCs/>
            </w:rPr>
            <w:br/>
          </w:r>
        </w:p>
        <w:p w14:paraId="36F092DD" w14:textId="0F7746BF" w:rsidR="00785057" w:rsidRPr="00530284" w:rsidRDefault="005B29AD" w:rsidP="002876A6">
          <w:pPr>
            <w:tabs>
              <w:tab w:val="left" w:pos="851"/>
            </w:tabs>
            <w:spacing w:after="0"/>
            <w:rPr>
              <w:b/>
              <w:bCs/>
            </w:rPr>
          </w:pPr>
          <w:r w:rsidRPr="00530284">
            <w:rPr>
              <w:b/>
              <w:bCs/>
            </w:rPr>
            <w:t>Clarifying Municipal Jurisdiction Over Construction and Demolition</w:t>
          </w:r>
        </w:p>
        <w:p w14:paraId="1DA3B8AF" w14:textId="0100EFEC" w:rsidR="00F11255" w:rsidRDefault="00FA13F0" w:rsidP="002876A6">
          <w:pPr>
            <w:tabs>
              <w:tab w:val="left" w:pos="851"/>
            </w:tabs>
            <w:spacing w:after="0"/>
          </w:pPr>
          <w:r w:rsidRPr="00FA13F0">
            <w:t>Bill 17 proposes amendments to the </w:t>
          </w:r>
          <w:r w:rsidRPr="00FA13F0">
            <w:rPr>
              <w:i/>
              <w:iCs/>
            </w:rPr>
            <w:t>Building Code Act</w:t>
          </w:r>
          <w:r>
            <w:t>, 1992</w:t>
          </w:r>
          <w:r w:rsidRPr="00B70F55">
            <w:t>,</w:t>
          </w:r>
          <w:r w:rsidRPr="00FA13F0">
            <w:t xml:space="preserve"> clarifying that municipalities do not have the authority to pass by-laws respecting the construction or demolition of buildings, whereas currently, certain municipalities have construction requirements that go beyond the Provincial standards established under the Ontario Building Code.</w:t>
          </w:r>
          <w:r w:rsidR="00FB0729">
            <w:t xml:space="preserve"> </w:t>
          </w:r>
          <w:r w:rsidR="00FB0729" w:rsidRPr="00FB0729">
            <w:t>The effect of this amendment</w:t>
          </w:r>
          <w:r w:rsidR="001003EA">
            <w:t xml:space="preserve"> would be</w:t>
          </w:r>
          <w:r w:rsidR="00FB0729" w:rsidRPr="00FB0729">
            <w:t xml:space="preserve"> that municipalities will no longer be able to rely on their general powers to regulate in respect of construction or demolition to create local requirements that differ from the BCA or the Building Code.</w:t>
          </w:r>
        </w:p>
        <w:p w14:paraId="2E993E6B" w14:textId="79B11B6C" w:rsidR="00B57275" w:rsidRDefault="00DF62CC" w:rsidP="006819F7">
          <w:pPr>
            <w:pStyle w:val="ListParagraph"/>
            <w:numPr>
              <w:ilvl w:val="0"/>
              <w:numId w:val="24"/>
            </w:numPr>
            <w:tabs>
              <w:tab w:val="left" w:pos="851"/>
            </w:tabs>
            <w:spacing w:after="0" w:line="240" w:lineRule="auto"/>
          </w:pPr>
          <w:r w:rsidRPr="00DF62CC">
            <w:t xml:space="preserve">Bill 17 may directly impact </w:t>
          </w:r>
          <w:r>
            <w:t>our municipal</w:t>
          </w:r>
          <w:r w:rsidR="00921FDD">
            <w:t xml:space="preserve"> </w:t>
          </w:r>
          <w:r w:rsidRPr="00DF62CC">
            <w:t>TGDS update</w:t>
          </w:r>
          <w:r w:rsidR="00B227D0">
            <w:t>,</w:t>
          </w:r>
          <w:r w:rsidRPr="00DF62CC">
            <w:t xml:space="preserve"> </w:t>
          </w:r>
          <w:r w:rsidR="00B227D0">
            <w:t>e</w:t>
          </w:r>
          <w:r w:rsidRPr="00DF62CC">
            <w:t>specially regarding embodied carbon, energy efficiency, and GHG emissions</w:t>
          </w:r>
          <w:r w:rsidR="00921FDD">
            <w:t xml:space="preserve"> </w:t>
          </w:r>
          <w:r w:rsidRPr="00DF62CC">
            <w:t xml:space="preserve">which </w:t>
          </w:r>
          <w:r w:rsidR="00197B6A">
            <w:t>are</w:t>
          </w:r>
          <w:r w:rsidRPr="00DF62CC">
            <w:t xml:space="preserve"> cornerstone </w:t>
          </w:r>
          <w:r w:rsidR="00B227D0">
            <w:t xml:space="preserve">elements </w:t>
          </w:r>
          <w:r w:rsidRPr="00DF62CC">
            <w:t xml:space="preserve">of </w:t>
          </w:r>
          <w:r w:rsidR="008B0D12">
            <w:t xml:space="preserve">our municipal green standard </w:t>
          </w:r>
          <w:r w:rsidRPr="00DF62CC">
            <w:t>update</w:t>
          </w:r>
          <w:r w:rsidR="008B0D12">
            <w:t>.</w:t>
          </w:r>
        </w:p>
        <w:p w14:paraId="2F290E32" w14:textId="77777777" w:rsidR="007A0D18" w:rsidRDefault="007A0D18" w:rsidP="007A0D18">
          <w:pPr>
            <w:tabs>
              <w:tab w:val="left" w:pos="851"/>
            </w:tabs>
            <w:spacing w:after="0" w:line="240" w:lineRule="auto"/>
          </w:pPr>
        </w:p>
        <w:p w14:paraId="45A69C55" w14:textId="0FB28BB7" w:rsidR="007A0D18" w:rsidRPr="00DF62CC" w:rsidRDefault="007A0D18" w:rsidP="007A0D18">
          <w:pPr>
            <w:pStyle w:val="ListParagraph"/>
            <w:numPr>
              <w:ilvl w:val="0"/>
              <w:numId w:val="20"/>
            </w:numPr>
            <w:tabs>
              <w:tab w:val="left" w:pos="851"/>
            </w:tabs>
            <w:spacing w:after="0" w:line="240" w:lineRule="auto"/>
          </w:pPr>
          <w:r>
            <w:t>Municipal green standards</w:t>
          </w:r>
          <w:r w:rsidR="006819F7">
            <w:t xml:space="preserve"> form an integral component of a municipalities ability to </w:t>
          </w:r>
          <w:r w:rsidR="007D29F2">
            <w:t xml:space="preserve">choose </w:t>
          </w:r>
          <w:r w:rsidR="00E71286">
            <w:t xml:space="preserve">for themselves </w:t>
          </w:r>
          <w:r w:rsidR="007D29F2">
            <w:t xml:space="preserve">a path towards lowering green house gas emissions. </w:t>
          </w:r>
          <w:r w:rsidR="00AF2AE0">
            <w:t>Increasingly residents of our communit</w:t>
          </w:r>
          <w:r w:rsidR="002526C7">
            <w:t xml:space="preserve">y </w:t>
          </w:r>
          <w:r w:rsidR="00A82D6C">
            <w:t xml:space="preserve">and Council show great interest in “green” initiatives within their community. </w:t>
          </w:r>
          <w:r w:rsidR="00C54FA0">
            <w:t xml:space="preserve">They want to have the choice to set a green standard path most suitable to their </w:t>
          </w:r>
          <w:r w:rsidR="00885017">
            <w:t xml:space="preserve">municipality. Taking this choice away from a community </w:t>
          </w:r>
          <w:r w:rsidR="00D13AE4">
            <w:t xml:space="preserve">is counter to the democratic voice of residents within our community to choose to be proactive </w:t>
          </w:r>
          <w:r w:rsidR="00F80C22">
            <w:t>through municipal green standards.</w:t>
          </w:r>
          <w:r w:rsidR="002526C7">
            <w:t xml:space="preserve">  </w:t>
          </w:r>
        </w:p>
        <w:p w14:paraId="5F4AB29A" w14:textId="77777777" w:rsidR="00DF62CC" w:rsidRPr="00DF62CC" w:rsidRDefault="00DF62CC" w:rsidP="00DF62CC">
          <w:pPr>
            <w:pStyle w:val="ListParagraph"/>
            <w:tabs>
              <w:tab w:val="left" w:pos="851"/>
            </w:tabs>
            <w:spacing w:after="0" w:line="240" w:lineRule="auto"/>
            <w:rPr>
              <w:b/>
              <w:bCs/>
            </w:rPr>
          </w:pPr>
        </w:p>
        <w:p w14:paraId="4791BCAA" w14:textId="69F8E382" w:rsidR="00785057" w:rsidRPr="000E775E" w:rsidRDefault="00183798" w:rsidP="00C7386F">
          <w:pPr>
            <w:tabs>
              <w:tab w:val="left" w:pos="851"/>
            </w:tabs>
            <w:spacing w:after="0" w:line="240" w:lineRule="auto"/>
            <w:rPr>
              <w:b/>
              <w:bCs/>
            </w:rPr>
          </w:pPr>
          <w:r>
            <w:rPr>
              <w:b/>
              <w:bCs/>
            </w:rPr>
            <w:t xml:space="preserve">Limit Authority of </w:t>
          </w:r>
          <w:r w:rsidR="00C7386F">
            <w:rPr>
              <w:b/>
              <w:bCs/>
            </w:rPr>
            <w:t>Building Materials Evaluation Commission</w:t>
          </w:r>
        </w:p>
        <w:p w14:paraId="0D74EC34" w14:textId="3F77D4C8" w:rsidR="00530284" w:rsidRDefault="00530284" w:rsidP="00C7386F">
          <w:pPr>
            <w:tabs>
              <w:tab w:val="left" w:pos="851"/>
            </w:tabs>
            <w:spacing w:after="0" w:line="240" w:lineRule="auto"/>
          </w:pPr>
          <w:r>
            <w:t>First, the bill proposes to limit the authority of the Building Materials Evaluation Commission, which plays a role in authorizing new and innovative building materials, systems and designs. At present, manufacturers of innovative construction products must apply to the Commission for an authorization before they can be used in Ontario. In addition, the Commission may, of its own initiative, research and examine construction materials, system and building designs. Bill 17 proposes to remove the Commission’s ability to exercise these powers where the Canadian Construction Materials Centre of the National Research Council of Canada has examined or has expressed its intention to examine an innovative material, system or building design.</w:t>
          </w:r>
        </w:p>
        <w:p w14:paraId="313E4D21" w14:textId="77777777" w:rsidR="0005320A" w:rsidRPr="00530284" w:rsidRDefault="0005320A" w:rsidP="00C7386F">
          <w:pPr>
            <w:tabs>
              <w:tab w:val="left" w:pos="851"/>
            </w:tabs>
            <w:spacing w:after="0" w:line="240" w:lineRule="auto"/>
          </w:pPr>
        </w:p>
        <w:p w14:paraId="4615EFB6" w14:textId="77777777" w:rsidR="00C02EAB" w:rsidRDefault="00C02EAB" w:rsidP="00D6148D">
          <w:pPr>
            <w:tabs>
              <w:tab w:val="left" w:pos="851"/>
            </w:tabs>
            <w:spacing w:after="0" w:line="240" w:lineRule="auto"/>
            <w:rPr>
              <w:b/>
              <w:bCs/>
            </w:rPr>
          </w:pPr>
        </w:p>
        <w:p w14:paraId="762A3CC3" w14:textId="77777777" w:rsidR="00C02EAB" w:rsidRDefault="00C02EAB" w:rsidP="00D6148D">
          <w:pPr>
            <w:tabs>
              <w:tab w:val="left" w:pos="851"/>
            </w:tabs>
            <w:spacing w:after="0" w:line="240" w:lineRule="auto"/>
            <w:rPr>
              <w:b/>
              <w:bCs/>
            </w:rPr>
          </w:pPr>
        </w:p>
        <w:p w14:paraId="258B3707" w14:textId="5299ED1C" w:rsidR="00785057" w:rsidRPr="00D6148D" w:rsidRDefault="002A4420" w:rsidP="00D6148D">
          <w:pPr>
            <w:tabs>
              <w:tab w:val="left" w:pos="851"/>
            </w:tabs>
            <w:spacing w:after="0" w:line="240" w:lineRule="auto"/>
            <w:rPr>
              <w:b/>
              <w:bCs/>
            </w:rPr>
          </w:pPr>
          <w:r w:rsidRPr="00D6148D">
            <w:rPr>
              <w:b/>
              <w:bCs/>
            </w:rPr>
            <w:lastRenderedPageBreak/>
            <w:t>R</w:t>
          </w:r>
          <w:r w:rsidRPr="00530284">
            <w:rPr>
              <w:b/>
              <w:bCs/>
            </w:rPr>
            <w:t xml:space="preserve">emove the Minister’s </w:t>
          </w:r>
          <w:r w:rsidR="00D6148D" w:rsidRPr="00D6148D">
            <w:rPr>
              <w:b/>
              <w:bCs/>
            </w:rPr>
            <w:t>A</w:t>
          </w:r>
          <w:r w:rsidRPr="00530284">
            <w:rPr>
              <w:b/>
              <w:bCs/>
            </w:rPr>
            <w:t>uthority</w:t>
          </w:r>
        </w:p>
        <w:p w14:paraId="59964694" w14:textId="08C8AD57" w:rsidR="00530284" w:rsidRDefault="00530284" w:rsidP="00D6148D">
          <w:pPr>
            <w:tabs>
              <w:tab w:val="left" w:pos="851"/>
            </w:tabs>
            <w:spacing w:after="0" w:line="240" w:lineRule="auto"/>
          </w:pPr>
          <w:r w:rsidRPr="00530284">
            <w:t>Second, and in a similar vein, the bill proposes to remove the Minister’s authority to, by Minister’s ruling, approve the use of innovative materials, systems or building designs that have been evaluated by an entity designated in the Ontario Building Code. At present, the only evaluation body designated in the Building Code is the CCMC. While the CCMC’s approvals are valid for many other provinces, in Ontario at present, an approved product may not be used in construction without a Minister’s ruling.</w:t>
          </w:r>
        </w:p>
        <w:p w14:paraId="1893A8FD" w14:textId="77777777" w:rsidR="00D6148D" w:rsidRPr="00530284" w:rsidRDefault="00D6148D" w:rsidP="00D6148D">
          <w:pPr>
            <w:tabs>
              <w:tab w:val="left" w:pos="851"/>
            </w:tabs>
            <w:spacing w:after="0" w:line="240" w:lineRule="auto"/>
          </w:pPr>
        </w:p>
        <w:p w14:paraId="751E84BD" w14:textId="77777777" w:rsidR="00530284" w:rsidRPr="00530284" w:rsidRDefault="00530284" w:rsidP="00B57275">
          <w:pPr>
            <w:tabs>
              <w:tab w:val="left" w:pos="851"/>
            </w:tabs>
            <w:spacing w:after="0"/>
          </w:pPr>
          <w:r w:rsidRPr="00530284">
            <w:t>These changes would remove the need for manufacturers to obtain a secondary approval of new and innovative building materials, thereby saving time and money and enhancing the private sector’s ability to introduce new and innovative construction techniques in Ontario. Regulatory changes to the Building Code itself are anticipated to follow to speed up this approval process, including removing application fees for Canadian manufacturers.</w:t>
          </w:r>
        </w:p>
        <w:p w14:paraId="1DDF03B2" w14:textId="77777777" w:rsidR="00B57275" w:rsidRDefault="00B57275" w:rsidP="00B57275">
          <w:pPr>
            <w:tabs>
              <w:tab w:val="left" w:pos="851"/>
            </w:tabs>
            <w:spacing w:after="0"/>
            <w:rPr>
              <w:b/>
              <w:bCs/>
            </w:rPr>
          </w:pPr>
        </w:p>
        <w:p w14:paraId="0C0C2B7D" w14:textId="4FFE62BA" w:rsidR="00785057" w:rsidRDefault="00CC4E9E" w:rsidP="00B57275">
          <w:pPr>
            <w:tabs>
              <w:tab w:val="left" w:pos="851"/>
            </w:tabs>
            <w:spacing w:after="0"/>
            <w:rPr>
              <w:b/>
              <w:bCs/>
            </w:rPr>
          </w:pPr>
          <w:r>
            <w:rPr>
              <w:b/>
              <w:bCs/>
            </w:rPr>
            <w:t>Ministry of Infrastructure Act, 2011</w:t>
          </w:r>
        </w:p>
        <w:p w14:paraId="0E160479" w14:textId="77777777" w:rsidR="000E775E" w:rsidRPr="00785057" w:rsidRDefault="000E775E" w:rsidP="00B57275">
          <w:pPr>
            <w:tabs>
              <w:tab w:val="left" w:pos="851"/>
            </w:tabs>
            <w:spacing w:after="0"/>
            <w:rPr>
              <w:b/>
              <w:bCs/>
            </w:rPr>
          </w:pPr>
        </w:p>
        <w:p w14:paraId="504C7D09" w14:textId="47FC6BEF" w:rsidR="0027610D" w:rsidRPr="0027610D" w:rsidRDefault="0027610D" w:rsidP="000A3C52">
          <w:pPr>
            <w:tabs>
              <w:tab w:val="left" w:pos="851"/>
            </w:tabs>
            <w:spacing w:after="0"/>
          </w:pPr>
          <w:r w:rsidRPr="00E80E80">
            <w:t>Currently, the Minister of Infrastructure (pursuant to the </w:t>
          </w:r>
          <w:r w:rsidRPr="00E80E80">
            <w:rPr>
              <w:i/>
              <w:iCs/>
            </w:rPr>
            <w:t>Ministry of Infrastructure Act, 2011</w:t>
          </w:r>
          <w:r w:rsidRPr="00E80E80">
            <w:t>) and the Minister of Transportation (pursuant to the </w:t>
          </w:r>
          <w:r w:rsidRPr="00E80E80">
            <w:rPr>
              <w:i/>
              <w:iCs/>
            </w:rPr>
            <w:t>Transit-Oriented Communities Act, 2020</w:t>
          </w:r>
          <w:r w:rsidRPr="00E80E80">
            <w:t>) may, subject to approval of the Lieutenant Governor in Council, support or develop transit-oriented community projects related to priority transit projects.</w:t>
          </w:r>
          <w:r w:rsidR="00EC55C5">
            <w:t xml:space="preserve"> </w:t>
          </w:r>
          <w:r w:rsidRPr="0027610D">
            <w:t>As noted above, Bill 17’s proposed amendments to the </w:t>
          </w:r>
          <w:r w:rsidRPr="0027610D">
            <w:rPr>
              <w:i/>
              <w:iCs/>
            </w:rPr>
            <w:t>Transit-Oriented Communities Act, 2020</w:t>
          </w:r>
          <w:r w:rsidRPr="0027610D">
            <w:t> would remove the Minister of Transportation’s authority related to “provincial transit projects” and would place this authority with the Minister of Infrastructure and their delegates. Amendments to the </w:t>
          </w:r>
          <w:r w:rsidRPr="0027610D">
            <w:rPr>
              <w:i/>
              <w:iCs/>
            </w:rPr>
            <w:t>Ministry of Infrastructure Act, 2011</w:t>
          </w:r>
          <w:r w:rsidRPr="0027610D">
            <w:t> are proposed to reflect this change.</w:t>
          </w:r>
        </w:p>
        <w:p w14:paraId="1DFBF5DE" w14:textId="77777777" w:rsidR="000A3C52" w:rsidRDefault="000A3C52" w:rsidP="000A3C52">
          <w:pPr>
            <w:tabs>
              <w:tab w:val="left" w:pos="3024"/>
            </w:tabs>
            <w:spacing w:after="0"/>
          </w:pPr>
        </w:p>
        <w:p w14:paraId="7513DCAB" w14:textId="5ADAFBD5" w:rsidR="00CC4E9E" w:rsidRDefault="0027610D" w:rsidP="000A3C52">
          <w:pPr>
            <w:tabs>
              <w:tab w:val="left" w:pos="3024"/>
            </w:tabs>
            <w:spacing w:after="0"/>
          </w:pPr>
          <w:r w:rsidRPr="0027610D">
            <w:t>Bill 17 also proposes to add a new section to the </w:t>
          </w:r>
          <w:r w:rsidRPr="0027610D">
            <w:rPr>
              <w:i/>
              <w:iCs/>
            </w:rPr>
            <w:t>Ministry of Infrastructure Act, 2011</w:t>
          </w:r>
          <w:r w:rsidRPr="0027610D">
            <w:t> that would require municipalities and municipal agencies to comply with the Minister of Infrastructure’s directives for the provision of information</w:t>
          </w:r>
          <w:r w:rsidR="00F41827">
            <w:t>.</w:t>
          </w:r>
        </w:p>
        <w:p w14:paraId="4846CAA4" w14:textId="77777777" w:rsidR="000A3C52" w:rsidRDefault="000A3C52" w:rsidP="000A3C52">
          <w:pPr>
            <w:tabs>
              <w:tab w:val="left" w:pos="3024"/>
            </w:tabs>
            <w:spacing w:after="0"/>
            <w:rPr>
              <w:b/>
              <w:bCs/>
            </w:rPr>
          </w:pPr>
        </w:p>
        <w:p w14:paraId="12439BEF" w14:textId="2ED54F0F" w:rsidR="00E80E80" w:rsidRDefault="000B2434" w:rsidP="000A3C52">
          <w:pPr>
            <w:tabs>
              <w:tab w:val="left" w:pos="3024"/>
            </w:tabs>
            <w:spacing w:after="0"/>
          </w:pPr>
          <w:r>
            <w:rPr>
              <w:b/>
              <w:bCs/>
            </w:rPr>
            <w:t>Transit Oriented Communities Act, 2020</w:t>
          </w:r>
        </w:p>
        <w:p w14:paraId="1D84EAFC" w14:textId="77777777" w:rsidR="000A3C52" w:rsidRDefault="000A3C52" w:rsidP="000A3C52">
          <w:pPr>
            <w:tabs>
              <w:tab w:val="left" w:pos="3024"/>
            </w:tabs>
            <w:spacing w:after="0"/>
          </w:pPr>
        </w:p>
        <w:p w14:paraId="1E0D8045" w14:textId="225477CE" w:rsidR="009B793E" w:rsidRPr="009B793E" w:rsidRDefault="009B793E" w:rsidP="000A3C52">
          <w:pPr>
            <w:tabs>
              <w:tab w:val="left" w:pos="3024"/>
            </w:tabs>
            <w:spacing w:after="0"/>
          </w:pPr>
          <w:r w:rsidRPr="009B793E">
            <w:t>Through Bill 17, the Minister of Infrastructure replaces the Minister of Transportation in matters relating to the administration of the </w:t>
          </w:r>
          <w:r w:rsidRPr="009B793E">
            <w:rPr>
              <w:i/>
              <w:iCs/>
            </w:rPr>
            <w:t>Transit-Oriented Communities Act</w:t>
          </w:r>
          <w:r>
            <w:t>, 2020</w:t>
          </w:r>
          <w:r w:rsidRPr="009B793E">
            <w:t>. As well, the definition of “priority transit project” would be expanded to include provincial transit projects pursuant to the above-noted </w:t>
          </w:r>
          <w:r w:rsidRPr="009B793E">
            <w:rPr>
              <w:i/>
              <w:iCs/>
            </w:rPr>
            <w:t>Building Transit Faster Act</w:t>
          </w:r>
          <w:r>
            <w:t>, 2020</w:t>
          </w:r>
          <w:r w:rsidRPr="009B793E">
            <w:t> revisions.</w:t>
          </w:r>
        </w:p>
        <w:p w14:paraId="06FE9483" w14:textId="77777777" w:rsidR="009B793E" w:rsidRPr="009B793E" w:rsidRDefault="009B793E" w:rsidP="000A3C52">
          <w:pPr>
            <w:tabs>
              <w:tab w:val="left" w:pos="3024"/>
            </w:tabs>
            <w:spacing w:after="0"/>
          </w:pPr>
          <w:r w:rsidRPr="009B793E">
            <w:t>Certain procedures would also be streamlined, as Bill 17 proposes to eliminate the necessity of approval from the Lieutenant Governor in Council for any dealings between the Minister of Infrastructure, or their delegate, and a municipality or First Nation.</w:t>
          </w:r>
        </w:p>
        <w:p w14:paraId="53E6C08C" w14:textId="77777777" w:rsidR="004F5744" w:rsidRDefault="004F5744" w:rsidP="000A3C52">
          <w:pPr>
            <w:tabs>
              <w:tab w:val="left" w:pos="3024"/>
            </w:tabs>
            <w:spacing w:after="0"/>
          </w:pPr>
        </w:p>
        <w:p w14:paraId="6F9416F7" w14:textId="025D648A" w:rsidR="009B793E" w:rsidRPr="009B793E" w:rsidRDefault="009B793E" w:rsidP="000A3C52">
          <w:pPr>
            <w:tabs>
              <w:tab w:val="left" w:pos="3024"/>
            </w:tabs>
            <w:spacing w:after="0"/>
          </w:pPr>
          <w:r w:rsidRPr="009B793E">
            <w:lastRenderedPageBreak/>
            <w:t>Critically, the </w:t>
          </w:r>
          <w:r w:rsidRPr="009B793E">
            <w:rPr>
              <w:i/>
              <w:iCs/>
            </w:rPr>
            <w:t>Transit-Oriented Communities Act</w:t>
          </w:r>
          <w:r>
            <w:t>, 2020</w:t>
          </w:r>
          <w:r w:rsidRPr="009B793E">
            <w:t> would be revised to expand the list of entities that the Minister of Infrastructure may delegate certain powers to, including Metrolinx and the Ontario Infrastructure and Lands Corporation. These delegates would be permitted to enter into agreements with landowners that are required to support a transit-oriented community project. Bill 17 also proposes that such agreements may be registered on title and enforced by the Minister of Infrastructure or the municipality against the landowner and all subsequent owners.</w:t>
          </w:r>
        </w:p>
        <w:p w14:paraId="0B096466" w14:textId="77777777" w:rsidR="004F5744" w:rsidRDefault="004F5744" w:rsidP="000A3C52">
          <w:pPr>
            <w:tabs>
              <w:tab w:val="left" w:pos="3024"/>
            </w:tabs>
            <w:spacing w:after="0"/>
          </w:pPr>
        </w:p>
        <w:p w14:paraId="1F41F679" w14:textId="26B50EE6" w:rsidR="009B793E" w:rsidRPr="009B793E" w:rsidRDefault="009B793E" w:rsidP="000A3C52">
          <w:pPr>
            <w:tabs>
              <w:tab w:val="left" w:pos="3024"/>
            </w:tabs>
            <w:spacing w:after="0"/>
          </w:pPr>
          <w:r w:rsidRPr="009B793E">
            <w:t>The changes would also require the Minister of Infrastructure, or their delegate, to ensure that any funds invested in transit-oriented community projects are also invested in accordance with an approved investment policy.</w:t>
          </w:r>
        </w:p>
        <w:p w14:paraId="4D41557D" w14:textId="77777777" w:rsidR="000A3C52" w:rsidRDefault="000A3C52" w:rsidP="000A3C52">
          <w:pPr>
            <w:tabs>
              <w:tab w:val="left" w:pos="3024"/>
            </w:tabs>
            <w:spacing w:after="0"/>
            <w:rPr>
              <w:b/>
              <w:bCs/>
            </w:rPr>
          </w:pPr>
        </w:p>
        <w:p w14:paraId="137DF20A" w14:textId="23051AC1" w:rsidR="00E80E80" w:rsidRDefault="0089311C" w:rsidP="000A3C52">
          <w:pPr>
            <w:tabs>
              <w:tab w:val="left" w:pos="3024"/>
            </w:tabs>
            <w:spacing w:after="0"/>
          </w:pPr>
          <w:r>
            <w:rPr>
              <w:b/>
              <w:bCs/>
            </w:rPr>
            <w:t>Metrolinx Act, 2006</w:t>
          </w:r>
        </w:p>
        <w:p w14:paraId="775808C9" w14:textId="77777777" w:rsidR="000A3C52" w:rsidRDefault="000A3C52" w:rsidP="000A3C52">
          <w:pPr>
            <w:tabs>
              <w:tab w:val="left" w:pos="3024"/>
            </w:tabs>
            <w:spacing w:after="0"/>
          </w:pPr>
        </w:p>
        <w:p w14:paraId="791A974D" w14:textId="5E7987B5" w:rsidR="0089311C" w:rsidRDefault="0089311C" w:rsidP="000A3C52">
          <w:pPr>
            <w:tabs>
              <w:tab w:val="left" w:pos="3024"/>
            </w:tabs>
            <w:spacing w:after="0"/>
          </w:pPr>
          <w:r w:rsidRPr="0089311C">
            <w:t>Bill 17’s proposed change to the </w:t>
          </w:r>
          <w:r w:rsidRPr="0089311C">
            <w:rPr>
              <w:i/>
              <w:iCs/>
            </w:rPr>
            <w:t>Metrolinx Act</w:t>
          </w:r>
          <w:r>
            <w:t>, 2006</w:t>
          </w:r>
          <w:r w:rsidRPr="00811872">
            <w:t> </w:t>
          </w:r>
          <w:r w:rsidRPr="0089311C">
            <w:t>stipulates that the Minister of Transportation may direct a municipality, including certain municipal agencies, to provide information that may be required to support the development of a provincial transit project or transit-oriented community project. This could include data, contracts, reports, surveys, plans and other documents that the Minister of Transportation believes are necessary to support a provincial transit project or transit-oriented community project.</w:t>
          </w:r>
        </w:p>
        <w:p w14:paraId="6108AE30" w14:textId="77777777" w:rsidR="008B0D12" w:rsidRDefault="008B0D12" w:rsidP="0027610D">
          <w:pPr>
            <w:tabs>
              <w:tab w:val="left" w:pos="3024"/>
            </w:tabs>
            <w:rPr>
              <w:b/>
              <w:bCs/>
            </w:rPr>
          </w:pPr>
        </w:p>
        <w:p w14:paraId="00A609C0" w14:textId="640CFB11" w:rsidR="00F0778E" w:rsidRDefault="00F0778E" w:rsidP="0027610D">
          <w:pPr>
            <w:tabs>
              <w:tab w:val="left" w:pos="3024"/>
            </w:tabs>
          </w:pPr>
          <w:r>
            <w:rPr>
              <w:b/>
              <w:bCs/>
            </w:rPr>
            <w:t>Building</w:t>
          </w:r>
          <w:r w:rsidR="00746D7C">
            <w:rPr>
              <w:b/>
              <w:bCs/>
            </w:rPr>
            <w:t xml:space="preserve"> Transit Faster Act, 2020</w:t>
          </w:r>
        </w:p>
        <w:p w14:paraId="71423C0F" w14:textId="6D79D2ED" w:rsidR="00F0778E" w:rsidRPr="00F0778E" w:rsidRDefault="00F0778E" w:rsidP="00F0778E">
          <w:pPr>
            <w:tabs>
              <w:tab w:val="left" w:pos="3024"/>
            </w:tabs>
          </w:pPr>
          <w:r w:rsidRPr="00F0778E">
            <w:t>As readers may recall, the </w:t>
          </w:r>
          <w:r w:rsidRPr="00F0778E">
            <w:rPr>
              <w:i/>
              <w:iCs/>
            </w:rPr>
            <w:t>Building Transit Faster Act</w:t>
          </w:r>
          <w:r>
            <w:t>, 2020</w:t>
          </w:r>
          <w:r w:rsidRPr="00F0778E">
            <w:t> eliminates certain expropriation-related procedural steps relating to the construction of the Ontario Line, the Scarborough Subway Extension, the Yonge Subway Extension and the Eglinton Crosstown West Extension.</w:t>
          </w:r>
        </w:p>
        <w:p w14:paraId="1506F1E1" w14:textId="7543415D" w:rsidR="00F0778E" w:rsidRPr="00F0778E" w:rsidRDefault="00F0778E" w:rsidP="00F0778E">
          <w:pPr>
            <w:tabs>
              <w:tab w:val="left" w:pos="3024"/>
            </w:tabs>
          </w:pPr>
          <w:r w:rsidRPr="00F0778E">
            <w:t>Bill 17 proposes to amend the </w:t>
          </w:r>
          <w:r w:rsidRPr="00F0778E">
            <w:rPr>
              <w:i/>
              <w:iCs/>
            </w:rPr>
            <w:t>Building Transit Faster Act</w:t>
          </w:r>
          <w:r>
            <w:t>, 2020</w:t>
          </w:r>
          <w:r w:rsidRPr="00F0778E">
            <w:t> to generally replace the concept of “priority transit project” with “provincial transit project.” The bill currently defines “provincial transit project” as “a transit project that Metrolinx has authority to carry out and includes a project that, immediately before the day subsection 1 (2) of Schedule 2 to the </w:t>
          </w:r>
          <w:r w:rsidRPr="00F0778E">
            <w:rPr>
              <w:i/>
              <w:iCs/>
            </w:rPr>
            <w:t>Protect Ontario by Building Faster and Smarter Act, 2025</w:t>
          </w:r>
          <w:r w:rsidRPr="00F0778E">
            <w:t> came into force, was a priority transit project.”</w:t>
          </w:r>
        </w:p>
        <w:p w14:paraId="467A03E7" w14:textId="77777777" w:rsidR="00F0778E" w:rsidRPr="00F0778E" w:rsidRDefault="00F0778E" w:rsidP="00F0778E">
          <w:pPr>
            <w:tabs>
              <w:tab w:val="left" w:pos="3024"/>
            </w:tabs>
          </w:pPr>
          <w:r w:rsidRPr="00F0778E">
            <w:t>This change would have the practical effect of expanding the types of projects that may benefit from the procedural relief introduced by the </w:t>
          </w:r>
          <w:r w:rsidRPr="00F0778E">
            <w:rPr>
              <w:i/>
              <w:iCs/>
            </w:rPr>
            <w:t>Building Transit Faster Act</w:t>
          </w:r>
          <w:r>
            <w:t>, 2020</w:t>
          </w:r>
          <w:r w:rsidRPr="00F0778E">
            <w:t> to potentially include all projects that Metrolinx has authority to carry out.</w:t>
          </w:r>
        </w:p>
        <w:p w14:paraId="496AFCCF" w14:textId="77777777" w:rsidR="00C02EAB" w:rsidRDefault="00C02EAB" w:rsidP="00746D7C">
          <w:pPr>
            <w:tabs>
              <w:tab w:val="left" w:pos="851"/>
            </w:tabs>
            <w:rPr>
              <w:b/>
              <w:bCs/>
            </w:rPr>
          </w:pPr>
        </w:p>
        <w:p w14:paraId="25462C3A" w14:textId="77777777" w:rsidR="00C02EAB" w:rsidRDefault="00C02EAB" w:rsidP="00746D7C">
          <w:pPr>
            <w:tabs>
              <w:tab w:val="left" w:pos="851"/>
            </w:tabs>
            <w:rPr>
              <w:b/>
              <w:bCs/>
            </w:rPr>
          </w:pPr>
        </w:p>
        <w:p w14:paraId="726C2715" w14:textId="28717FF2" w:rsidR="00746D7C" w:rsidRDefault="00746D7C" w:rsidP="00746D7C">
          <w:pPr>
            <w:tabs>
              <w:tab w:val="left" w:pos="851"/>
            </w:tabs>
            <w:rPr>
              <w:b/>
              <w:bCs/>
            </w:rPr>
          </w:pPr>
          <w:r>
            <w:rPr>
              <w:b/>
              <w:bCs/>
            </w:rPr>
            <w:lastRenderedPageBreak/>
            <w:t>Next Steps</w:t>
          </w:r>
        </w:p>
        <w:p w14:paraId="3A2439AE" w14:textId="665C8256" w:rsidR="00746D7C" w:rsidRDefault="00746D7C" w:rsidP="00746D7C">
          <w:pPr>
            <w:tabs>
              <w:tab w:val="left" w:pos="851"/>
            </w:tabs>
          </w:pPr>
          <w:r w:rsidRPr="00BD1FA9">
            <w:t xml:space="preserve">Bill 17 has </w:t>
          </w:r>
          <w:r w:rsidR="00516530">
            <w:t>received Royal Assent on June 5</w:t>
          </w:r>
          <w:r w:rsidR="00516530" w:rsidRPr="00516530">
            <w:rPr>
              <w:vertAlign w:val="superscript"/>
            </w:rPr>
            <w:t>th</w:t>
          </w:r>
          <w:r w:rsidR="00516530">
            <w:t xml:space="preserve">, 2025. </w:t>
          </w:r>
          <w:r w:rsidR="008D6B04">
            <w:t xml:space="preserve">East Gwillimbury will </w:t>
          </w:r>
          <w:r w:rsidRPr="00BD1FA9">
            <w:t xml:space="preserve">continue to monitor its </w:t>
          </w:r>
          <w:r w:rsidR="008D6B04">
            <w:t>impacts</w:t>
          </w:r>
          <w:r w:rsidRPr="00BD1FA9">
            <w:t xml:space="preserve"> and prepare for the changes and potential impacts upon </w:t>
          </w:r>
          <w:r w:rsidRPr="001B633F">
            <w:t xml:space="preserve">Ontario’s planning, development, and infrastructure landscape. </w:t>
          </w:r>
          <w:r w:rsidR="001B633F">
            <w:t xml:space="preserve">Staff </w:t>
          </w:r>
          <w:r w:rsidR="002731E5" w:rsidRPr="002731E5">
            <w:t xml:space="preserve">will inform </w:t>
          </w:r>
          <w:r w:rsidR="002731E5">
            <w:t xml:space="preserve">Council </w:t>
          </w:r>
          <w:r w:rsidR="002731E5" w:rsidRPr="002731E5">
            <w:t xml:space="preserve">of </w:t>
          </w:r>
          <w:r w:rsidR="008D6B04">
            <w:t>resulting</w:t>
          </w:r>
          <w:r w:rsidR="002731E5" w:rsidRPr="002731E5">
            <w:t xml:space="preserve"> impacts to </w:t>
          </w:r>
          <w:r w:rsidR="00BA535A">
            <w:t xml:space="preserve">the </w:t>
          </w:r>
          <w:r w:rsidR="002731E5" w:rsidRPr="002731E5">
            <w:t>municipalit</w:t>
          </w:r>
          <w:r w:rsidR="00BA535A">
            <w:t>y</w:t>
          </w:r>
          <w:r w:rsidR="002731E5" w:rsidRPr="002731E5">
            <w:t xml:space="preserve">. </w:t>
          </w:r>
        </w:p>
        <w:p w14:paraId="6D46D5A0" w14:textId="302D380B" w:rsidR="00D10F37" w:rsidRPr="00D10F37" w:rsidRDefault="005C31AE" w:rsidP="005C31AE">
          <w:pPr>
            <w:tabs>
              <w:tab w:val="left" w:pos="851"/>
            </w:tabs>
            <w:spacing w:after="0"/>
          </w:pPr>
          <w:r>
            <w:t xml:space="preserve">Comments </w:t>
          </w:r>
          <w:r w:rsidR="00BA535A">
            <w:t xml:space="preserve">will </w:t>
          </w:r>
          <w:r w:rsidR="00D10F37" w:rsidRPr="00D10F37">
            <w:t>be submitted through the Environmental Registry of Ontario posting, with respect to the proposals below:</w:t>
          </w:r>
        </w:p>
        <w:p w14:paraId="517E5F86" w14:textId="77777777" w:rsidR="00D10F37" w:rsidRPr="00D10F37" w:rsidRDefault="00D10F37" w:rsidP="005C31AE">
          <w:pPr>
            <w:numPr>
              <w:ilvl w:val="0"/>
              <w:numId w:val="18"/>
            </w:numPr>
            <w:tabs>
              <w:tab w:val="left" w:pos="851"/>
            </w:tabs>
            <w:spacing w:after="0"/>
          </w:pPr>
          <w:r w:rsidRPr="00D10F37">
            <w:t>Proposed </w:t>
          </w:r>
          <w:r w:rsidRPr="00D10F37">
            <w:rPr>
              <w:i/>
              <w:iCs/>
            </w:rPr>
            <w:t>Planning Act</w:t>
          </w:r>
          <w:r w:rsidRPr="00D10F37">
            <w:t> and </w:t>
          </w:r>
          <w:r w:rsidRPr="00D10F37">
            <w:rPr>
              <w:i/>
              <w:iCs/>
            </w:rPr>
            <w:t>City of Toronto Act, 2006</w:t>
          </w:r>
          <w:r w:rsidRPr="00D10F37">
            <w:t> Changes (Schedules 3 and 7 of Bill 17 – </w:t>
          </w:r>
          <w:r w:rsidRPr="00D10F37">
            <w:rPr>
              <w:i/>
              <w:iCs/>
            </w:rPr>
            <w:t>Protect Ontario by Building Faster and Smarter Act, 2025</w:t>
          </w:r>
          <w:r w:rsidRPr="00D10F37">
            <w:t>) | </w:t>
          </w:r>
          <w:hyperlink r:id="rId18" w:tgtFrame="_blank" w:history="1">
            <w:r w:rsidRPr="00D10F37">
              <w:rPr>
                <w:rStyle w:val="Hyperlink"/>
              </w:rPr>
              <w:t>ERO Number 025-0461</w:t>
            </w:r>
          </w:hyperlink>
          <w:r w:rsidRPr="00D10F37">
            <w:t> (comment period closes June 11, 2025);</w:t>
          </w:r>
        </w:p>
        <w:p w14:paraId="78237004" w14:textId="77777777" w:rsidR="00D10F37" w:rsidRPr="00D10F37" w:rsidRDefault="00D10F37" w:rsidP="005C31AE">
          <w:pPr>
            <w:numPr>
              <w:ilvl w:val="0"/>
              <w:numId w:val="18"/>
            </w:numPr>
            <w:tabs>
              <w:tab w:val="left" w:pos="851"/>
            </w:tabs>
            <w:spacing w:after="0"/>
          </w:pPr>
          <w:r w:rsidRPr="00D10F37">
            <w:t>Bill 17: </w:t>
          </w:r>
          <w:r w:rsidRPr="00D10F37">
            <w:rPr>
              <w:i/>
              <w:iCs/>
            </w:rPr>
            <w:t>Protect Ontario by Building Faster and Smarter Act, 2025</w:t>
          </w:r>
          <w:r w:rsidRPr="00D10F37">
            <w:t> – Amendment to the </w:t>
          </w:r>
          <w:r w:rsidRPr="00D10F37">
            <w:rPr>
              <w:i/>
              <w:iCs/>
            </w:rPr>
            <w:t>Building Transit Faster Act, 2020</w:t>
          </w:r>
          <w:r w:rsidRPr="00D10F37">
            <w:t> | </w:t>
          </w:r>
          <w:hyperlink r:id="rId19" w:tgtFrame="_blank" w:history="1">
            <w:r w:rsidRPr="00D10F37">
              <w:rPr>
                <w:rStyle w:val="Hyperlink"/>
              </w:rPr>
              <w:t>ERO Number 025-0450</w:t>
            </w:r>
          </w:hyperlink>
          <w:r w:rsidRPr="00D10F37">
            <w:t> (comment period closes June 11, 2025);</w:t>
          </w:r>
        </w:p>
        <w:p w14:paraId="028D4F94" w14:textId="77777777" w:rsidR="00D10F37" w:rsidRPr="00D10F37" w:rsidRDefault="00D10F37" w:rsidP="005C31AE">
          <w:pPr>
            <w:numPr>
              <w:ilvl w:val="0"/>
              <w:numId w:val="18"/>
            </w:numPr>
            <w:tabs>
              <w:tab w:val="left" w:pos="851"/>
            </w:tabs>
            <w:spacing w:after="0"/>
          </w:pPr>
          <w:r w:rsidRPr="00D10F37">
            <w:t>Bill 17 – </w:t>
          </w:r>
          <w:r w:rsidRPr="00D10F37">
            <w:rPr>
              <w:i/>
              <w:iCs/>
            </w:rPr>
            <w:t>Protect Ontario by Building Faster and Smarter Act, 2025</w:t>
          </w:r>
          <w:r w:rsidRPr="00D10F37">
            <w:t> – Accelerating Delivery of Transit-Oriented Communities | </w:t>
          </w:r>
          <w:hyperlink r:id="rId20" w:tgtFrame="_blank" w:history="1">
            <w:r w:rsidRPr="00D10F37">
              <w:rPr>
                <w:rStyle w:val="Hyperlink"/>
              </w:rPr>
              <w:t>ERO Number 025-0504</w:t>
            </w:r>
          </w:hyperlink>
          <w:r w:rsidRPr="00D10F37">
            <w:t> (comment period closes June 12, 2025);</w:t>
          </w:r>
        </w:p>
        <w:p w14:paraId="023299A4" w14:textId="77777777" w:rsidR="00D10F37" w:rsidRPr="00D10F37" w:rsidRDefault="00D10F37" w:rsidP="005C31AE">
          <w:pPr>
            <w:numPr>
              <w:ilvl w:val="0"/>
              <w:numId w:val="18"/>
            </w:numPr>
            <w:tabs>
              <w:tab w:val="left" w:pos="851"/>
            </w:tabs>
            <w:spacing w:after="0"/>
          </w:pPr>
          <w:r w:rsidRPr="00D10F37">
            <w:t>Proposed Regulation – As-of-right Variations from Setback Requirements | </w:t>
          </w:r>
          <w:hyperlink r:id="rId21" w:tgtFrame="_blank" w:history="1">
            <w:r w:rsidRPr="00D10F37">
              <w:rPr>
                <w:rStyle w:val="Hyperlink"/>
              </w:rPr>
              <w:t>ERO Number 025-0463</w:t>
            </w:r>
          </w:hyperlink>
          <w:r w:rsidRPr="00D10F37">
            <w:t> (comment period closes June 26, 2025); and</w:t>
          </w:r>
        </w:p>
        <w:p w14:paraId="09D6EECA" w14:textId="463D8769" w:rsidR="00D10F37" w:rsidRPr="005C31AE" w:rsidRDefault="00D10F37" w:rsidP="005C31AE">
          <w:pPr>
            <w:numPr>
              <w:ilvl w:val="0"/>
              <w:numId w:val="18"/>
            </w:numPr>
            <w:tabs>
              <w:tab w:val="left" w:pos="851"/>
            </w:tabs>
            <w:spacing w:after="0"/>
          </w:pPr>
          <w:r w:rsidRPr="00D10F37">
            <w:t>Proposed Regulations – Complete Application | </w:t>
          </w:r>
          <w:hyperlink r:id="rId22">
            <w:r w:rsidR="1FC54BC3" w:rsidRPr="211EE1A9">
              <w:rPr>
                <w:rStyle w:val="Hyperlink"/>
              </w:rPr>
              <w:t>ERO Number 025-0462</w:t>
            </w:r>
          </w:hyperlink>
          <w:r w:rsidRPr="00D10F37">
            <w:t> (comment period closes June 26, 2025).</w:t>
          </w:r>
        </w:p>
        <w:p w14:paraId="5C41DE23" w14:textId="536E6B77" w:rsidR="00E83E20" w:rsidRDefault="00E83E20" w:rsidP="00F11255">
          <w:pPr>
            <w:tabs>
              <w:tab w:val="left" w:pos="851"/>
            </w:tabs>
            <w:rPr>
              <w:b/>
              <w:bCs/>
            </w:rPr>
          </w:pPr>
        </w:p>
        <w:p w14:paraId="3A9E6C05" w14:textId="45BF5401" w:rsidR="00F11255" w:rsidRPr="00E95D36" w:rsidRDefault="00F11255" w:rsidP="00F11255">
          <w:pPr>
            <w:tabs>
              <w:tab w:val="left" w:pos="851"/>
            </w:tabs>
            <w:rPr>
              <w:b/>
              <w:bCs/>
            </w:rPr>
          </w:pPr>
          <w:r>
            <w:rPr>
              <w:b/>
              <w:bCs/>
            </w:rPr>
            <w:t>Conclusion</w:t>
          </w:r>
        </w:p>
        <w:p w14:paraId="7C0612F9" w14:textId="01F7A797" w:rsidR="00F11255" w:rsidRPr="00F11255" w:rsidRDefault="00D507F4" w:rsidP="00F11255">
          <w:pPr>
            <w:tabs>
              <w:tab w:val="left" w:pos="851"/>
            </w:tabs>
          </w:pPr>
          <w:r>
            <w:rPr>
              <w:lang w:val="en-US"/>
            </w:rPr>
            <w:t xml:space="preserve">On </w:t>
          </w:r>
          <w:r w:rsidRPr="001C236D">
            <w:t xml:space="preserve">May 12, 2025, the Ontario government </w:t>
          </w:r>
          <w:r>
            <w:t>introduced</w:t>
          </w:r>
          <w:r w:rsidRPr="001C236D">
            <w:t> Bill 17, the </w:t>
          </w:r>
          <w:hyperlink r:id="rId23">
            <w:r w:rsidR="3C9E2888" w:rsidRPr="211EE1A9">
              <w:rPr>
                <w:rStyle w:val="Hyperlink"/>
                <w:i/>
                <w:iCs/>
              </w:rPr>
              <w:t>Protect Ontario by Building Faster and Smarter</w:t>
            </w:r>
            <w:r w:rsidR="3C9E2888" w:rsidRPr="211EE1A9">
              <w:rPr>
                <w:rStyle w:val="Hyperlink"/>
              </w:rPr>
              <w:t> </w:t>
            </w:r>
            <w:r w:rsidR="3C9E2888" w:rsidRPr="211EE1A9">
              <w:rPr>
                <w:rStyle w:val="Hyperlink"/>
                <w:i/>
                <w:iCs/>
              </w:rPr>
              <w:t>Act, 2025</w:t>
            </w:r>
          </w:hyperlink>
          <w:r w:rsidR="648D137E">
            <w:t>.</w:t>
          </w:r>
          <w:r w:rsidR="00BC77B0">
            <w:t xml:space="preserve"> </w:t>
          </w:r>
          <w:r w:rsidR="00B6329F" w:rsidRPr="00B6329F">
            <w:t xml:space="preserve">Bill 17 introduces a series of measures intended to accelerate and enhance housing supply and infrastructure projects and create consistent and transparent approval processes. </w:t>
          </w:r>
          <w:r w:rsidR="009F7564" w:rsidRPr="009F7564">
            <w:t>The province has indicated its intention to consult with municipalities on select changes proposed through Bill 17</w:t>
          </w:r>
          <w:r w:rsidR="00742D1F">
            <w:t xml:space="preserve"> and t</w:t>
          </w:r>
          <w:r w:rsidR="00A16897">
            <w:t xml:space="preserve">he </w:t>
          </w:r>
          <w:r w:rsidR="00A16897" w:rsidRPr="00A16897">
            <w:t xml:space="preserve">proposed legislative and regulatory changes introduced through Bill 17 are open for public comment through Ontario’s </w:t>
          </w:r>
          <w:hyperlink r:id="rId24">
            <w:r w:rsidR="6F0E20B1" w:rsidRPr="211EE1A9">
              <w:rPr>
                <w:rStyle w:val="Hyperlink"/>
              </w:rPr>
              <w:t>Regulatory Registry</w:t>
            </w:r>
          </w:hyperlink>
          <w:r w:rsidR="6F0E20B1">
            <w:t xml:space="preserve"> through to June 2025</w:t>
          </w:r>
          <w:r w:rsidR="64D95F4B">
            <w:t>.</w:t>
          </w:r>
          <w:r w:rsidR="004A3600">
            <w:t xml:space="preserve"> The </w:t>
          </w:r>
          <w:r w:rsidR="004A3600" w:rsidRPr="004A3600">
            <w:t>Association of Municipalities of Ontario (AMO) will be participating in Bill 17’s Standing Committee process, and intends to collaborate with the Ontario Home Builders’ Association, municipalities, and the province to support implementation of the Bill</w:t>
          </w:r>
          <w:r w:rsidR="004A3600">
            <w:t xml:space="preserve">. </w:t>
          </w:r>
          <w:r w:rsidR="00E4046F">
            <w:t xml:space="preserve">Lastly, the </w:t>
          </w:r>
          <w:r w:rsidR="009062E6">
            <w:t>o</w:t>
          </w:r>
          <w:r w:rsidR="007015C5" w:rsidRPr="007015C5">
            <w:t xml:space="preserve">ffice of the CAO, in partnership with </w:t>
          </w:r>
          <w:r w:rsidR="00CC69AC">
            <w:t xml:space="preserve">the Town’s </w:t>
          </w:r>
          <w:r w:rsidR="007015C5" w:rsidRPr="007015C5">
            <w:t>S</w:t>
          </w:r>
          <w:r w:rsidR="00CC69AC">
            <w:t xml:space="preserve">enior </w:t>
          </w:r>
          <w:r w:rsidR="007015C5" w:rsidRPr="007015C5">
            <w:t>M</w:t>
          </w:r>
          <w:r w:rsidR="00CC69AC">
            <w:t xml:space="preserve">anagement </w:t>
          </w:r>
          <w:r w:rsidR="007015C5" w:rsidRPr="007015C5">
            <w:t>T</w:t>
          </w:r>
          <w:r w:rsidR="00CC69AC">
            <w:t>eam</w:t>
          </w:r>
          <w:r w:rsidR="007015C5" w:rsidRPr="007015C5">
            <w:t xml:space="preserve"> and the Office of Mayor and Council, will continue to explore opportunities to advocate to the province on the impacts of this and other legislation, and leverage consultation opportunities to inform implementation.</w:t>
          </w:r>
        </w:p>
      </w:sdtContent>
    </w:sdt>
    <w:sectPr w:rsidR="00F11255" w:rsidRPr="00F11255" w:rsidSect="0075207B">
      <w:headerReference w:type="default" r:id="rId25"/>
      <w:footerReference w:type="default" r:id="rId26"/>
      <w:headerReference w:type="first" r:id="rId27"/>
      <w:footerReference w:type="first" r:id="rId28"/>
      <w:type w:val="continuous"/>
      <w:pgSz w:w="12240" w:h="15840"/>
      <w:pgMar w:top="1440" w:right="1440" w:bottom="1440" w:left="1440" w:header="708" w:footer="708"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FF85" w14:textId="77777777" w:rsidR="00E60C11" w:rsidRDefault="00E60C11" w:rsidP="005D1569">
      <w:pPr>
        <w:spacing w:after="0" w:line="240" w:lineRule="auto"/>
      </w:pPr>
      <w:r>
        <w:separator/>
      </w:r>
    </w:p>
  </w:endnote>
  <w:endnote w:type="continuationSeparator" w:id="0">
    <w:p w14:paraId="47BF27A6" w14:textId="77777777" w:rsidR="00E60C11" w:rsidRDefault="00E60C11" w:rsidP="005D1569">
      <w:pPr>
        <w:spacing w:after="0" w:line="240" w:lineRule="auto"/>
      </w:pPr>
      <w:r>
        <w:continuationSeparator/>
      </w:r>
    </w:p>
  </w:endnote>
  <w:endnote w:type="continuationNotice" w:id="1">
    <w:p w14:paraId="2168956A" w14:textId="77777777" w:rsidR="00E60C11" w:rsidRDefault="00E60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0AA191A" w14:paraId="2CE02349" w14:textId="77777777" w:rsidTr="00312385">
      <w:trPr>
        <w:trHeight w:val="300"/>
      </w:trPr>
      <w:tc>
        <w:tcPr>
          <w:tcW w:w="3120" w:type="dxa"/>
        </w:tcPr>
        <w:p w14:paraId="2325004B" w14:textId="1EA49923" w:rsidR="70AA191A" w:rsidRDefault="70AA191A" w:rsidP="00312385">
          <w:pPr>
            <w:pStyle w:val="Header"/>
            <w:ind w:left="-115"/>
          </w:pPr>
        </w:p>
      </w:tc>
      <w:tc>
        <w:tcPr>
          <w:tcW w:w="3120" w:type="dxa"/>
        </w:tcPr>
        <w:p w14:paraId="73A02D27" w14:textId="4D0FDE80" w:rsidR="70AA191A" w:rsidRDefault="70AA191A" w:rsidP="00312385">
          <w:pPr>
            <w:pStyle w:val="Header"/>
            <w:jc w:val="center"/>
          </w:pPr>
        </w:p>
      </w:tc>
      <w:tc>
        <w:tcPr>
          <w:tcW w:w="3120" w:type="dxa"/>
        </w:tcPr>
        <w:p w14:paraId="7AC137FA" w14:textId="56CBB2CD" w:rsidR="70AA191A" w:rsidRDefault="70AA191A" w:rsidP="00312385">
          <w:pPr>
            <w:pStyle w:val="Header"/>
            <w:ind w:right="-115"/>
            <w:jc w:val="right"/>
          </w:pPr>
        </w:p>
      </w:tc>
    </w:tr>
  </w:tbl>
  <w:p w14:paraId="52A59F54" w14:textId="7F236107" w:rsidR="70AA191A" w:rsidRDefault="70AA191A" w:rsidP="00312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0AA191A" w14:paraId="4D8A2BA9" w14:textId="77777777" w:rsidTr="00312385">
      <w:trPr>
        <w:trHeight w:val="300"/>
      </w:trPr>
      <w:tc>
        <w:tcPr>
          <w:tcW w:w="3120" w:type="dxa"/>
        </w:tcPr>
        <w:p w14:paraId="00C20058" w14:textId="1C1CE3A3" w:rsidR="70AA191A" w:rsidRDefault="70AA191A" w:rsidP="00312385">
          <w:pPr>
            <w:pStyle w:val="Header"/>
            <w:ind w:left="-115"/>
          </w:pPr>
        </w:p>
      </w:tc>
      <w:tc>
        <w:tcPr>
          <w:tcW w:w="3120" w:type="dxa"/>
        </w:tcPr>
        <w:p w14:paraId="51A6641F" w14:textId="1A1D8813" w:rsidR="70AA191A" w:rsidRDefault="70AA191A" w:rsidP="00312385">
          <w:pPr>
            <w:pStyle w:val="Header"/>
            <w:jc w:val="center"/>
          </w:pPr>
        </w:p>
      </w:tc>
      <w:tc>
        <w:tcPr>
          <w:tcW w:w="3120" w:type="dxa"/>
        </w:tcPr>
        <w:p w14:paraId="2DEF089E" w14:textId="7E99BA54" w:rsidR="70AA191A" w:rsidRDefault="70AA191A" w:rsidP="00312385">
          <w:pPr>
            <w:pStyle w:val="Header"/>
            <w:ind w:right="-115"/>
            <w:jc w:val="right"/>
          </w:pPr>
        </w:p>
      </w:tc>
    </w:tr>
  </w:tbl>
  <w:p w14:paraId="78199615" w14:textId="5E4489B6" w:rsidR="70AA191A" w:rsidRDefault="70AA191A" w:rsidP="00312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1DB1" w14:textId="77777777" w:rsidR="00E60C11" w:rsidRDefault="00E60C11" w:rsidP="005D1569">
      <w:pPr>
        <w:spacing w:after="0" w:line="240" w:lineRule="auto"/>
      </w:pPr>
      <w:r>
        <w:separator/>
      </w:r>
    </w:p>
  </w:footnote>
  <w:footnote w:type="continuationSeparator" w:id="0">
    <w:p w14:paraId="41757A37" w14:textId="77777777" w:rsidR="00E60C11" w:rsidRDefault="00E60C11" w:rsidP="005D1569">
      <w:pPr>
        <w:spacing w:after="0" w:line="240" w:lineRule="auto"/>
      </w:pPr>
      <w:r>
        <w:continuationSeparator/>
      </w:r>
    </w:p>
  </w:footnote>
  <w:footnote w:type="continuationNotice" w:id="1">
    <w:p w14:paraId="38D3975E" w14:textId="77777777" w:rsidR="00E60C11" w:rsidRDefault="00E60C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E299" w14:textId="22A9CE9F" w:rsidR="00477848" w:rsidRDefault="00F11255" w:rsidP="00C053D7">
    <w:pPr>
      <w:pStyle w:val="Header"/>
      <w:jc w:val="right"/>
    </w:pPr>
    <w:r>
      <w:t>D</w:t>
    </w:r>
    <w:r w:rsidR="0006709A">
      <w:t xml:space="preserve">evelopment </w:t>
    </w:r>
    <w:r>
      <w:t>S</w:t>
    </w:r>
    <w:r w:rsidR="0006709A">
      <w:t>ervices</w:t>
    </w:r>
    <w:r w:rsidR="007D511A">
      <w:t xml:space="preserve"> </w:t>
    </w:r>
    <w:r w:rsidR="00785057">
      <w:t>&amp;</w:t>
    </w:r>
    <w:r w:rsidR="007D511A">
      <w:t xml:space="preserve"> Finance</w:t>
    </w:r>
    <w:r>
      <w:t xml:space="preserve"> </w:t>
    </w:r>
    <w:r w:rsidR="00516530">
      <w:t>Comments</w:t>
    </w:r>
  </w:p>
  <w:p w14:paraId="16B5E878" w14:textId="77F66573" w:rsidR="00C053D7" w:rsidRDefault="00AB5C59" w:rsidP="00C053D7">
    <w:pPr>
      <w:pStyle w:val="Header"/>
      <w:jc w:val="right"/>
    </w:pPr>
    <w:r>
      <w:t>Bill 1</w:t>
    </w:r>
    <w:r w:rsidR="009C111D">
      <w:t>7</w:t>
    </w:r>
    <w:r w:rsidR="00516530">
      <w:t xml:space="preserve"> ERO# </w:t>
    </w:r>
    <w:r w:rsidR="00516530" w:rsidRPr="00516530">
      <w:t>025-0462</w:t>
    </w:r>
    <w:r w:rsidR="00EF510A">
      <w:br/>
    </w:r>
    <w:r w:rsidR="0097629D">
      <w:t xml:space="preserve">June </w:t>
    </w:r>
    <w:r w:rsidR="00516530">
      <w:t>26</w:t>
    </w:r>
    <w:r>
      <w:t>, 202</w:t>
    </w:r>
    <w:r w:rsidR="009C111D">
      <w:t>5</w:t>
    </w:r>
    <w:r w:rsidR="00F46737">
      <w:br/>
    </w:r>
    <w:r w:rsidR="00AD1383">
      <w:t xml:space="preserve">Page </w:t>
    </w:r>
    <w:r w:rsidR="00AD1383" w:rsidRPr="00AD1383">
      <w:fldChar w:fldCharType="begin"/>
    </w:r>
    <w:r w:rsidR="00AD1383" w:rsidRPr="00AD1383">
      <w:instrText xml:space="preserve"> PAGE  \* Arabic  \* MERGEFORMAT </w:instrText>
    </w:r>
    <w:r w:rsidR="00AD1383" w:rsidRPr="00AD1383">
      <w:fldChar w:fldCharType="separate"/>
    </w:r>
    <w:r w:rsidR="00AD1383" w:rsidRPr="00AD1383">
      <w:rPr>
        <w:noProof/>
      </w:rPr>
      <w:t>1</w:t>
    </w:r>
    <w:r w:rsidR="00AD1383" w:rsidRPr="00AD1383">
      <w:fldChar w:fldCharType="end"/>
    </w:r>
    <w:r w:rsidR="00AD1383">
      <w:t xml:space="preserve"> of </w:t>
    </w:r>
    <w:fldSimple w:instr="NUMPAGES  \* Arabic  \* MERGEFORMAT">
      <w:r w:rsidR="00AD1383" w:rsidRPr="00AD1383">
        <w:rPr>
          <w:noProof/>
        </w:rPr>
        <w:t>2</w:t>
      </w:r>
    </w:fldSimple>
    <w:r w:rsidR="00940D34">
      <w:rPr>
        <w:noProo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2865" w14:textId="77777777" w:rsidR="00A01C06" w:rsidRDefault="00A01C06">
    <w:pPr>
      <w:pStyle w:val="Header"/>
    </w:pPr>
    <w:r>
      <w:rPr>
        <w:noProof/>
      </w:rPr>
      <w:drawing>
        <wp:anchor distT="0" distB="0" distL="114300" distR="114300" simplePos="0" relativeHeight="251658240" behindDoc="1" locked="0" layoutInCell="1" allowOverlap="1" wp14:anchorId="2E3D8745" wp14:editId="097B3A30">
          <wp:simplePos x="0" y="0"/>
          <wp:positionH relativeFrom="page">
            <wp:posOffset>15240</wp:posOffset>
          </wp:positionH>
          <wp:positionV relativeFrom="paragraph">
            <wp:posOffset>-440690</wp:posOffset>
          </wp:positionV>
          <wp:extent cx="7807325" cy="1193800"/>
          <wp:effectExtent l="0" t="0" r="3175" b="6350"/>
          <wp:wrapSquare wrapText="bothSides"/>
          <wp:docPr id="1704136637" name="Picture 17041366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b="88184"/>
                  <a:stretch>
                    <a:fillRect/>
                  </a:stretch>
                </pic:blipFill>
                <pic:spPr>
                  <a:xfrm>
                    <a:off x="0" y="0"/>
                    <a:ext cx="7807325" cy="1193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457D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4558C"/>
    <w:multiLevelType w:val="hybridMultilevel"/>
    <w:tmpl w:val="D1BEEB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F55636"/>
    <w:multiLevelType w:val="multilevel"/>
    <w:tmpl w:val="35BE382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713507"/>
    <w:multiLevelType w:val="hybridMultilevel"/>
    <w:tmpl w:val="FE0813DA"/>
    <w:lvl w:ilvl="0" w:tplc="E5884996">
      <w:start w:val="1"/>
      <w:numFmt w:val="bullet"/>
      <w:lvlText w:val="•"/>
      <w:lvlJc w:val="left"/>
      <w:pPr>
        <w:tabs>
          <w:tab w:val="num" w:pos="720"/>
        </w:tabs>
        <w:ind w:left="720" w:hanging="360"/>
      </w:pPr>
      <w:rPr>
        <w:rFonts w:ascii="Arial" w:hAnsi="Arial" w:hint="default"/>
      </w:rPr>
    </w:lvl>
    <w:lvl w:ilvl="1" w:tplc="84F87F04" w:tentative="1">
      <w:start w:val="1"/>
      <w:numFmt w:val="bullet"/>
      <w:lvlText w:val="•"/>
      <w:lvlJc w:val="left"/>
      <w:pPr>
        <w:tabs>
          <w:tab w:val="num" w:pos="1440"/>
        </w:tabs>
        <w:ind w:left="1440" w:hanging="360"/>
      </w:pPr>
      <w:rPr>
        <w:rFonts w:ascii="Arial" w:hAnsi="Arial" w:hint="default"/>
      </w:rPr>
    </w:lvl>
    <w:lvl w:ilvl="2" w:tplc="421EE9E4" w:tentative="1">
      <w:start w:val="1"/>
      <w:numFmt w:val="bullet"/>
      <w:lvlText w:val="•"/>
      <w:lvlJc w:val="left"/>
      <w:pPr>
        <w:tabs>
          <w:tab w:val="num" w:pos="2160"/>
        </w:tabs>
        <w:ind w:left="2160" w:hanging="360"/>
      </w:pPr>
      <w:rPr>
        <w:rFonts w:ascii="Arial" w:hAnsi="Arial" w:hint="default"/>
      </w:rPr>
    </w:lvl>
    <w:lvl w:ilvl="3" w:tplc="52C60896" w:tentative="1">
      <w:start w:val="1"/>
      <w:numFmt w:val="bullet"/>
      <w:lvlText w:val="•"/>
      <w:lvlJc w:val="left"/>
      <w:pPr>
        <w:tabs>
          <w:tab w:val="num" w:pos="2880"/>
        </w:tabs>
        <w:ind w:left="2880" w:hanging="360"/>
      </w:pPr>
      <w:rPr>
        <w:rFonts w:ascii="Arial" w:hAnsi="Arial" w:hint="default"/>
      </w:rPr>
    </w:lvl>
    <w:lvl w:ilvl="4" w:tplc="C9C63E7C" w:tentative="1">
      <w:start w:val="1"/>
      <w:numFmt w:val="bullet"/>
      <w:lvlText w:val="•"/>
      <w:lvlJc w:val="left"/>
      <w:pPr>
        <w:tabs>
          <w:tab w:val="num" w:pos="3600"/>
        </w:tabs>
        <w:ind w:left="3600" w:hanging="360"/>
      </w:pPr>
      <w:rPr>
        <w:rFonts w:ascii="Arial" w:hAnsi="Arial" w:hint="default"/>
      </w:rPr>
    </w:lvl>
    <w:lvl w:ilvl="5" w:tplc="817AA6EA" w:tentative="1">
      <w:start w:val="1"/>
      <w:numFmt w:val="bullet"/>
      <w:lvlText w:val="•"/>
      <w:lvlJc w:val="left"/>
      <w:pPr>
        <w:tabs>
          <w:tab w:val="num" w:pos="4320"/>
        </w:tabs>
        <w:ind w:left="4320" w:hanging="360"/>
      </w:pPr>
      <w:rPr>
        <w:rFonts w:ascii="Arial" w:hAnsi="Arial" w:hint="default"/>
      </w:rPr>
    </w:lvl>
    <w:lvl w:ilvl="6" w:tplc="D124D290" w:tentative="1">
      <w:start w:val="1"/>
      <w:numFmt w:val="bullet"/>
      <w:lvlText w:val="•"/>
      <w:lvlJc w:val="left"/>
      <w:pPr>
        <w:tabs>
          <w:tab w:val="num" w:pos="5040"/>
        </w:tabs>
        <w:ind w:left="5040" w:hanging="360"/>
      </w:pPr>
      <w:rPr>
        <w:rFonts w:ascii="Arial" w:hAnsi="Arial" w:hint="default"/>
      </w:rPr>
    </w:lvl>
    <w:lvl w:ilvl="7" w:tplc="62663864" w:tentative="1">
      <w:start w:val="1"/>
      <w:numFmt w:val="bullet"/>
      <w:lvlText w:val="•"/>
      <w:lvlJc w:val="left"/>
      <w:pPr>
        <w:tabs>
          <w:tab w:val="num" w:pos="5760"/>
        </w:tabs>
        <w:ind w:left="5760" w:hanging="360"/>
      </w:pPr>
      <w:rPr>
        <w:rFonts w:ascii="Arial" w:hAnsi="Arial" w:hint="default"/>
      </w:rPr>
    </w:lvl>
    <w:lvl w:ilvl="8" w:tplc="A91C11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FE0EE2"/>
    <w:multiLevelType w:val="hybridMultilevel"/>
    <w:tmpl w:val="26281E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1B7DC5"/>
    <w:multiLevelType w:val="hybridMultilevel"/>
    <w:tmpl w:val="E17044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0F0E6B"/>
    <w:multiLevelType w:val="multilevel"/>
    <w:tmpl w:val="C650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3749C3"/>
    <w:multiLevelType w:val="hybridMultilevel"/>
    <w:tmpl w:val="16F2BDE6"/>
    <w:lvl w:ilvl="0" w:tplc="B1F232E2">
      <w:start w:val="1"/>
      <w:numFmt w:val="bullet"/>
      <w:lvlText w:val="•"/>
      <w:lvlJc w:val="left"/>
      <w:pPr>
        <w:tabs>
          <w:tab w:val="num" w:pos="720"/>
        </w:tabs>
        <w:ind w:left="720" w:hanging="360"/>
      </w:pPr>
      <w:rPr>
        <w:rFonts w:ascii="Arial" w:hAnsi="Arial" w:hint="default"/>
      </w:rPr>
    </w:lvl>
    <w:lvl w:ilvl="1" w:tplc="85A0BFA8" w:tentative="1">
      <w:start w:val="1"/>
      <w:numFmt w:val="bullet"/>
      <w:lvlText w:val="•"/>
      <w:lvlJc w:val="left"/>
      <w:pPr>
        <w:tabs>
          <w:tab w:val="num" w:pos="1440"/>
        </w:tabs>
        <w:ind w:left="1440" w:hanging="360"/>
      </w:pPr>
      <w:rPr>
        <w:rFonts w:ascii="Arial" w:hAnsi="Arial" w:hint="default"/>
      </w:rPr>
    </w:lvl>
    <w:lvl w:ilvl="2" w:tplc="0BE25F2A" w:tentative="1">
      <w:start w:val="1"/>
      <w:numFmt w:val="bullet"/>
      <w:lvlText w:val="•"/>
      <w:lvlJc w:val="left"/>
      <w:pPr>
        <w:tabs>
          <w:tab w:val="num" w:pos="2160"/>
        </w:tabs>
        <w:ind w:left="2160" w:hanging="360"/>
      </w:pPr>
      <w:rPr>
        <w:rFonts w:ascii="Arial" w:hAnsi="Arial" w:hint="default"/>
      </w:rPr>
    </w:lvl>
    <w:lvl w:ilvl="3" w:tplc="3B6E52A8" w:tentative="1">
      <w:start w:val="1"/>
      <w:numFmt w:val="bullet"/>
      <w:lvlText w:val="•"/>
      <w:lvlJc w:val="left"/>
      <w:pPr>
        <w:tabs>
          <w:tab w:val="num" w:pos="2880"/>
        </w:tabs>
        <w:ind w:left="2880" w:hanging="360"/>
      </w:pPr>
      <w:rPr>
        <w:rFonts w:ascii="Arial" w:hAnsi="Arial" w:hint="default"/>
      </w:rPr>
    </w:lvl>
    <w:lvl w:ilvl="4" w:tplc="89AAB14E" w:tentative="1">
      <w:start w:val="1"/>
      <w:numFmt w:val="bullet"/>
      <w:lvlText w:val="•"/>
      <w:lvlJc w:val="left"/>
      <w:pPr>
        <w:tabs>
          <w:tab w:val="num" w:pos="3600"/>
        </w:tabs>
        <w:ind w:left="3600" w:hanging="360"/>
      </w:pPr>
      <w:rPr>
        <w:rFonts w:ascii="Arial" w:hAnsi="Arial" w:hint="default"/>
      </w:rPr>
    </w:lvl>
    <w:lvl w:ilvl="5" w:tplc="AB742B40" w:tentative="1">
      <w:start w:val="1"/>
      <w:numFmt w:val="bullet"/>
      <w:lvlText w:val="•"/>
      <w:lvlJc w:val="left"/>
      <w:pPr>
        <w:tabs>
          <w:tab w:val="num" w:pos="4320"/>
        </w:tabs>
        <w:ind w:left="4320" w:hanging="360"/>
      </w:pPr>
      <w:rPr>
        <w:rFonts w:ascii="Arial" w:hAnsi="Arial" w:hint="default"/>
      </w:rPr>
    </w:lvl>
    <w:lvl w:ilvl="6" w:tplc="BA12C25E" w:tentative="1">
      <w:start w:val="1"/>
      <w:numFmt w:val="bullet"/>
      <w:lvlText w:val="•"/>
      <w:lvlJc w:val="left"/>
      <w:pPr>
        <w:tabs>
          <w:tab w:val="num" w:pos="5040"/>
        </w:tabs>
        <w:ind w:left="5040" w:hanging="360"/>
      </w:pPr>
      <w:rPr>
        <w:rFonts w:ascii="Arial" w:hAnsi="Arial" w:hint="default"/>
      </w:rPr>
    </w:lvl>
    <w:lvl w:ilvl="7" w:tplc="29D09DBE" w:tentative="1">
      <w:start w:val="1"/>
      <w:numFmt w:val="bullet"/>
      <w:lvlText w:val="•"/>
      <w:lvlJc w:val="left"/>
      <w:pPr>
        <w:tabs>
          <w:tab w:val="num" w:pos="5760"/>
        </w:tabs>
        <w:ind w:left="5760" w:hanging="360"/>
      </w:pPr>
      <w:rPr>
        <w:rFonts w:ascii="Arial" w:hAnsi="Arial" w:hint="default"/>
      </w:rPr>
    </w:lvl>
    <w:lvl w:ilvl="8" w:tplc="F70047C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321E6A"/>
    <w:multiLevelType w:val="multilevel"/>
    <w:tmpl w:val="011A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21334"/>
    <w:multiLevelType w:val="hybridMultilevel"/>
    <w:tmpl w:val="20CCA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D8D2519"/>
    <w:multiLevelType w:val="hybridMultilevel"/>
    <w:tmpl w:val="EDCEA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1F3032"/>
    <w:multiLevelType w:val="multilevel"/>
    <w:tmpl w:val="E7E615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44FC2"/>
    <w:multiLevelType w:val="multilevel"/>
    <w:tmpl w:val="37C87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E3479"/>
    <w:multiLevelType w:val="hybridMultilevel"/>
    <w:tmpl w:val="77FEAC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C051B8"/>
    <w:multiLevelType w:val="multilevel"/>
    <w:tmpl w:val="895A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23148"/>
    <w:multiLevelType w:val="hybridMultilevel"/>
    <w:tmpl w:val="7F9C1D62"/>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520BEC"/>
    <w:multiLevelType w:val="hybridMultilevel"/>
    <w:tmpl w:val="D31A1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8403E1"/>
    <w:multiLevelType w:val="hybridMultilevel"/>
    <w:tmpl w:val="F76213C6"/>
    <w:lvl w:ilvl="0" w:tplc="FBDE0C4A">
      <w:start w:val="1"/>
      <w:numFmt w:val="bullet"/>
      <w:lvlText w:val="•"/>
      <w:lvlJc w:val="left"/>
      <w:pPr>
        <w:tabs>
          <w:tab w:val="num" w:pos="720"/>
        </w:tabs>
        <w:ind w:left="720" w:hanging="360"/>
      </w:pPr>
      <w:rPr>
        <w:rFonts w:ascii="Arial" w:hAnsi="Arial" w:hint="default"/>
      </w:rPr>
    </w:lvl>
    <w:lvl w:ilvl="1" w:tplc="E9C6EAE8" w:tentative="1">
      <w:start w:val="1"/>
      <w:numFmt w:val="bullet"/>
      <w:lvlText w:val="•"/>
      <w:lvlJc w:val="left"/>
      <w:pPr>
        <w:tabs>
          <w:tab w:val="num" w:pos="1440"/>
        </w:tabs>
        <w:ind w:left="1440" w:hanging="360"/>
      </w:pPr>
      <w:rPr>
        <w:rFonts w:ascii="Arial" w:hAnsi="Arial" w:hint="default"/>
      </w:rPr>
    </w:lvl>
    <w:lvl w:ilvl="2" w:tplc="7DCA40CA" w:tentative="1">
      <w:start w:val="1"/>
      <w:numFmt w:val="bullet"/>
      <w:lvlText w:val="•"/>
      <w:lvlJc w:val="left"/>
      <w:pPr>
        <w:tabs>
          <w:tab w:val="num" w:pos="2160"/>
        </w:tabs>
        <w:ind w:left="2160" w:hanging="360"/>
      </w:pPr>
      <w:rPr>
        <w:rFonts w:ascii="Arial" w:hAnsi="Arial" w:hint="default"/>
      </w:rPr>
    </w:lvl>
    <w:lvl w:ilvl="3" w:tplc="ED5CA6EA" w:tentative="1">
      <w:start w:val="1"/>
      <w:numFmt w:val="bullet"/>
      <w:lvlText w:val="•"/>
      <w:lvlJc w:val="left"/>
      <w:pPr>
        <w:tabs>
          <w:tab w:val="num" w:pos="2880"/>
        </w:tabs>
        <w:ind w:left="2880" w:hanging="360"/>
      </w:pPr>
      <w:rPr>
        <w:rFonts w:ascii="Arial" w:hAnsi="Arial" w:hint="default"/>
      </w:rPr>
    </w:lvl>
    <w:lvl w:ilvl="4" w:tplc="F7587A42" w:tentative="1">
      <w:start w:val="1"/>
      <w:numFmt w:val="bullet"/>
      <w:lvlText w:val="•"/>
      <w:lvlJc w:val="left"/>
      <w:pPr>
        <w:tabs>
          <w:tab w:val="num" w:pos="3600"/>
        </w:tabs>
        <w:ind w:left="3600" w:hanging="360"/>
      </w:pPr>
      <w:rPr>
        <w:rFonts w:ascii="Arial" w:hAnsi="Arial" w:hint="default"/>
      </w:rPr>
    </w:lvl>
    <w:lvl w:ilvl="5" w:tplc="C778ED6A" w:tentative="1">
      <w:start w:val="1"/>
      <w:numFmt w:val="bullet"/>
      <w:lvlText w:val="•"/>
      <w:lvlJc w:val="left"/>
      <w:pPr>
        <w:tabs>
          <w:tab w:val="num" w:pos="4320"/>
        </w:tabs>
        <w:ind w:left="4320" w:hanging="360"/>
      </w:pPr>
      <w:rPr>
        <w:rFonts w:ascii="Arial" w:hAnsi="Arial" w:hint="default"/>
      </w:rPr>
    </w:lvl>
    <w:lvl w:ilvl="6" w:tplc="9BC68C42" w:tentative="1">
      <w:start w:val="1"/>
      <w:numFmt w:val="bullet"/>
      <w:lvlText w:val="•"/>
      <w:lvlJc w:val="left"/>
      <w:pPr>
        <w:tabs>
          <w:tab w:val="num" w:pos="5040"/>
        </w:tabs>
        <w:ind w:left="5040" w:hanging="360"/>
      </w:pPr>
      <w:rPr>
        <w:rFonts w:ascii="Arial" w:hAnsi="Arial" w:hint="default"/>
      </w:rPr>
    </w:lvl>
    <w:lvl w:ilvl="7" w:tplc="306C29F4" w:tentative="1">
      <w:start w:val="1"/>
      <w:numFmt w:val="bullet"/>
      <w:lvlText w:val="•"/>
      <w:lvlJc w:val="left"/>
      <w:pPr>
        <w:tabs>
          <w:tab w:val="num" w:pos="5760"/>
        </w:tabs>
        <w:ind w:left="5760" w:hanging="360"/>
      </w:pPr>
      <w:rPr>
        <w:rFonts w:ascii="Arial" w:hAnsi="Arial" w:hint="default"/>
      </w:rPr>
    </w:lvl>
    <w:lvl w:ilvl="8" w:tplc="ED0A5F9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DA70E5"/>
    <w:multiLevelType w:val="hybridMultilevel"/>
    <w:tmpl w:val="66C040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F2445E6"/>
    <w:multiLevelType w:val="hybridMultilevel"/>
    <w:tmpl w:val="8B2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0A1ECC"/>
    <w:multiLevelType w:val="multilevel"/>
    <w:tmpl w:val="69F6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77EF3"/>
    <w:multiLevelType w:val="hybridMultilevel"/>
    <w:tmpl w:val="F0B033CA"/>
    <w:lvl w:ilvl="0" w:tplc="21227CA8">
      <w:start w:val="1"/>
      <w:numFmt w:val="bullet"/>
      <w:lvlText w:val="•"/>
      <w:lvlJc w:val="left"/>
      <w:pPr>
        <w:tabs>
          <w:tab w:val="num" w:pos="720"/>
        </w:tabs>
        <w:ind w:left="720" w:hanging="360"/>
      </w:pPr>
      <w:rPr>
        <w:rFonts w:ascii="Arial" w:hAnsi="Arial" w:hint="default"/>
      </w:rPr>
    </w:lvl>
    <w:lvl w:ilvl="1" w:tplc="DC8C8CCE" w:tentative="1">
      <w:start w:val="1"/>
      <w:numFmt w:val="bullet"/>
      <w:lvlText w:val="•"/>
      <w:lvlJc w:val="left"/>
      <w:pPr>
        <w:tabs>
          <w:tab w:val="num" w:pos="1440"/>
        </w:tabs>
        <w:ind w:left="1440" w:hanging="360"/>
      </w:pPr>
      <w:rPr>
        <w:rFonts w:ascii="Arial" w:hAnsi="Arial" w:hint="default"/>
      </w:rPr>
    </w:lvl>
    <w:lvl w:ilvl="2" w:tplc="5352C78C" w:tentative="1">
      <w:start w:val="1"/>
      <w:numFmt w:val="bullet"/>
      <w:lvlText w:val="•"/>
      <w:lvlJc w:val="left"/>
      <w:pPr>
        <w:tabs>
          <w:tab w:val="num" w:pos="2160"/>
        </w:tabs>
        <w:ind w:left="2160" w:hanging="360"/>
      </w:pPr>
      <w:rPr>
        <w:rFonts w:ascii="Arial" w:hAnsi="Arial" w:hint="default"/>
      </w:rPr>
    </w:lvl>
    <w:lvl w:ilvl="3" w:tplc="C2781E1A" w:tentative="1">
      <w:start w:val="1"/>
      <w:numFmt w:val="bullet"/>
      <w:lvlText w:val="•"/>
      <w:lvlJc w:val="left"/>
      <w:pPr>
        <w:tabs>
          <w:tab w:val="num" w:pos="2880"/>
        </w:tabs>
        <w:ind w:left="2880" w:hanging="360"/>
      </w:pPr>
      <w:rPr>
        <w:rFonts w:ascii="Arial" w:hAnsi="Arial" w:hint="default"/>
      </w:rPr>
    </w:lvl>
    <w:lvl w:ilvl="4" w:tplc="0F78DA54" w:tentative="1">
      <w:start w:val="1"/>
      <w:numFmt w:val="bullet"/>
      <w:lvlText w:val="•"/>
      <w:lvlJc w:val="left"/>
      <w:pPr>
        <w:tabs>
          <w:tab w:val="num" w:pos="3600"/>
        </w:tabs>
        <w:ind w:left="3600" w:hanging="360"/>
      </w:pPr>
      <w:rPr>
        <w:rFonts w:ascii="Arial" w:hAnsi="Arial" w:hint="default"/>
      </w:rPr>
    </w:lvl>
    <w:lvl w:ilvl="5" w:tplc="7FB26F58" w:tentative="1">
      <w:start w:val="1"/>
      <w:numFmt w:val="bullet"/>
      <w:lvlText w:val="•"/>
      <w:lvlJc w:val="left"/>
      <w:pPr>
        <w:tabs>
          <w:tab w:val="num" w:pos="4320"/>
        </w:tabs>
        <w:ind w:left="4320" w:hanging="360"/>
      </w:pPr>
      <w:rPr>
        <w:rFonts w:ascii="Arial" w:hAnsi="Arial" w:hint="default"/>
      </w:rPr>
    </w:lvl>
    <w:lvl w:ilvl="6" w:tplc="0CF465E0" w:tentative="1">
      <w:start w:val="1"/>
      <w:numFmt w:val="bullet"/>
      <w:lvlText w:val="•"/>
      <w:lvlJc w:val="left"/>
      <w:pPr>
        <w:tabs>
          <w:tab w:val="num" w:pos="5040"/>
        </w:tabs>
        <w:ind w:left="5040" w:hanging="360"/>
      </w:pPr>
      <w:rPr>
        <w:rFonts w:ascii="Arial" w:hAnsi="Arial" w:hint="default"/>
      </w:rPr>
    </w:lvl>
    <w:lvl w:ilvl="7" w:tplc="C29201C8" w:tentative="1">
      <w:start w:val="1"/>
      <w:numFmt w:val="bullet"/>
      <w:lvlText w:val="•"/>
      <w:lvlJc w:val="left"/>
      <w:pPr>
        <w:tabs>
          <w:tab w:val="num" w:pos="5760"/>
        </w:tabs>
        <w:ind w:left="5760" w:hanging="360"/>
      </w:pPr>
      <w:rPr>
        <w:rFonts w:ascii="Arial" w:hAnsi="Arial" w:hint="default"/>
      </w:rPr>
    </w:lvl>
    <w:lvl w:ilvl="8" w:tplc="A7B440C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25E7B61"/>
    <w:multiLevelType w:val="hybridMultilevel"/>
    <w:tmpl w:val="E09EC614"/>
    <w:lvl w:ilvl="0" w:tplc="23283B8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71323F2"/>
    <w:multiLevelType w:val="hybridMultilevel"/>
    <w:tmpl w:val="7C540A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66565483">
    <w:abstractNumId w:val="22"/>
  </w:num>
  <w:num w:numId="2" w16cid:durableId="1125737382">
    <w:abstractNumId w:val="4"/>
  </w:num>
  <w:num w:numId="3" w16cid:durableId="1876889211">
    <w:abstractNumId w:val="13"/>
  </w:num>
  <w:num w:numId="4" w16cid:durableId="775560360">
    <w:abstractNumId w:val="5"/>
  </w:num>
  <w:num w:numId="5" w16cid:durableId="685179626">
    <w:abstractNumId w:val="1"/>
  </w:num>
  <w:num w:numId="6" w16cid:durableId="2141681877">
    <w:abstractNumId w:val="18"/>
  </w:num>
  <w:num w:numId="7" w16cid:durableId="1706632603">
    <w:abstractNumId w:val="23"/>
  </w:num>
  <w:num w:numId="8" w16cid:durableId="1333414335">
    <w:abstractNumId w:val="3"/>
  </w:num>
  <w:num w:numId="9" w16cid:durableId="713238016">
    <w:abstractNumId w:val="7"/>
  </w:num>
  <w:num w:numId="10" w16cid:durableId="1227957147">
    <w:abstractNumId w:val="21"/>
  </w:num>
  <w:num w:numId="11" w16cid:durableId="1574000422">
    <w:abstractNumId w:val="17"/>
  </w:num>
  <w:num w:numId="12" w16cid:durableId="1646154300">
    <w:abstractNumId w:val="0"/>
  </w:num>
  <w:num w:numId="13" w16cid:durableId="412706647">
    <w:abstractNumId w:val="20"/>
  </w:num>
  <w:num w:numId="14" w16cid:durableId="1750731293">
    <w:abstractNumId w:val="8"/>
  </w:num>
  <w:num w:numId="15" w16cid:durableId="218563813">
    <w:abstractNumId w:val="12"/>
  </w:num>
  <w:num w:numId="16" w16cid:durableId="1754738428">
    <w:abstractNumId w:val="9"/>
  </w:num>
  <w:num w:numId="17" w16cid:durableId="1440249563">
    <w:abstractNumId w:val="6"/>
  </w:num>
  <w:num w:numId="18" w16cid:durableId="1234700353">
    <w:abstractNumId w:val="14"/>
  </w:num>
  <w:num w:numId="19" w16cid:durableId="1973708075">
    <w:abstractNumId w:val="19"/>
  </w:num>
  <w:num w:numId="20" w16cid:durableId="561603915">
    <w:abstractNumId w:val="16"/>
  </w:num>
  <w:num w:numId="21" w16cid:durableId="832918284">
    <w:abstractNumId w:val="10"/>
  </w:num>
  <w:num w:numId="22" w16cid:durableId="628584839">
    <w:abstractNumId w:val="2"/>
  </w:num>
  <w:num w:numId="23" w16cid:durableId="492378496">
    <w:abstractNumId w:val="11"/>
  </w:num>
  <w:num w:numId="24" w16cid:durableId="1601643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F6"/>
    <w:rsid w:val="000008DD"/>
    <w:rsid w:val="00002D64"/>
    <w:rsid w:val="00007123"/>
    <w:rsid w:val="00015708"/>
    <w:rsid w:val="0003164F"/>
    <w:rsid w:val="00031F74"/>
    <w:rsid w:val="00032D9E"/>
    <w:rsid w:val="00032FAB"/>
    <w:rsid w:val="00033B37"/>
    <w:rsid w:val="00036867"/>
    <w:rsid w:val="000418D2"/>
    <w:rsid w:val="00041D15"/>
    <w:rsid w:val="00042743"/>
    <w:rsid w:val="00043D19"/>
    <w:rsid w:val="0004478F"/>
    <w:rsid w:val="00045A71"/>
    <w:rsid w:val="00046BAC"/>
    <w:rsid w:val="00047F7A"/>
    <w:rsid w:val="00047FFE"/>
    <w:rsid w:val="000510A7"/>
    <w:rsid w:val="0005320A"/>
    <w:rsid w:val="0005391A"/>
    <w:rsid w:val="00054178"/>
    <w:rsid w:val="00056F62"/>
    <w:rsid w:val="000603BE"/>
    <w:rsid w:val="00061974"/>
    <w:rsid w:val="00062CD9"/>
    <w:rsid w:val="00063980"/>
    <w:rsid w:val="0006709A"/>
    <w:rsid w:val="000709ED"/>
    <w:rsid w:val="00071327"/>
    <w:rsid w:val="000714DA"/>
    <w:rsid w:val="0007203B"/>
    <w:rsid w:val="000723B8"/>
    <w:rsid w:val="00072D52"/>
    <w:rsid w:val="00075D71"/>
    <w:rsid w:val="000762DA"/>
    <w:rsid w:val="000764CF"/>
    <w:rsid w:val="000778B5"/>
    <w:rsid w:val="00081957"/>
    <w:rsid w:val="000838A2"/>
    <w:rsid w:val="0008635C"/>
    <w:rsid w:val="000873E6"/>
    <w:rsid w:val="00092AB3"/>
    <w:rsid w:val="000938DB"/>
    <w:rsid w:val="000958BE"/>
    <w:rsid w:val="00096336"/>
    <w:rsid w:val="00096757"/>
    <w:rsid w:val="000A1B9A"/>
    <w:rsid w:val="000A1BC8"/>
    <w:rsid w:val="000A2DCD"/>
    <w:rsid w:val="000A38C9"/>
    <w:rsid w:val="000A3C52"/>
    <w:rsid w:val="000A5BA2"/>
    <w:rsid w:val="000A6857"/>
    <w:rsid w:val="000B06B3"/>
    <w:rsid w:val="000B17CF"/>
    <w:rsid w:val="000B1B82"/>
    <w:rsid w:val="000B2434"/>
    <w:rsid w:val="000B2FBA"/>
    <w:rsid w:val="000B369C"/>
    <w:rsid w:val="000B3F98"/>
    <w:rsid w:val="000B5428"/>
    <w:rsid w:val="000B6059"/>
    <w:rsid w:val="000B720A"/>
    <w:rsid w:val="000C1C07"/>
    <w:rsid w:val="000C2531"/>
    <w:rsid w:val="000C2D00"/>
    <w:rsid w:val="000C3467"/>
    <w:rsid w:val="000C65F4"/>
    <w:rsid w:val="000C7B2E"/>
    <w:rsid w:val="000D3BBA"/>
    <w:rsid w:val="000E11FC"/>
    <w:rsid w:val="000E2D7A"/>
    <w:rsid w:val="000E3101"/>
    <w:rsid w:val="000E42BA"/>
    <w:rsid w:val="000E5188"/>
    <w:rsid w:val="000E6BF3"/>
    <w:rsid w:val="000E775E"/>
    <w:rsid w:val="000E7C4A"/>
    <w:rsid w:val="00100166"/>
    <w:rsid w:val="001003EA"/>
    <w:rsid w:val="00105FE8"/>
    <w:rsid w:val="0010680F"/>
    <w:rsid w:val="001100BD"/>
    <w:rsid w:val="0011107B"/>
    <w:rsid w:val="001137CA"/>
    <w:rsid w:val="00114F7B"/>
    <w:rsid w:val="00115346"/>
    <w:rsid w:val="001164E6"/>
    <w:rsid w:val="00116D2A"/>
    <w:rsid w:val="00121DF9"/>
    <w:rsid w:val="001226C2"/>
    <w:rsid w:val="00124AB0"/>
    <w:rsid w:val="00130BB5"/>
    <w:rsid w:val="00131887"/>
    <w:rsid w:val="001320A1"/>
    <w:rsid w:val="001405E0"/>
    <w:rsid w:val="001417DF"/>
    <w:rsid w:val="001458E2"/>
    <w:rsid w:val="0015027A"/>
    <w:rsid w:val="00156276"/>
    <w:rsid w:val="001574C4"/>
    <w:rsid w:val="00157607"/>
    <w:rsid w:val="001616E4"/>
    <w:rsid w:val="001631CF"/>
    <w:rsid w:val="00163932"/>
    <w:rsid w:val="00165614"/>
    <w:rsid w:val="00165BC6"/>
    <w:rsid w:val="0016607B"/>
    <w:rsid w:val="00173D4D"/>
    <w:rsid w:val="001748F3"/>
    <w:rsid w:val="00174C4A"/>
    <w:rsid w:val="00177825"/>
    <w:rsid w:val="00177E2E"/>
    <w:rsid w:val="00182C4E"/>
    <w:rsid w:val="00183798"/>
    <w:rsid w:val="00185FDC"/>
    <w:rsid w:val="0018648F"/>
    <w:rsid w:val="00186BE2"/>
    <w:rsid w:val="001870EB"/>
    <w:rsid w:val="00190A4A"/>
    <w:rsid w:val="001921A3"/>
    <w:rsid w:val="00195B3C"/>
    <w:rsid w:val="0019611A"/>
    <w:rsid w:val="00197B6A"/>
    <w:rsid w:val="00197DF7"/>
    <w:rsid w:val="001A0F02"/>
    <w:rsid w:val="001A4843"/>
    <w:rsid w:val="001A6228"/>
    <w:rsid w:val="001B0AF0"/>
    <w:rsid w:val="001B1CAE"/>
    <w:rsid w:val="001B6217"/>
    <w:rsid w:val="001B633F"/>
    <w:rsid w:val="001C236D"/>
    <w:rsid w:val="001C59CD"/>
    <w:rsid w:val="001C75DC"/>
    <w:rsid w:val="001D765E"/>
    <w:rsid w:val="001D7B7C"/>
    <w:rsid w:val="001D7F30"/>
    <w:rsid w:val="001E2D30"/>
    <w:rsid w:val="001E2FEB"/>
    <w:rsid w:val="001E6364"/>
    <w:rsid w:val="001E73DF"/>
    <w:rsid w:val="001E7FE8"/>
    <w:rsid w:val="001F306D"/>
    <w:rsid w:val="001F4A7F"/>
    <w:rsid w:val="0020203A"/>
    <w:rsid w:val="0020370F"/>
    <w:rsid w:val="00203779"/>
    <w:rsid w:val="00203D5A"/>
    <w:rsid w:val="0020556A"/>
    <w:rsid w:val="002058A5"/>
    <w:rsid w:val="00206D88"/>
    <w:rsid w:val="00214581"/>
    <w:rsid w:val="002170B0"/>
    <w:rsid w:val="00217120"/>
    <w:rsid w:val="002211A0"/>
    <w:rsid w:val="00221579"/>
    <w:rsid w:val="0022161E"/>
    <w:rsid w:val="0022440C"/>
    <w:rsid w:val="0022530C"/>
    <w:rsid w:val="002275E8"/>
    <w:rsid w:val="0023024F"/>
    <w:rsid w:val="002333E0"/>
    <w:rsid w:val="0023553C"/>
    <w:rsid w:val="00237274"/>
    <w:rsid w:val="002373A4"/>
    <w:rsid w:val="00240400"/>
    <w:rsid w:val="00240803"/>
    <w:rsid w:val="0024155F"/>
    <w:rsid w:val="00247823"/>
    <w:rsid w:val="00247A47"/>
    <w:rsid w:val="00252276"/>
    <w:rsid w:val="002526C7"/>
    <w:rsid w:val="002528AF"/>
    <w:rsid w:val="00254716"/>
    <w:rsid w:val="002550B8"/>
    <w:rsid w:val="002560B3"/>
    <w:rsid w:val="00256B51"/>
    <w:rsid w:val="002629DF"/>
    <w:rsid w:val="00263FF3"/>
    <w:rsid w:val="0026433A"/>
    <w:rsid w:val="002731E5"/>
    <w:rsid w:val="002758E1"/>
    <w:rsid w:val="0027610D"/>
    <w:rsid w:val="00276EFA"/>
    <w:rsid w:val="00280530"/>
    <w:rsid w:val="00280D20"/>
    <w:rsid w:val="002815D6"/>
    <w:rsid w:val="00282715"/>
    <w:rsid w:val="00282F97"/>
    <w:rsid w:val="002834E6"/>
    <w:rsid w:val="00287645"/>
    <w:rsid w:val="002876A6"/>
    <w:rsid w:val="00290895"/>
    <w:rsid w:val="00291D5B"/>
    <w:rsid w:val="00292957"/>
    <w:rsid w:val="00292F54"/>
    <w:rsid w:val="00293E1C"/>
    <w:rsid w:val="002959E0"/>
    <w:rsid w:val="00296232"/>
    <w:rsid w:val="00297AD9"/>
    <w:rsid w:val="002A391C"/>
    <w:rsid w:val="002A4420"/>
    <w:rsid w:val="002A63F4"/>
    <w:rsid w:val="002A78DD"/>
    <w:rsid w:val="002B14C7"/>
    <w:rsid w:val="002B1692"/>
    <w:rsid w:val="002B2D27"/>
    <w:rsid w:val="002B389F"/>
    <w:rsid w:val="002B669B"/>
    <w:rsid w:val="002B7362"/>
    <w:rsid w:val="002C00A7"/>
    <w:rsid w:val="002C00FA"/>
    <w:rsid w:val="002C21AC"/>
    <w:rsid w:val="002C563C"/>
    <w:rsid w:val="002C5ABD"/>
    <w:rsid w:val="002D02D0"/>
    <w:rsid w:val="002D0C2A"/>
    <w:rsid w:val="002D1364"/>
    <w:rsid w:val="002D218B"/>
    <w:rsid w:val="002D4AE9"/>
    <w:rsid w:val="002E10C9"/>
    <w:rsid w:val="002E1266"/>
    <w:rsid w:val="002E48CF"/>
    <w:rsid w:val="002F407A"/>
    <w:rsid w:val="002F5119"/>
    <w:rsid w:val="002F6596"/>
    <w:rsid w:val="0030470F"/>
    <w:rsid w:val="0030618E"/>
    <w:rsid w:val="00306ED0"/>
    <w:rsid w:val="00312385"/>
    <w:rsid w:val="0031407D"/>
    <w:rsid w:val="00316A96"/>
    <w:rsid w:val="00316FF7"/>
    <w:rsid w:val="00320D88"/>
    <w:rsid w:val="003232D2"/>
    <w:rsid w:val="003242B2"/>
    <w:rsid w:val="00330BE3"/>
    <w:rsid w:val="00331B7E"/>
    <w:rsid w:val="003343EA"/>
    <w:rsid w:val="00335AF3"/>
    <w:rsid w:val="00335FF7"/>
    <w:rsid w:val="00336A45"/>
    <w:rsid w:val="0033718B"/>
    <w:rsid w:val="00340DB2"/>
    <w:rsid w:val="00343000"/>
    <w:rsid w:val="0034319C"/>
    <w:rsid w:val="00345962"/>
    <w:rsid w:val="00350552"/>
    <w:rsid w:val="003562C7"/>
    <w:rsid w:val="003577C8"/>
    <w:rsid w:val="00361982"/>
    <w:rsid w:val="00363DCD"/>
    <w:rsid w:val="00366364"/>
    <w:rsid w:val="00366D75"/>
    <w:rsid w:val="00372CBF"/>
    <w:rsid w:val="00372FB3"/>
    <w:rsid w:val="0037656B"/>
    <w:rsid w:val="00377368"/>
    <w:rsid w:val="0037791D"/>
    <w:rsid w:val="00380A33"/>
    <w:rsid w:val="003822A7"/>
    <w:rsid w:val="0038463D"/>
    <w:rsid w:val="00386A93"/>
    <w:rsid w:val="00392983"/>
    <w:rsid w:val="0039298F"/>
    <w:rsid w:val="0039401E"/>
    <w:rsid w:val="00394EE5"/>
    <w:rsid w:val="003A1D07"/>
    <w:rsid w:val="003A3B32"/>
    <w:rsid w:val="003A4C40"/>
    <w:rsid w:val="003A7030"/>
    <w:rsid w:val="003B140F"/>
    <w:rsid w:val="003B1929"/>
    <w:rsid w:val="003B3AD0"/>
    <w:rsid w:val="003B4BB4"/>
    <w:rsid w:val="003B4DBB"/>
    <w:rsid w:val="003B7668"/>
    <w:rsid w:val="003B7AF1"/>
    <w:rsid w:val="003C56F3"/>
    <w:rsid w:val="003C7167"/>
    <w:rsid w:val="003C72DE"/>
    <w:rsid w:val="003C764D"/>
    <w:rsid w:val="003D0815"/>
    <w:rsid w:val="003D3654"/>
    <w:rsid w:val="003D3B65"/>
    <w:rsid w:val="003D3F3A"/>
    <w:rsid w:val="003D563B"/>
    <w:rsid w:val="003E2535"/>
    <w:rsid w:val="003E2FF9"/>
    <w:rsid w:val="003E3BFA"/>
    <w:rsid w:val="003E5BE7"/>
    <w:rsid w:val="003E6591"/>
    <w:rsid w:val="003F0D1E"/>
    <w:rsid w:val="003F7A5F"/>
    <w:rsid w:val="00400F21"/>
    <w:rsid w:val="004015CE"/>
    <w:rsid w:val="00401A9B"/>
    <w:rsid w:val="00403EC3"/>
    <w:rsid w:val="00403FDB"/>
    <w:rsid w:val="00405315"/>
    <w:rsid w:val="00406FE9"/>
    <w:rsid w:val="004108FF"/>
    <w:rsid w:val="00411892"/>
    <w:rsid w:val="00411F7A"/>
    <w:rsid w:val="00414637"/>
    <w:rsid w:val="0041496A"/>
    <w:rsid w:val="00414BD7"/>
    <w:rsid w:val="00415CCE"/>
    <w:rsid w:val="00415FBD"/>
    <w:rsid w:val="00420CD0"/>
    <w:rsid w:val="00424048"/>
    <w:rsid w:val="004255D6"/>
    <w:rsid w:val="0042641B"/>
    <w:rsid w:val="0042765C"/>
    <w:rsid w:val="00427D48"/>
    <w:rsid w:val="00430A53"/>
    <w:rsid w:val="00431479"/>
    <w:rsid w:val="0043213A"/>
    <w:rsid w:val="004321FE"/>
    <w:rsid w:val="00434167"/>
    <w:rsid w:val="00434F2D"/>
    <w:rsid w:val="00444AE8"/>
    <w:rsid w:val="004466CC"/>
    <w:rsid w:val="004513E2"/>
    <w:rsid w:val="0045257B"/>
    <w:rsid w:val="004533FD"/>
    <w:rsid w:val="004548F1"/>
    <w:rsid w:val="0045505B"/>
    <w:rsid w:val="004553A7"/>
    <w:rsid w:val="00455D1A"/>
    <w:rsid w:val="00457E02"/>
    <w:rsid w:val="00457EFC"/>
    <w:rsid w:val="0046057A"/>
    <w:rsid w:val="004624BF"/>
    <w:rsid w:val="004633A0"/>
    <w:rsid w:val="00464B42"/>
    <w:rsid w:val="00465D1F"/>
    <w:rsid w:val="004669FE"/>
    <w:rsid w:val="00470155"/>
    <w:rsid w:val="00470561"/>
    <w:rsid w:val="00475657"/>
    <w:rsid w:val="00477848"/>
    <w:rsid w:val="004826EB"/>
    <w:rsid w:val="00482B48"/>
    <w:rsid w:val="00485032"/>
    <w:rsid w:val="00485259"/>
    <w:rsid w:val="0048628B"/>
    <w:rsid w:val="00486A9A"/>
    <w:rsid w:val="00487005"/>
    <w:rsid w:val="00491357"/>
    <w:rsid w:val="004922E2"/>
    <w:rsid w:val="00493077"/>
    <w:rsid w:val="004930B8"/>
    <w:rsid w:val="00493F9B"/>
    <w:rsid w:val="004A0C1E"/>
    <w:rsid w:val="004A3600"/>
    <w:rsid w:val="004A4519"/>
    <w:rsid w:val="004A4C5A"/>
    <w:rsid w:val="004B00B2"/>
    <w:rsid w:val="004B0884"/>
    <w:rsid w:val="004B0D3F"/>
    <w:rsid w:val="004B2B14"/>
    <w:rsid w:val="004B2FB9"/>
    <w:rsid w:val="004B3926"/>
    <w:rsid w:val="004B53C0"/>
    <w:rsid w:val="004B5736"/>
    <w:rsid w:val="004B68ED"/>
    <w:rsid w:val="004B7830"/>
    <w:rsid w:val="004B7AC1"/>
    <w:rsid w:val="004B7E0D"/>
    <w:rsid w:val="004C1478"/>
    <w:rsid w:val="004C2214"/>
    <w:rsid w:val="004C2A2A"/>
    <w:rsid w:val="004C34B7"/>
    <w:rsid w:val="004C453C"/>
    <w:rsid w:val="004D51C8"/>
    <w:rsid w:val="004D75F2"/>
    <w:rsid w:val="004D7CE6"/>
    <w:rsid w:val="004D7E31"/>
    <w:rsid w:val="004E0C46"/>
    <w:rsid w:val="004E31EF"/>
    <w:rsid w:val="004E3C53"/>
    <w:rsid w:val="004E3DD5"/>
    <w:rsid w:val="004E4D94"/>
    <w:rsid w:val="004E5409"/>
    <w:rsid w:val="004E6B62"/>
    <w:rsid w:val="004E702E"/>
    <w:rsid w:val="004F0379"/>
    <w:rsid w:val="004F1B8E"/>
    <w:rsid w:val="004F1DA3"/>
    <w:rsid w:val="004F3FA4"/>
    <w:rsid w:val="004F54F6"/>
    <w:rsid w:val="004F5744"/>
    <w:rsid w:val="004F79F3"/>
    <w:rsid w:val="005009ED"/>
    <w:rsid w:val="00501CD2"/>
    <w:rsid w:val="00501D7F"/>
    <w:rsid w:val="005031C1"/>
    <w:rsid w:val="005053F3"/>
    <w:rsid w:val="00505B2B"/>
    <w:rsid w:val="00510B2D"/>
    <w:rsid w:val="005112DE"/>
    <w:rsid w:val="00516530"/>
    <w:rsid w:val="0052111E"/>
    <w:rsid w:val="0052324A"/>
    <w:rsid w:val="00525E9B"/>
    <w:rsid w:val="00526806"/>
    <w:rsid w:val="005272D9"/>
    <w:rsid w:val="00527DD9"/>
    <w:rsid w:val="00530284"/>
    <w:rsid w:val="00531716"/>
    <w:rsid w:val="005338F8"/>
    <w:rsid w:val="00533A27"/>
    <w:rsid w:val="00536519"/>
    <w:rsid w:val="00541BF6"/>
    <w:rsid w:val="00544FF8"/>
    <w:rsid w:val="00545678"/>
    <w:rsid w:val="005464E5"/>
    <w:rsid w:val="00554005"/>
    <w:rsid w:val="005554B4"/>
    <w:rsid w:val="005574F2"/>
    <w:rsid w:val="00561074"/>
    <w:rsid w:val="00561688"/>
    <w:rsid w:val="00562DC4"/>
    <w:rsid w:val="0056358D"/>
    <w:rsid w:val="00566662"/>
    <w:rsid w:val="00567E2D"/>
    <w:rsid w:val="00571474"/>
    <w:rsid w:val="0057216E"/>
    <w:rsid w:val="00572E52"/>
    <w:rsid w:val="00573EEE"/>
    <w:rsid w:val="00574DB2"/>
    <w:rsid w:val="00577ECA"/>
    <w:rsid w:val="005813FA"/>
    <w:rsid w:val="00581ED3"/>
    <w:rsid w:val="005842F1"/>
    <w:rsid w:val="0058542C"/>
    <w:rsid w:val="005910B7"/>
    <w:rsid w:val="0059207A"/>
    <w:rsid w:val="00594975"/>
    <w:rsid w:val="0059590E"/>
    <w:rsid w:val="005A016F"/>
    <w:rsid w:val="005A1047"/>
    <w:rsid w:val="005A14E1"/>
    <w:rsid w:val="005A2BAB"/>
    <w:rsid w:val="005A4C07"/>
    <w:rsid w:val="005A4C5E"/>
    <w:rsid w:val="005A596B"/>
    <w:rsid w:val="005A77E5"/>
    <w:rsid w:val="005B29AD"/>
    <w:rsid w:val="005B42FC"/>
    <w:rsid w:val="005B65F7"/>
    <w:rsid w:val="005B6982"/>
    <w:rsid w:val="005B7EAA"/>
    <w:rsid w:val="005C0A1A"/>
    <w:rsid w:val="005C0D36"/>
    <w:rsid w:val="005C1E2C"/>
    <w:rsid w:val="005C2207"/>
    <w:rsid w:val="005C31AE"/>
    <w:rsid w:val="005C42A3"/>
    <w:rsid w:val="005D0619"/>
    <w:rsid w:val="005D1569"/>
    <w:rsid w:val="005D1C2D"/>
    <w:rsid w:val="005D3327"/>
    <w:rsid w:val="005D3454"/>
    <w:rsid w:val="005D3881"/>
    <w:rsid w:val="005D50C5"/>
    <w:rsid w:val="005D7FEB"/>
    <w:rsid w:val="005E2382"/>
    <w:rsid w:val="005E3E0F"/>
    <w:rsid w:val="005E5502"/>
    <w:rsid w:val="005F272B"/>
    <w:rsid w:val="005F2A6B"/>
    <w:rsid w:val="005F4600"/>
    <w:rsid w:val="005F5F12"/>
    <w:rsid w:val="005F6A97"/>
    <w:rsid w:val="005F6E00"/>
    <w:rsid w:val="0060242B"/>
    <w:rsid w:val="00603035"/>
    <w:rsid w:val="00604632"/>
    <w:rsid w:val="0060773B"/>
    <w:rsid w:val="006079F2"/>
    <w:rsid w:val="00607AA8"/>
    <w:rsid w:val="00610A8E"/>
    <w:rsid w:val="0061429B"/>
    <w:rsid w:val="00615FDF"/>
    <w:rsid w:val="00622DAA"/>
    <w:rsid w:val="0062532B"/>
    <w:rsid w:val="00630C1D"/>
    <w:rsid w:val="00631AB6"/>
    <w:rsid w:val="0063263B"/>
    <w:rsid w:val="006330EB"/>
    <w:rsid w:val="00634B26"/>
    <w:rsid w:val="00635DA0"/>
    <w:rsid w:val="0063664A"/>
    <w:rsid w:val="006379C5"/>
    <w:rsid w:val="006414A3"/>
    <w:rsid w:val="00641AD5"/>
    <w:rsid w:val="00646DAA"/>
    <w:rsid w:val="0065098F"/>
    <w:rsid w:val="006516AA"/>
    <w:rsid w:val="00652516"/>
    <w:rsid w:val="00653E66"/>
    <w:rsid w:val="00653E67"/>
    <w:rsid w:val="00655B99"/>
    <w:rsid w:val="00657A2B"/>
    <w:rsid w:val="00660F0B"/>
    <w:rsid w:val="006619F3"/>
    <w:rsid w:val="00662090"/>
    <w:rsid w:val="00662E38"/>
    <w:rsid w:val="00666614"/>
    <w:rsid w:val="0066702F"/>
    <w:rsid w:val="00673E60"/>
    <w:rsid w:val="00673FD1"/>
    <w:rsid w:val="00676689"/>
    <w:rsid w:val="00680BBE"/>
    <w:rsid w:val="006819F7"/>
    <w:rsid w:val="006836BE"/>
    <w:rsid w:val="006851D5"/>
    <w:rsid w:val="0068784D"/>
    <w:rsid w:val="006908FE"/>
    <w:rsid w:val="006914E7"/>
    <w:rsid w:val="00692169"/>
    <w:rsid w:val="006A0FAB"/>
    <w:rsid w:val="006A1063"/>
    <w:rsid w:val="006A6001"/>
    <w:rsid w:val="006A6B0F"/>
    <w:rsid w:val="006A7DDA"/>
    <w:rsid w:val="006B1922"/>
    <w:rsid w:val="006B1FE6"/>
    <w:rsid w:val="006B42D9"/>
    <w:rsid w:val="006C0622"/>
    <w:rsid w:val="006C1EC1"/>
    <w:rsid w:val="006C23E3"/>
    <w:rsid w:val="006C3DCE"/>
    <w:rsid w:val="006C45C0"/>
    <w:rsid w:val="006C4DA3"/>
    <w:rsid w:val="006C5534"/>
    <w:rsid w:val="006C5F5C"/>
    <w:rsid w:val="006C6D72"/>
    <w:rsid w:val="006C7A96"/>
    <w:rsid w:val="006D0A22"/>
    <w:rsid w:val="006D195B"/>
    <w:rsid w:val="006D68BC"/>
    <w:rsid w:val="006D7288"/>
    <w:rsid w:val="006D73F5"/>
    <w:rsid w:val="006E025B"/>
    <w:rsid w:val="006F299F"/>
    <w:rsid w:val="006F3525"/>
    <w:rsid w:val="006F5E0B"/>
    <w:rsid w:val="006F644E"/>
    <w:rsid w:val="007015C5"/>
    <w:rsid w:val="00702C5A"/>
    <w:rsid w:val="00705268"/>
    <w:rsid w:val="007064E6"/>
    <w:rsid w:val="00707122"/>
    <w:rsid w:val="00711275"/>
    <w:rsid w:val="00713BC1"/>
    <w:rsid w:val="007146DF"/>
    <w:rsid w:val="00720CC8"/>
    <w:rsid w:val="00721E9B"/>
    <w:rsid w:val="007222E5"/>
    <w:rsid w:val="00722583"/>
    <w:rsid w:val="007225C3"/>
    <w:rsid w:val="00723FB2"/>
    <w:rsid w:val="00723FD8"/>
    <w:rsid w:val="007246F4"/>
    <w:rsid w:val="00724F78"/>
    <w:rsid w:val="00730CFE"/>
    <w:rsid w:val="00731A45"/>
    <w:rsid w:val="00731E20"/>
    <w:rsid w:val="007419FC"/>
    <w:rsid w:val="00741B63"/>
    <w:rsid w:val="00742C93"/>
    <w:rsid w:val="00742D1F"/>
    <w:rsid w:val="00744AB0"/>
    <w:rsid w:val="00746D7C"/>
    <w:rsid w:val="00747C6C"/>
    <w:rsid w:val="007513E6"/>
    <w:rsid w:val="0075207B"/>
    <w:rsid w:val="00753A6A"/>
    <w:rsid w:val="00754A5D"/>
    <w:rsid w:val="0075597E"/>
    <w:rsid w:val="00755A59"/>
    <w:rsid w:val="00755C9B"/>
    <w:rsid w:val="00757754"/>
    <w:rsid w:val="0076023E"/>
    <w:rsid w:val="00760BE3"/>
    <w:rsid w:val="00762B72"/>
    <w:rsid w:val="0076595F"/>
    <w:rsid w:val="00766239"/>
    <w:rsid w:val="00766921"/>
    <w:rsid w:val="00767C7D"/>
    <w:rsid w:val="00767EBF"/>
    <w:rsid w:val="00771455"/>
    <w:rsid w:val="00771DFE"/>
    <w:rsid w:val="00773447"/>
    <w:rsid w:val="00775842"/>
    <w:rsid w:val="00777022"/>
    <w:rsid w:val="0077747D"/>
    <w:rsid w:val="00780136"/>
    <w:rsid w:val="007814EA"/>
    <w:rsid w:val="00781D7B"/>
    <w:rsid w:val="0078329F"/>
    <w:rsid w:val="0078413B"/>
    <w:rsid w:val="007842EA"/>
    <w:rsid w:val="00785057"/>
    <w:rsid w:val="007869D5"/>
    <w:rsid w:val="00790497"/>
    <w:rsid w:val="00790B04"/>
    <w:rsid w:val="00791B09"/>
    <w:rsid w:val="00792DE5"/>
    <w:rsid w:val="00792F71"/>
    <w:rsid w:val="00796719"/>
    <w:rsid w:val="007A0D18"/>
    <w:rsid w:val="007A0D39"/>
    <w:rsid w:val="007A1432"/>
    <w:rsid w:val="007A402D"/>
    <w:rsid w:val="007A650E"/>
    <w:rsid w:val="007A78CA"/>
    <w:rsid w:val="007B1B2E"/>
    <w:rsid w:val="007B2B5E"/>
    <w:rsid w:val="007B5201"/>
    <w:rsid w:val="007B5BAE"/>
    <w:rsid w:val="007B6B24"/>
    <w:rsid w:val="007B7458"/>
    <w:rsid w:val="007B772A"/>
    <w:rsid w:val="007B7CB9"/>
    <w:rsid w:val="007C28EB"/>
    <w:rsid w:val="007C4A4B"/>
    <w:rsid w:val="007C786C"/>
    <w:rsid w:val="007D29F2"/>
    <w:rsid w:val="007D2E0B"/>
    <w:rsid w:val="007D511A"/>
    <w:rsid w:val="007E2358"/>
    <w:rsid w:val="007E6308"/>
    <w:rsid w:val="007F057D"/>
    <w:rsid w:val="007F0A1B"/>
    <w:rsid w:val="007F1F98"/>
    <w:rsid w:val="007F210B"/>
    <w:rsid w:val="007F2956"/>
    <w:rsid w:val="007F363C"/>
    <w:rsid w:val="00801F51"/>
    <w:rsid w:val="00802043"/>
    <w:rsid w:val="00804EEF"/>
    <w:rsid w:val="00807546"/>
    <w:rsid w:val="00811872"/>
    <w:rsid w:val="00812946"/>
    <w:rsid w:val="00814B47"/>
    <w:rsid w:val="00815974"/>
    <w:rsid w:val="00817604"/>
    <w:rsid w:val="0082072B"/>
    <w:rsid w:val="008221BC"/>
    <w:rsid w:val="008232DE"/>
    <w:rsid w:val="00824B77"/>
    <w:rsid w:val="008267AE"/>
    <w:rsid w:val="00827285"/>
    <w:rsid w:val="008276EA"/>
    <w:rsid w:val="00827B30"/>
    <w:rsid w:val="0083788C"/>
    <w:rsid w:val="00840B26"/>
    <w:rsid w:val="0084125C"/>
    <w:rsid w:val="00841F71"/>
    <w:rsid w:val="008425CF"/>
    <w:rsid w:val="008435E8"/>
    <w:rsid w:val="00843B3B"/>
    <w:rsid w:val="00843C9D"/>
    <w:rsid w:val="008453BF"/>
    <w:rsid w:val="008464C8"/>
    <w:rsid w:val="00847876"/>
    <w:rsid w:val="00850E06"/>
    <w:rsid w:val="00851734"/>
    <w:rsid w:val="00853393"/>
    <w:rsid w:val="008560A6"/>
    <w:rsid w:val="00856D4D"/>
    <w:rsid w:val="00857581"/>
    <w:rsid w:val="00862E6C"/>
    <w:rsid w:val="00863C6E"/>
    <w:rsid w:val="0086548D"/>
    <w:rsid w:val="008660EA"/>
    <w:rsid w:val="0086672E"/>
    <w:rsid w:val="00870E00"/>
    <w:rsid w:val="0087562D"/>
    <w:rsid w:val="00875EC2"/>
    <w:rsid w:val="008829CD"/>
    <w:rsid w:val="008834A1"/>
    <w:rsid w:val="00884BD8"/>
    <w:rsid w:val="00885017"/>
    <w:rsid w:val="00885F40"/>
    <w:rsid w:val="00890B14"/>
    <w:rsid w:val="0089311C"/>
    <w:rsid w:val="00896E89"/>
    <w:rsid w:val="00897015"/>
    <w:rsid w:val="008A1A5D"/>
    <w:rsid w:val="008A1E61"/>
    <w:rsid w:val="008A1F4F"/>
    <w:rsid w:val="008A22FA"/>
    <w:rsid w:val="008A4DB7"/>
    <w:rsid w:val="008A5773"/>
    <w:rsid w:val="008A67A9"/>
    <w:rsid w:val="008A77B0"/>
    <w:rsid w:val="008A7806"/>
    <w:rsid w:val="008B0D12"/>
    <w:rsid w:val="008B0D48"/>
    <w:rsid w:val="008B3A20"/>
    <w:rsid w:val="008B5298"/>
    <w:rsid w:val="008B58B8"/>
    <w:rsid w:val="008C35C9"/>
    <w:rsid w:val="008C4213"/>
    <w:rsid w:val="008C663B"/>
    <w:rsid w:val="008C6E60"/>
    <w:rsid w:val="008D0227"/>
    <w:rsid w:val="008D3203"/>
    <w:rsid w:val="008D422D"/>
    <w:rsid w:val="008D4293"/>
    <w:rsid w:val="008D4C66"/>
    <w:rsid w:val="008D5D8F"/>
    <w:rsid w:val="008D6B04"/>
    <w:rsid w:val="008E05A0"/>
    <w:rsid w:val="008E4DA4"/>
    <w:rsid w:val="008E6A68"/>
    <w:rsid w:val="008E7041"/>
    <w:rsid w:val="008E73AE"/>
    <w:rsid w:val="008F14EB"/>
    <w:rsid w:val="008F1D8E"/>
    <w:rsid w:val="008F54A9"/>
    <w:rsid w:val="008F54F0"/>
    <w:rsid w:val="008F7DF2"/>
    <w:rsid w:val="009008F3"/>
    <w:rsid w:val="00900CCA"/>
    <w:rsid w:val="00902310"/>
    <w:rsid w:val="00905607"/>
    <w:rsid w:val="00905619"/>
    <w:rsid w:val="00905D0A"/>
    <w:rsid w:val="009062E6"/>
    <w:rsid w:val="009067B1"/>
    <w:rsid w:val="009068FF"/>
    <w:rsid w:val="00911ED6"/>
    <w:rsid w:val="00912612"/>
    <w:rsid w:val="0091326D"/>
    <w:rsid w:val="00913BC9"/>
    <w:rsid w:val="00914019"/>
    <w:rsid w:val="00914ED4"/>
    <w:rsid w:val="00915E5E"/>
    <w:rsid w:val="00916A51"/>
    <w:rsid w:val="00917C6A"/>
    <w:rsid w:val="00917C7A"/>
    <w:rsid w:val="0092053A"/>
    <w:rsid w:val="00921FDD"/>
    <w:rsid w:val="00927B32"/>
    <w:rsid w:val="00930E35"/>
    <w:rsid w:val="00932E87"/>
    <w:rsid w:val="00932F88"/>
    <w:rsid w:val="009344F7"/>
    <w:rsid w:val="00936CAA"/>
    <w:rsid w:val="009375BE"/>
    <w:rsid w:val="00940D34"/>
    <w:rsid w:val="00941A40"/>
    <w:rsid w:val="00941DA4"/>
    <w:rsid w:val="009527E3"/>
    <w:rsid w:val="00954122"/>
    <w:rsid w:val="00956E99"/>
    <w:rsid w:val="00957699"/>
    <w:rsid w:val="00957F05"/>
    <w:rsid w:val="00961316"/>
    <w:rsid w:val="00961657"/>
    <w:rsid w:val="00963E57"/>
    <w:rsid w:val="0096531A"/>
    <w:rsid w:val="00967846"/>
    <w:rsid w:val="00967CFD"/>
    <w:rsid w:val="00971BCD"/>
    <w:rsid w:val="00972156"/>
    <w:rsid w:val="00972F2B"/>
    <w:rsid w:val="009733C3"/>
    <w:rsid w:val="009747C6"/>
    <w:rsid w:val="0097579F"/>
    <w:rsid w:val="0097629D"/>
    <w:rsid w:val="0097648A"/>
    <w:rsid w:val="00977454"/>
    <w:rsid w:val="00981B30"/>
    <w:rsid w:val="00981E92"/>
    <w:rsid w:val="00982455"/>
    <w:rsid w:val="00982D53"/>
    <w:rsid w:val="00982FFC"/>
    <w:rsid w:val="009834A1"/>
    <w:rsid w:val="00983ABC"/>
    <w:rsid w:val="00990AD1"/>
    <w:rsid w:val="009914BC"/>
    <w:rsid w:val="00991E84"/>
    <w:rsid w:val="0099378E"/>
    <w:rsid w:val="00993BA7"/>
    <w:rsid w:val="009A07A5"/>
    <w:rsid w:val="009B116B"/>
    <w:rsid w:val="009B1917"/>
    <w:rsid w:val="009B19D6"/>
    <w:rsid w:val="009B1B9C"/>
    <w:rsid w:val="009B20C2"/>
    <w:rsid w:val="009B228B"/>
    <w:rsid w:val="009B6156"/>
    <w:rsid w:val="009B793E"/>
    <w:rsid w:val="009C05A7"/>
    <w:rsid w:val="009C111D"/>
    <w:rsid w:val="009C2FE5"/>
    <w:rsid w:val="009C3384"/>
    <w:rsid w:val="009C4E11"/>
    <w:rsid w:val="009C5EDD"/>
    <w:rsid w:val="009C62D8"/>
    <w:rsid w:val="009C6EDA"/>
    <w:rsid w:val="009C6FA3"/>
    <w:rsid w:val="009C70AF"/>
    <w:rsid w:val="009D0D1D"/>
    <w:rsid w:val="009D2D43"/>
    <w:rsid w:val="009D3C52"/>
    <w:rsid w:val="009D4CD3"/>
    <w:rsid w:val="009D5F1B"/>
    <w:rsid w:val="009D666C"/>
    <w:rsid w:val="009E2AB1"/>
    <w:rsid w:val="009E2BA9"/>
    <w:rsid w:val="009E7163"/>
    <w:rsid w:val="009E7EF3"/>
    <w:rsid w:val="009F186F"/>
    <w:rsid w:val="009F2771"/>
    <w:rsid w:val="009F3FBE"/>
    <w:rsid w:val="009F61C9"/>
    <w:rsid w:val="009F6728"/>
    <w:rsid w:val="009F7564"/>
    <w:rsid w:val="009F7E3B"/>
    <w:rsid w:val="00A01089"/>
    <w:rsid w:val="00A01C06"/>
    <w:rsid w:val="00A0338F"/>
    <w:rsid w:val="00A04DB1"/>
    <w:rsid w:val="00A06170"/>
    <w:rsid w:val="00A07555"/>
    <w:rsid w:val="00A11890"/>
    <w:rsid w:val="00A16897"/>
    <w:rsid w:val="00A21F7C"/>
    <w:rsid w:val="00A237E6"/>
    <w:rsid w:val="00A2389D"/>
    <w:rsid w:val="00A23B9F"/>
    <w:rsid w:val="00A31363"/>
    <w:rsid w:val="00A33B7D"/>
    <w:rsid w:val="00A362EE"/>
    <w:rsid w:val="00A37609"/>
    <w:rsid w:val="00A4153C"/>
    <w:rsid w:val="00A4316B"/>
    <w:rsid w:val="00A443A8"/>
    <w:rsid w:val="00A5175C"/>
    <w:rsid w:val="00A53013"/>
    <w:rsid w:val="00A538A8"/>
    <w:rsid w:val="00A55708"/>
    <w:rsid w:val="00A57D10"/>
    <w:rsid w:val="00A60C75"/>
    <w:rsid w:val="00A62779"/>
    <w:rsid w:val="00A627E7"/>
    <w:rsid w:val="00A63F32"/>
    <w:rsid w:val="00A64F02"/>
    <w:rsid w:val="00A66A64"/>
    <w:rsid w:val="00A66CB8"/>
    <w:rsid w:val="00A708C8"/>
    <w:rsid w:val="00A70DF0"/>
    <w:rsid w:val="00A734DB"/>
    <w:rsid w:val="00A75F42"/>
    <w:rsid w:val="00A802F3"/>
    <w:rsid w:val="00A82186"/>
    <w:rsid w:val="00A82D6C"/>
    <w:rsid w:val="00A82DEA"/>
    <w:rsid w:val="00A86171"/>
    <w:rsid w:val="00A864F1"/>
    <w:rsid w:val="00A86A17"/>
    <w:rsid w:val="00A906FC"/>
    <w:rsid w:val="00A927CD"/>
    <w:rsid w:val="00A963A4"/>
    <w:rsid w:val="00A96FB6"/>
    <w:rsid w:val="00AA0C8F"/>
    <w:rsid w:val="00AA0E62"/>
    <w:rsid w:val="00AA24DD"/>
    <w:rsid w:val="00AA36C6"/>
    <w:rsid w:val="00AA4F79"/>
    <w:rsid w:val="00AA67D6"/>
    <w:rsid w:val="00AB1FEF"/>
    <w:rsid w:val="00AB2868"/>
    <w:rsid w:val="00AB5C59"/>
    <w:rsid w:val="00AC3F32"/>
    <w:rsid w:val="00AD00E3"/>
    <w:rsid w:val="00AD0B21"/>
    <w:rsid w:val="00AD0DEE"/>
    <w:rsid w:val="00AD1383"/>
    <w:rsid w:val="00AD1945"/>
    <w:rsid w:val="00AD29DC"/>
    <w:rsid w:val="00AD4DE2"/>
    <w:rsid w:val="00AD4DE7"/>
    <w:rsid w:val="00AE07D7"/>
    <w:rsid w:val="00AE096C"/>
    <w:rsid w:val="00AE1CDD"/>
    <w:rsid w:val="00AE27C2"/>
    <w:rsid w:val="00AE6387"/>
    <w:rsid w:val="00AE6CCE"/>
    <w:rsid w:val="00AE737F"/>
    <w:rsid w:val="00AE7EB2"/>
    <w:rsid w:val="00AF1137"/>
    <w:rsid w:val="00AF232D"/>
    <w:rsid w:val="00AF2AE0"/>
    <w:rsid w:val="00AF3309"/>
    <w:rsid w:val="00AF33AB"/>
    <w:rsid w:val="00AF7640"/>
    <w:rsid w:val="00B01302"/>
    <w:rsid w:val="00B015B9"/>
    <w:rsid w:val="00B0179B"/>
    <w:rsid w:val="00B031E6"/>
    <w:rsid w:val="00B03632"/>
    <w:rsid w:val="00B03D3D"/>
    <w:rsid w:val="00B03E9F"/>
    <w:rsid w:val="00B04749"/>
    <w:rsid w:val="00B0638A"/>
    <w:rsid w:val="00B067D5"/>
    <w:rsid w:val="00B11CEF"/>
    <w:rsid w:val="00B12886"/>
    <w:rsid w:val="00B12DFB"/>
    <w:rsid w:val="00B13F1F"/>
    <w:rsid w:val="00B14F3C"/>
    <w:rsid w:val="00B14FD4"/>
    <w:rsid w:val="00B15EF2"/>
    <w:rsid w:val="00B15EF3"/>
    <w:rsid w:val="00B227D0"/>
    <w:rsid w:val="00B22ADF"/>
    <w:rsid w:val="00B23EE7"/>
    <w:rsid w:val="00B3078E"/>
    <w:rsid w:val="00B32087"/>
    <w:rsid w:val="00B32267"/>
    <w:rsid w:val="00B32C3C"/>
    <w:rsid w:val="00B330E5"/>
    <w:rsid w:val="00B365FC"/>
    <w:rsid w:val="00B37436"/>
    <w:rsid w:val="00B402AF"/>
    <w:rsid w:val="00B4202F"/>
    <w:rsid w:val="00B43653"/>
    <w:rsid w:val="00B44B84"/>
    <w:rsid w:val="00B45320"/>
    <w:rsid w:val="00B458E7"/>
    <w:rsid w:val="00B51971"/>
    <w:rsid w:val="00B51C56"/>
    <w:rsid w:val="00B51F69"/>
    <w:rsid w:val="00B525D7"/>
    <w:rsid w:val="00B5540C"/>
    <w:rsid w:val="00B55ABC"/>
    <w:rsid w:val="00B56490"/>
    <w:rsid w:val="00B57275"/>
    <w:rsid w:val="00B57D41"/>
    <w:rsid w:val="00B60616"/>
    <w:rsid w:val="00B60C6B"/>
    <w:rsid w:val="00B6329F"/>
    <w:rsid w:val="00B65621"/>
    <w:rsid w:val="00B70AEC"/>
    <w:rsid w:val="00B70F55"/>
    <w:rsid w:val="00B7134B"/>
    <w:rsid w:val="00B82949"/>
    <w:rsid w:val="00B82D26"/>
    <w:rsid w:val="00B844AC"/>
    <w:rsid w:val="00B85037"/>
    <w:rsid w:val="00B906C3"/>
    <w:rsid w:val="00B91EDE"/>
    <w:rsid w:val="00B95BF1"/>
    <w:rsid w:val="00B964A9"/>
    <w:rsid w:val="00BA4877"/>
    <w:rsid w:val="00BA50E4"/>
    <w:rsid w:val="00BA535A"/>
    <w:rsid w:val="00BB0338"/>
    <w:rsid w:val="00BB2E6B"/>
    <w:rsid w:val="00BB4F69"/>
    <w:rsid w:val="00BB7963"/>
    <w:rsid w:val="00BB7AA0"/>
    <w:rsid w:val="00BC37C5"/>
    <w:rsid w:val="00BC5C54"/>
    <w:rsid w:val="00BC7796"/>
    <w:rsid w:val="00BC77B0"/>
    <w:rsid w:val="00BD1FA9"/>
    <w:rsid w:val="00BD252B"/>
    <w:rsid w:val="00BD70E3"/>
    <w:rsid w:val="00BD71FA"/>
    <w:rsid w:val="00BD7E88"/>
    <w:rsid w:val="00BE2DA4"/>
    <w:rsid w:val="00BE4BF0"/>
    <w:rsid w:val="00BE6004"/>
    <w:rsid w:val="00BE7E64"/>
    <w:rsid w:val="00BF47E8"/>
    <w:rsid w:val="00BF4FBB"/>
    <w:rsid w:val="00C003E9"/>
    <w:rsid w:val="00C00D2F"/>
    <w:rsid w:val="00C01148"/>
    <w:rsid w:val="00C0116B"/>
    <w:rsid w:val="00C02EAB"/>
    <w:rsid w:val="00C052D7"/>
    <w:rsid w:val="00C053D7"/>
    <w:rsid w:val="00C05AC0"/>
    <w:rsid w:val="00C066C9"/>
    <w:rsid w:val="00C06A19"/>
    <w:rsid w:val="00C078EA"/>
    <w:rsid w:val="00C10156"/>
    <w:rsid w:val="00C12B23"/>
    <w:rsid w:val="00C1422C"/>
    <w:rsid w:val="00C20BD9"/>
    <w:rsid w:val="00C21803"/>
    <w:rsid w:val="00C220FB"/>
    <w:rsid w:val="00C23560"/>
    <w:rsid w:val="00C23945"/>
    <w:rsid w:val="00C2462D"/>
    <w:rsid w:val="00C30B67"/>
    <w:rsid w:val="00C31225"/>
    <w:rsid w:val="00C31ED9"/>
    <w:rsid w:val="00C33287"/>
    <w:rsid w:val="00C335DF"/>
    <w:rsid w:val="00C3379A"/>
    <w:rsid w:val="00C33A64"/>
    <w:rsid w:val="00C34240"/>
    <w:rsid w:val="00C36051"/>
    <w:rsid w:val="00C40666"/>
    <w:rsid w:val="00C40F0D"/>
    <w:rsid w:val="00C41529"/>
    <w:rsid w:val="00C435C7"/>
    <w:rsid w:val="00C436B3"/>
    <w:rsid w:val="00C43892"/>
    <w:rsid w:val="00C45EFE"/>
    <w:rsid w:val="00C520E2"/>
    <w:rsid w:val="00C521F3"/>
    <w:rsid w:val="00C5368E"/>
    <w:rsid w:val="00C545C9"/>
    <w:rsid w:val="00C54FA0"/>
    <w:rsid w:val="00C561D7"/>
    <w:rsid w:val="00C565CF"/>
    <w:rsid w:val="00C57980"/>
    <w:rsid w:val="00C60512"/>
    <w:rsid w:val="00C63377"/>
    <w:rsid w:val="00C65A69"/>
    <w:rsid w:val="00C72032"/>
    <w:rsid w:val="00C7386F"/>
    <w:rsid w:val="00C74E75"/>
    <w:rsid w:val="00C775E7"/>
    <w:rsid w:val="00C83E29"/>
    <w:rsid w:val="00C900A8"/>
    <w:rsid w:val="00C90CEA"/>
    <w:rsid w:val="00C914D1"/>
    <w:rsid w:val="00C933F5"/>
    <w:rsid w:val="00C9579A"/>
    <w:rsid w:val="00CA11B9"/>
    <w:rsid w:val="00CA479B"/>
    <w:rsid w:val="00CA51CF"/>
    <w:rsid w:val="00CB083D"/>
    <w:rsid w:val="00CB21BA"/>
    <w:rsid w:val="00CC0477"/>
    <w:rsid w:val="00CC155B"/>
    <w:rsid w:val="00CC3677"/>
    <w:rsid w:val="00CC4CE9"/>
    <w:rsid w:val="00CC4E9E"/>
    <w:rsid w:val="00CC69AC"/>
    <w:rsid w:val="00CD0B6A"/>
    <w:rsid w:val="00CD0E11"/>
    <w:rsid w:val="00CD22E6"/>
    <w:rsid w:val="00CD41F2"/>
    <w:rsid w:val="00CD5983"/>
    <w:rsid w:val="00CD5A60"/>
    <w:rsid w:val="00CD5BBD"/>
    <w:rsid w:val="00CE1F18"/>
    <w:rsid w:val="00CE20B3"/>
    <w:rsid w:val="00CE3F20"/>
    <w:rsid w:val="00CE6241"/>
    <w:rsid w:val="00CE7BB8"/>
    <w:rsid w:val="00CF00EE"/>
    <w:rsid w:val="00CF2F81"/>
    <w:rsid w:val="00CF2FEF"/>
    <w:rsid w:val="00CF332C"/>
    <w:rsid w:val="00CF5614"/>
    <w:rsid w:val="00CF7169"/>
    <w:rsid w:val="00D01205"/>
    <w:rsid w:val="00D0166D"/>
    <w:rsid w:val="00D01814"/>
    <w:rsid w:val="00D02C60"/>
    <w:rsid w:val="00D02FF3"/>
    <w:rsid w:val="00D05CAC"/>
    <w:rsid w:val="00D10009"/>
    <w:rsid w:val="00D10F37"/>
    <w:rsid w:val="00D1111E"/>
    <w:rsid w:val="00D128D4"/>
    <w:rsid w:val="00D1395C"/>
    <w:rsid w:val="00D13A67"/>
    <w:rsid w:val="00D13AE4"/>
    <w:rsid w:val="00D16071"/>
    <w:rsid w:val="00D1665A"/>
    <w:rsid w:val="00D204FA"/>
    <w:rsid w:val="00D20538"/>
    <w:rsid w:val="00D209DB"/>
    <w:rsid w:val="00D2136A"/>
    <w:rsid w:val="00D24133"/>
    <w:rsid w:val="00D2593F"/>
    <w:rsid w:val="00D263E1"/>
    <w:rsid w:val="00D355BA"/>
    <w:rsid w:val="00D3681E"/>
    <w:rsid w:val="00D37068"/>
    <w:rsid w:val="00D374D0"/>
    <w:rsid w:val="00D43218"/>
    <w:rsid w:val="00D44A53"/>
    <w:rsid w:val="00D461D2"/>
    <w:rsid w:val="00D507F4"/>
    <w:rsid w:val="00D51018"/>
    <w:rsid w:val="00D55979"/>
    <w:rsid w:val="00D6148D"/>
    <w:rsid w:val="00D6289B"/>
    <w:rsid w:val="00D633FE"/>
    <w:rsid w:val="00D65879"/>
    <w:rsid w:val="00D67A60"/>
    <w:rsid w:val="00D67EF6"/>
    <w:rsid w:val="00D70C86"/>
    <w:rsid w:val="00D73296"/>
    <w:rsid w:val="00D771EB"/>
    <w:rsid w:val="00D84FBC"/>
    <w:rsid w:val="00D854CC"/>
    <w:rsid w:val="00D875B2"/>
    <w:rsid w:val="00D91822"/>
    <w:rsid w:val="00D927FC"/>
    <w:rsid w:val="00D94EA4"/>
    <w:rsid w:val="00DA4EA9"/>
    <w:rsid w:val="00DA4F6D"/>
    <w:rsid w:val="00DA596B"/>
    <w:rsid w:val="00DA5A75"/>
    <w:rsid w:val="00DB0326"/>
    <w:rsid w:val="00DB0B6C"/>
    <w:rsid w:val="00DB469F"/>
    <w:rsid w:val="00DB7158"/>
    <w:rsid w:val="00DC49C7"/>
    <w:rsid w:val="00DC6266"/>
    <w:rsid w:val="00DC6C3B"/>
    <w:rsid w:val="00DC7559"/>
    <w:rsid w:val="00DD1679"/>
    <w:rsid w:val="00DD6A09"/>
    <w:rsid w:val="00DE066F"/>
    <w:rsid w:val="00DE3F3C"/>
    <w:rsid w:val="00DE4AE1"/>
    <w:rsid w:val="00DE55BF"/>
    <w:rsid w:val="00DF62CC"/>
    <w:rsid w:val="00DF73C1"/>
    <w:rsid w:val="00DF7AFE"/>
    <w:rsid w:val="00E040FE"/>
    <w:rsid w:val="00E06E91"/>
    <w:rsid w:val="00E07D84"/>
    <w:rsid w:val="00E1294A"/>
    <w:rsid w:val="00E15B91"/>
    <w:rsid w:val="00E16406"/>
    <w:rsid w:val="00E1670F"/>
    <w:rsid w:val="00E17BF2"/>
    <w:rsid w:val="00E20A75"/>
    <w:rsid w:val="00E21F32"/>
    <w:rsid w:val="00E239E3"/>
    <w:rsid w:val="00E2446B"/>
    <w:rsid w:val="00E25BBE"/>
    <w:rsid w:val="00E2688D"/>
    <w:rsid w:val="00E305EA"/>
    <w:rsid w:val="00E312A9"/>
    <w:rsid w:val="00E325E6"/>
    <w:rsid w:val="00E35F67"/>
    <w:rsid w:val="00E36AA7"/>
    <w:rsid w:val="00E37E23"/>
    <w:rsid w:val="00E40130"/>
    <w:rsid w:val="00E4046F"/>
    <w:rsid w:val="00E404B7"/>
    <w:rsid w:val="00E43D78"/>
    <w:rsid w:val="00E44E42"/>
    <w:rsid w:val="00E46509"/>
    <w:rsid w:val="00E46B9C"/>
    <w:rsid w:val="00E5105F"/>
    <w:rsid w:val="00E60C11"/>
    <w:rsid w:val="00E62823"/>
    <w:rsid w:val="00E66C5D"/>
    <w:rsid w:val="00E70156"/>
    <w:rsid w:val="00E71286"/>
    <w:rsid w:val="00E71A2D"/>
    <w:rsid w:val="00E72D1F"/>
    <w:rsid w:val="00E73EAE"/>
    <w:rsid w:val="00E778A4"/>
    <w:rsid w:val="00E80630"/>
    <w:rsid w:val="00E80E80"/>
    <w:rsid w:val="00E81483"/>
    <w:rsid w:val="00E8183E"/>
    <w:rsid w:val="00E83E20"/>
    <w:rsid w:val="00E87E56"/>
    <w:rsid w:val="00E9077C"/>
    <w:rsid w:val="00E9262E"/>
    <w:rsid w:val="00E92B93"/>
    <w:rsid w:val="00E93716"/>
    <w:rsid w:val="00E95D36"/>
    <w:rsid w:val="00E966BA"/>
    <w:rsid w:val="00E973FC"/>
    <w:rsid w:val="00EA1AF6"/>
    <w:rsid w:val="00EA2C53"/>
    <w:rsid w:val="00EA38F7"/>
    <w:rsid w:val="00EA3D19"/>
    <w:rsid w:val="00EA606A"/>
    <w:rsid w:val="00EA6308"/>
    <w:rsid w:val="00EA6740"/>
    <w:rsid w:val="00EA6EFD"/>
    <w:rsid w:val="00EA7107"/>
    <w:rsid w:val="00EB1747"/>
    <w:rsid w:val="00EB70C7"/>
    <w:rsid w:val="00EC1D36"/>
    <w:rsid w:val="00EC2F20"/>
    <w:rsid w:val="00EC4932"/>
    <w:rsid w:val="00EC55C5"/>
    <w:rsid w:val="00EC5D27"/>
    <w:rsid w:val="00EC60A5"/>
    <w:rsid w:val="00EC78B4"/>
    <w:rsid w:val="00ED0399"/>
    <w:rsid w:val="00ED0F50"/>
    <w:rsid w:val="00ED2339"/>
    <w:rsid w:val="00ED427C"/>
    <w:rsid w:val="00EE1399"/>
    <w:rsid w:val="00EE1816"/>
    <w:rsid w:val="00EE2035"/>
    <w:rsid w:val="00EE3BB7"/>
    <w:rsid w:val="00EE6497"/>
    <w:rsid w:val="00EF10C1"/>
    <w:rsid w:val="00EF1598"/>
    <w:rsid w:val="00EF16DF"/>
    <w:rsid w:val="00EF29C4"/>
    <w:rsid w:val="00EF510A"/>
    <w:rsid w:val="00F02812"/>
    <w:rsid w:val="00F03684"/>
    <w:rsid w:val="00F0641A"/>
    <w:rsid w:val="00F0778E"/>
    <w:rsid w:val="00F10900"/>
    <w:rsid w:val="00F11255"/>
    <w:rsid w:val="00F112AB"/>
    <w:rsid w:val="00F114C4"/>
    <w:rsid w:val="00F126CF"/>
    <w:rsid w:val="00F14313"/>
    <w:rsid w:val="00F15D11"/>
    <w:rsid w:val="00F16003"/>
    <w:rsid w:val="00F17EED"/>
    <w:rsid w:val="00F210B5"/>
    <w:rsid w:val="00F226DB"/>
    <w:rsid w:val="00F23A79"/>
    <w:rsid w:val="00F330AB"/>
    <w:rsid w:val="00F33474"/>
    <w:rsid w:val="00F342F9"/>
    <w:rsid w:val="00F378A2"/>
    <w:rsid w:val="00F40C2D"/>
    <w:rsid w:val="00F415A1"/>
    <w:rsid w:val="00F41827"/>
    <w:rsid w:val="00F44F30"/>
    <w:rsid w:val="00F463A6"/>
    <w:rsid w:val="00F46737"/>
    <w:rsid w:val="00F50008"/>
    <w:rsid w:val="00F51578"/>
    <w:rsid w:val="00F52E53"/>
    <w:rsid w:val="00F546D6"/>
    <w:rsid w:val="00F55880"/>
    <w:rsid w:val="00F60E5C"/>
    <w:rsid w:val="00F61A44"/>
    <w:rsid w:val="00F633EB"/>
    <w:rsid w:val="00F73CC6"/>
    <w:rsid w:val="00F80A64"/>
    <w:rsid w:val="00F80C22"/>
    <w:rsid w:val="00F8116D"/>
    <w:rsid w:val="00F81722"/>
    <w:rsid w:val="00F8543C"/>
    <w:rsid w:val="00F86AA0"/>
    <w:rsid w:val="00F943D7"/>
    <w:rsid w:val="00F94B2B"/>
    <w:rsid w:val="00F95174"/>
    <w:rsid w:val="00F96898"/>
    <w:rsid w:val="00F97EEB"/>
    <w:rsid w:val="00FA13F0"/>
    <w:rsid w:val="00FA1D3B"/>
    <w:rsid w:val="00FA2036"/>
    <w:rsid w:val="00FA3897"/>
    <w:rsid w:val="00FA444E"/>
    <w:rsid w:val="00FA6F7D"/>
    <w:rsid w:val="00FA74A8"/>
    <w:rsid w:val="00FB0729"/>
    <w:rsid w:val="00FB10BB"/>
    <w:rsid w:val="00FB1334"/>
    <w:rsid w:val="00FB1C5E"/>
    <w:rsid w:val="00FB1D37"/>
    <w:rsid w:val="00FB2E6A"/>
    <w:rsid w:val="00FB52B5"/>
    <w:rsid w:val="00FC1B28"/>
    <w:rsid w:val="00FC4B9F"/>
    <w:rsid w:val="00FC7ACE"/>
    <w:rsid w:val="00FD409C"/>
    <w:rsid w:val="00FD6615"/>
    <w:rsid w:val="00FD7D89"/>
    <w:rsid w:val="00FE07D9"/>
    <w:rsid w:val="00FE26A6"/>
    <w:rsid w:val="00FE2F93"/>
    <w:rsid w:val="00FE3DC1"/>
    <w:rsid w:val="00FE3EB7"/>
    <w:rsid w:val="00FE4819"/>
    <w:rsid w:val="00FE4C56"/>
    <w:rsid w:val="00FE7143"/>
    <w:rsid w:val="00FE7372"/>
    <w:rsid w:val="00FE763B"/>
    <w:rsid w:val="00FF0133"/>
    <w:rsid w:val="00FF2DCF"/>
    <w:rsid w:val="00FF5581"/>
    <w:rsid w:val="00FF7609"/>
    <w:rsid w:val="00FF7CBF"/>
    <w:rsid w:val="02514057"/>
    <w:rsid w:val="059EB5FF"/>
    <w:rsid w:val="05F86355"/>
    <w:rsid w:val="061FAD1C"/>
    <w:rsid w:val="08C2705C"/>
    <w:rsid w:val="09D5BA27"/>
    <w:rsid w:val="0A864611"/>
    <w:rsid w:val="0BBC5E8C"/>
    <w:rsid w:val="0C759192"/>
    <w:rsid w:val="0DAD7410"/>
    <w:rsid w:val="0FB6A790"/>
    <w:rsid w:val="112E3143"/>
    <w:rsid w:val="1217A9CB"/>
    <w:rsid w:val="1338376F"/>
    <w:rsid w:val="149319A4"/>
    <w:rsid w:val="14E5CA50"/>
    <w:rsid w:val="15E5EA53"/>
    <w:rsid w:val="16C98BC3"/>
    <w:rsid w:val="179D0E20"/>
    <w:rsid w:val="18EACC17"/>
    <w:rsid w:val="193F3775"/>
    <w:rsid w:val="1B1BB5BF"/>
    <w:rsid w:val="1C2D34D7"/>
    <w:rsid w:val="1C7415B0"/>
    <w:rsid w:val="1CB0B4A0"/>
    <w:rsid w:val="1D3711E3"/>
    <w:rsid w:val="1D5463F5"/>
    <w:rsid w:val="1F8EC4D7"/>
    <w:rsid w:val="1FC54BC3"/>
    <w:rsid w:val="2032CDE5"/>
    <w:rsid w:val="210492F8"/>
    <w:rsid w:val="211EE1A9"/>
    <w:rsid w:val="21CBE50B"/>
    <w:rsid w:val="22AE8125"/>
    <w:rsid w:val="25621458"/>
    <w:rsid w:val="2687C263"/>
    <w:rsid w:val="26B33FD3"/>
    <w:rsid w:val="26C1A8D5"/>
    <w:rsid w:val="2A18DC83"/>
    <w:rsid w:val="2C357372"/>
    <w:rsid w:val="2D11FF41"/>
    <w:rsid w:val="2D626C93"/>
    <w:rsid w:val="2E4A0428"/>
    <w:rsid w:val="2F96185D"/>
    <w:rsid w:val="304A01B2"/>
    <w:rsid w:val="307CEA16"/>
    <w:rsid w:val="307E5542"/>
    <w:rsid w:val="31D29466"/>
    <w:rsid w:val="32B923F6"/>
    <w:rsid w:val="33A3A1AB"/>
    <w:rsid w:val="33CF5037"/>
    <w:rsid w:val="343AC596"/>
    <w:rsid w:val="34A18985"/>
    <w:rsid w:val="35177B22"/>
    <w:rsid w:val="38C70808"/>
    <w:rsid w:val="38FC8A88"/>
    <w:rsid w:val="3C903EB4"/>
    <w:rsid w:val="3C9E2888"/>
    <w:rsid w:val="3EBC9B61"/>
    <w:rsid w:val="3FEEC883"/>
    <w:rsid w:val="40D18275"/>
    <w:rsid w:val="4200AE6C"/>
    <w:rsid w:val="43A7B2A6"/>
    <w:rsid w:val="43AFBFAB"/>
    <w:rsid w:val="44127183"/>
    <w:rsid w:val="44F73AEB"/>
    <w:rsid w:val="451DFB12"/>
    <w:rsid w:val="460D4695"/>
    <w:rsid w:val="466EBA7D"/>
    <w:rsid w:val="46DAEAF3"/>
    <w:rsid w:val="47754F13"/>
    <w:rsid w:val="482BD018"/>
    <w:rsid w:val="4BC5913D"/>
    <w:rsid w:val="4BF7A923"/>
    <w:rsid w:val="4DB8EF22"/>
    <w:rsid w:val="4E329E48"/>
    <w:rsid w:val="50545AF4"/>
    <w:rsid w:val="55683F9B"/>
    <w:rsid w:val="55C4987F"/>
    <w:rsid w:val="566F9FD2"/>
    <w:rsid w:val="5697C8E8"/>
    <w:rsid w:val="56DE901E"/>
    <w:rsid w:val="5737CC14"/>
    <w:rsid w:val="578CDB9D"/>
    <w:rsid w:val="585EE57D"/>
    <w:rsid w:val="5B26B06A"/>
    <w:rsid w:val="5B5A1353"/>
    <w:rsid w:val="5F4807FD"/>
    <w:rsid w:val="5F48B10A"/>
    <w:rsid w:val="5F7327E6"/>
    <w:rsid w:val="5F8CC676"/>
    <w:rsid w:val="60910FEE"/>
    <w:rsid w:val="60D00339"/>
    <w:rsid w:val="60F14142"/>
    <w:rsid w:val="61E4439C"/>
    <w:rsid w:val="64252C13"/>
    <w:rsid w:val="646203A6"/>
    <w:rsid w:val="648D137E"/>
    <w:rsid w:val="64AC7079"/>
    <w:rsid w:val="64D95F4B"/>
    <w:rsid w:val="6511027B"/>
    <w:rsid w:val="65E8F442"/>
    <w:rsid w:val="66AB705F"/>
    <w:rsid w:val="69975D53"/>
    <w:rsid w:val="6A3DD72A"/>
    <w:rsid w:val="6C26592F"/>
    <w:rsid w:val="6D158090"/>
    <w:rsid w:val="6F0E20B1"/>
    <w:rsid w:val="6FF3CCEF"/>
    <w:rsid w:val="6FF5FB78"/>
    <w:rsid w:val="701ECAAE"/>
    <w:rsid w:val="70AA191A"/>
    <w:rsid w:val="70FD3D1D"/>
    <w:rsid w:val="712454EB"/>
    <w:rsid w:val="71D1CA9A"/>
    <w:rsid w:val="71F05F8B"/>
    <w:rsid w:val="7234626D"/>
    <w:rsid w:val="74329A04"/>
    <w:rsid w:val="74D367EB"/>
    <w:rsid w:val="764E0CDD"/>
    <w:rsid w:val="76BFCF78"/>
    <w:rsid w:val="7836F41C"/>
    <w:rsid w:val="78C0D4B7"/>
    <w:rsid w:val="7921FFA8"/>
    <w:rsid w:val="79304622"/>
    <w:rsid w:val="79C1BBE4"/>
    <w:rsid w:val="7A0355F4"/>
    <w:rsid w:val="7D17C5A5"/>
    <w:rsid w:val="7DA91529"/>
    <w:rsid w:val="7DBA0FFE"/>
    <w:rsid w:val="7F14005D"/>
    <w:rsid w:val="7F1FE43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5A8C"/>
  <w15:chartTrackingRefBased/>
  <w15:docId w15:val="{AF0A831A-D3CE-47A3-953E-E71A7064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600"/>
    <w:rPr>
      <w:rFonts w:ascii="Arial" w:hAnsi="Arial"/>
      <w:sz w:val="24"/>
    </w:rPr>
  </w:style>
  <w:style w:type="paragraph" w:styleId="Heading1">
    <w:name w:val="heading 1"/>
    <w:basedOn w:val="Normal"/>
    <w:next w:val="Normal"/>
    <w:link w:val="Heading1Char"/>
    <w:autoRedefine/>
    <w:uiPriority w:val="9"/>
    <w:qFormat/>
    <w:rsid w:val="00BE4BF0"/>
    <w:pPr>
      <w:keepNext/>
      <w:keepLines/>
      <w:spacing w:before="240" w:after="240"/>
      <w:outlineLvl w:val="0"/>
    </w:pPr>
    <w:rPr>
      <w:rFonts w:eastAsiaTheme="majorEastAsia" w:cstheme="majorBidi"/>
      <w:color w:val="000000" w:themeColor="text1"/>
      <w:sz w:val="32"/>
      <w:szCs w:val="32"/>
      <w:lang w:val="en-US"/>
    </w:rPr>
  </w:style>
  <w:style w:type="paragraph" w:styleId="Heading2">
    <w:name w:val="heading 2"/>
    <w:basedOn w:val="Normal"/>
    <w:next w:val="Normal"/>
    <w:link w:val="Heading2Char"/>
    <w:autoRedefine/>
    <w:uiPriority w:val="9"/>
    <w:unhideWhenUsed/>
    <w:qFormat/>
    <w:rsid w:val="00CF332C"/>
    <w:pPr>
      <w:keepNext/>
      <w:keepLines/>
      <w:spacing w:before="40" w:after="0"/>
      <w:outlineLvl w:val="1"/>
    </w:pPr>
    <w:rPr>
      <w:rFonts w:eastAsiaTheme="majorEastAsia" w:cstheme="majorBidi"/>
      <w:color w:val="000000" w:themeColor="text1"/>
      <w:sz w:val="28"/>
      <w:szCs w:val="26"/>
    </w:rPr>
  </w:style>
  <w:style w:type="paragraph" w:styleId="Heading3">
    <w:name w:val="heading 3"/>
    <w:basedOn w:val="Normal"/>
    <w:next w:val="Normal"/>
    <w:link w:val="Heading3Char"/>
    <w:autoRedefine/>
    <w:uiPriority w:val="9"/>
    <w:unhideWhenUsed/>
    <w:qFormat/>
    <w:rsid w:val="00CF332C"/>
    <w:pPr>
      <w:keepNext/>
      <w:keepLines/>
      <w:spacing w:before="40" w:after="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186BE2"/>
    <w:pPr>
      <w:keepNext/>
      <w:keepLines/>
      <w:spacing w:before="40" w:after="0"/>
      <w:outlineLvl w:val="3"/>
    </w:pPr>
    <w:rPr>
      <w:rFonts w:eastAsiaTheme="majorEastAsia" w:cstheme="majorBidi"/>
      <w: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D511A"/>
    <w:pPr>
      <w:spacing w:after="360" w:line="240" w:lineRule="auto"/>
      <w:jc w:val="center"/>
    </w:pPr>
    <w:rPr>
      <w:rFonts w:eastAsiaTheme="majorEastAsia" w:cstheme="majorBidi"/>
      <w:color w:val="000000" w:themeColor="text1"/>
      <w:spacing w:val="-10"/>
      <w:kern w:val="28"/>
      <w:sz w:val="36"/>
      <w:szCs w:val="56"/>
      <w:lang w:val="en-US"/>
    </w:rPr>
  </w:style>
  <w:style w:type="character" w:customStyle="1" w:styleId="TitleChar">
    <w:name w:val="Title Char"/>
    <w:basedOn w:val="DefaultParagraphFont"/>
    <w:link w:val="Title"/>
    <w:uiPriority w:val="10"/>
    <w:rsid w:val="007D511A"/>
    <w:rPr>
      <w:rFonts w:ascii="Arial" w:eastAsiaTheme="majorEastAsia" w:hAnsi="Arial" w:cstheme="majorBidi"/>
      <w:color w:val="000000" w:themeColor="text1"/>
      <w:spacing w:val="-10"/>
      <w:kern w:val="28"/>
      <w:sz w:val="36"/>
      <w:szCs w:val="56"/>
      <w:lang w:val="en-US"/>
    </w:rPr>
  </w:style>
  <w:style w:type="character" w:customStyle="1" w:styleId="Heading1Char">
    <w:name w:val="Heading 1 Char"/>
    <w:basedOn w:val="DefaultParagraphFont"/>
    <w:link w:val="Heading1"/>
    <w:uiPriority w:val="9"/>
    <w:rsid w:val="00BE4BF0"/>
    <w:rPr>
      <w:rFonts w:ascii="Arial" w:eastAsiaTheme="majorEastAsia" w:hAnsi="Arial" w:cstheme="majorBidi"/>
      <w:color w:val="000000" w:themeColor="text1"/>
      <w:sz w:val="32"/>
      <w:szCs w:val="32"/>
      <w:lang w:val="en-US"/>
    </w:rPr>
  </w:style>
  <w:style w:type="character" w:customStyle="1" w:styleId="Heading2Char">
    <w:name w:val="Heading 2 Char"/>
    <w:basedOn w:val="DefaultParagraphFont"/>
    <w:link w:val="Heading2"/>
    <w:uiPriority w:val="9"/>
    <w:rsid w:val="00CF332C"/>
    <w:rPr>
      <w:rFonts w:ascii="Arial" w:eastAsiaTheme="majorEastAsia" w:hAnsi="Arial" w:cstheme="majorBidi"/>
      <w:color w:val="000000" w:themeColor="text1"/>
      <w:sz w:val="28"/>
      <w:szCs w:val="26"/>
    </w:rPr>
  </w:style>
  <w:style w:type="paragraph" w:styleId="Header">
    <w:name w:val="header"/>
    <w:basedOn w:val="Normal"/>
    <w:link w:val="HeaderChar"/>
    <w:uiPriority w:val="99"/>
    <w:unhideWhenUsed/>
    <w:rsid w:val="005D1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569"/>
    <w:rPr>
      <w:sz w:val="24"/>
    </w:rPr>
  </w:style>
  <w:style w:type="paragraph" w:styleId="Footer">
    <w:name w:val="footer"/>
    <w:basedOn w:val="Normal"/>
    <w:link w:val="FooterChar"/>
    <w:uiPriority w:val="99"/>
    <w:unhideWhenUsed/>
    <w:rsid w:val="005D1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569"/>
    <w:rPr>
      <w:sz w:val="24"/>
    </w:rPr>
  </w:style>
  <w:style w:type="character" w:customStyle="1" w:styleId="Heading3Char">
    <w:name w:val="Heading 3 Char"/>
    <w:basedOn w:val="DefaultParagraphFont"/>
    <w:link w:val="Heading3"/>
    <w:uiPriority w:val="9"/>
    <w:rsid w:val="00CF332C"/>
    <w:rPr>
      <w:rFonts w:ascii="Arial" w:eastAsiaTheme="majorEastAsia" w:hAnsi="Arial" w:cstheme="majorBidi"/>
      <w:color w:val="000000" w:themeColor="text1"/>
      <w:sz w:val="24"/>
      <w:szCs w:val="24"/>
    </w:rPr>
  </w:style>
  <w:style w:type="paragraph" w:styleId="ListParagraph">
    <w:name w:val="List Paragraph"/>
    <w:basedOn w:val="Normal"/>
    <w:uiPriority w:val="34"/>
    <w:qFormat/>
    <w:rsid w:val="004E5409"/>
    <w:pPr>
      <w:ind w:left="720"/>
      <w:contextualSpacing/>
    </w:pPr>
  </w:style>
  <w:style w:type="character" w:styleId="Hyperlink">
    <w:name w:val="Hyperlink"/>
    <w:basedOn w:val="DefaultParagraphFont"/>
    <w:uiPriority w:val="99"/>
    <w:unhideWhenUsed/>
    <w:rsid w:val="009F3FBE"/>
    <w:rPr>
      <w:color w:val="0563C1" w:themeColor="hyperlink"/>
      <w:u w:val="single"/>
    </w:rPr>
  </w:style>
  <w:style w:type="character" w:styleId="UnresolvedMention">
    <w:name w:val="Unresolved Mention"/>
    <w:basedOn w:val="DefaultParagraphFont"/>
    <w:uiPriority w:val="99"/>
    <w:semiHidden/>
    <w:unhideWhenUsed/>
    <w:rsid w:val="009F3FBE"/>
    <w:rPr>
      <w:color w:val="605E5C"/>
      <w:shd w:val="clear" w:color="auto" w:fill="E1DFDD"/>
    </w:rPr>
  </w:style>
  <w:style w:type="character" w:styleId="PlaceholderText">
    <w:name w:val="Placeholder Text"/>
    <w:basedOn w:val="DefaultParagraphFont"/>
    <w:uiPriority w:val="99"/>
    <w:semiHidden/>
    <w:rsid w:val="00D0166D"/>
    <w:rPr>
      <w:color w:val="808080"/>
    </w:rPr>
  </w:style>
  <w:style w:type="character" w:customStyle="1" w:styleId="Heading4Char">
    <w:name w:val="Heading 4 Char"/>
    <w:basedOn w:val="DefaultParagraphFont"/>
    <w:link w:val="Heading4"/>
    <w:uiPriority w:val="9"/>
    <w:semiHidden/>
    <w:rsid w:val="00186BE2"/>
    <w:rPr>
      <w:rFonts w:ascii="Arial" w:eastAsiaTheme="majorEastAsia" w:hAnsi="Arial" w:cstheme="majorBidi"/>
      <w:i/>
      <w:iCs/>
      <w:color w:val="000000" w:themeColor="text1"/>
      <w:sz w:val="24"/>
    </w:rPr>
  </w:style>
  <w:style w:type="paragraph" w:customStyle="1" w:styleId="Default">
    <w:name w:val="Default"/>
    <w:rsid w:val="009733C3"/>
    <w:pPr>
      <w:autoSpaceDE w:val="0"/>
      <w:autoSpaceDN w:val="0"/>
      <w:adjustRightInd w:val="0"/>
      <w:spacing w:after="0" w:line="240" w:lineRule="auto"/>
    </w:pPr>
    <w:rPr>
      <w:rFonts w:ascii="Arial" w:hAnsi="Arial" w:cs="Arial"/>
      <w:color w:val="000000"/>
      <w:kern w:val="0"/>
      <w:sz w:val="24"/>
      <w:szCs w:val="24"/>
    </w:rPr>
  </w:style>
  <w:style w:type="paragraph" w:styleId="BodyText">
    <w:name w:val="Body Text"/>
    <w:basedOn w:val="Normal"/>
    <w:link w:val="BodyTextChar"/>
    <w:uiPriority w:val="1"/>
    <w:qFormat/>
    <w:rsid w:val="00032FAB"/>
    <w:pPr>
      <w:autoSpaceDE w:val="0"/>
      <w:autoSpaceDN w:val="0"/>
      <w:adjustRightInd w:val="0"/>
      <w:spacing w:after="0" w:line="240" w:lineRule="auto"/>
    </w:pPr>
    <w:rPr>
      <w:rFonts w:cs="Arial"/>
      <w:kern w:val="0"/>
      <w:szCs w:val="24"/>
    </w:rPr>
  </w:style>
  <w:style w:type="character" w:customStyle="1" w:styleId="BodyTextChar">
    <w:name w:val="Body Text Char"/>
    <w:basedOn w:val="DefaultParagraphFont"/>
    <w:link w:val="BodyText"/>
    <w:uiPriority w:val="1"/>
    <w:rsid w:val="00032FAB"/>
    <w:rPr>
      <w:rFonts w:ascii="Arial" w:hAnsi="Arial" w:cs="Arial"/>
      <w:kern w:val="0"/>
      <w:sz w:val="24"/>
      <w:szCs w:val="24"/>
    </w:rPr>
  </w:style>
  <w:style w:type="character" w:styleId="CommentReference">
    <w:name w:val="annotation reference"/>
    <w:basedOn w:val="DefaultParagraphFont"/>
    <w:uiPriority w:val="99"/>
    <w:semiHidden/>
    <w:unhideWhenUsed/>
    <w:rsid w:val="00501CD2"/>
    <w:rPr>
      <w:sz w:val="16"/>
      <w:szCs w:val="16"/>
    </w:rPr>
  </w:style>
  <w:style w:type="paragraph" w:styleId="CommentText">
    <w:name w:val="annotation text"/>
    <w:basedOn w:val="Normal"/>
    <w:link w:val="CommentTextChar"/>
    <w:uiPriority w:val="99"/>
    <w:unhideWhenUsed/>
    <w:rsid w:val="00501CD2"/>
    <w:pPr>
      <w:spacing w:line="240" w:lineRule="auto"/>
    </w:pPr>
    <w:rPr>
      <w:sz w:val="20"/>
      <w:szCs w:val="20"/>
    </w:rPr>
  </w:style>
  <w:style w:type="character" w:customStyle="1" w:styleId="CommentTextChar">
    <w:name w:val="Comment Text Char"/>
    <w:basedOn w:val="DefaultParagraphFont"/>
    <w:link w:val="CommentText"/>
    <w:uiPriority w:val="99"/>
    <w:rsid w:val="00501CD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01CD2"/>
    <w:rPr>
      <w:b/>
      <w:bCs/>
    </w:rPr>
  </w:style>
  <w:style w:type="character" w:customStyle="1" w:styleId="CommentSubjectChar">
    <w:name w:val="Comment Subject Char"/>
    <w:basedOn w:val="CommentTextChar"/>
    <w:link w:val="CommentSubject"/>
    <w:uiPriority w:val="99"/>
    <w:semiHidden/>
    <w:rsid w:val="00501CD2"/>
    <w:rPr>
      <w:rFonts w:ascii="Arial" w:hAnsi="Arial"/>
      <w:b/>
      <w:bCs/>
      <w:sz w:val="20"/>
      <w:szCs w:val="20"/>
    </w:rPr>
  </w:style>
  <w:style w:type="paragraph" w:styleId="Revision">
    <w:name w:val="Revision"/>
    <w:hidden/>
    <w:uiPriority w:val="99"/>
    <w:semiHidden/>
    <w:rsid w:val="00406FE9"/>
    <w:pPr>
      <w:spacing w:after="0" w:line="240" w:lineRule="auto"/>
    </w:pPr>
    <w:rPr>
      <w:rFonts w:ascii="Arial" w:hAnsi="Arial"/>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B2D27"/>
    <w:rPr>
      <w:color w:val="954F72" w:themeColor="followedHyperlink"/>
      <w:u w:val="single"/>
    </w:rPr>
  </w:style>
  <w:style w:type="character" w:styleId="Strong">
    <w:name w:val="Strong"/>
    <w:basedOn w:val="DefaultParagraphFont"/>
    <w:uiPriority w:val="22"/>
    <w:qFormat/>
    <w:rsid w:val="00A07555"/>
    <w:rPr>
      <w:b/>
      <w:bCs/>
    </w:rPr>
  </w:style>
  <w:style w:type="paragraph" w:styleId="NormalWeb">
    <w:name w:val="Normal (Web)"/>
    <w:basedOn w:val="Normal"/>
    <w:uiPriority w:val="99"/>
    <w:unhideWhenUsed/>
    <w:rsid w:val="00A07555"/>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118">
      <w:bodyDiv w:val="1"/>
      <w:marLeft w:val="0"/>
      <w:marRight w:val="0"/>
      <w:marTop w:val="0"/>
      <w:marBottom w:val="0"/>
      <w:divBdr>
        <w:top w:val="none" w:sz="0" w:space="0" w:color="auto"/>
        <w:left w:val="none" w:sz="0" w:space="0" w:color="auto"/>
        <w:bottom w:val="none" w:sz="0" w:space="0" w:color="auto"/>
        <w:right w:val="none" w:sz="0" w:space="0" w:color="auto"/>
      </w:divBdr>
    </w:div>
    <w:div w:id="271593264">
      <w:bodyDiv w:val="1"/>
      <w:marLeft w:val="0"/>
      <w:marRight w:val="0"/>
      <w:marTop w:val="0"/>
      <w:marBottom w:val="0"/>
      <w:divBdr>
        <w:top w:val="none" w:sz="0" w:space="0" w:color="auto"/>
        <w:left w:val="none" w:sz="0" w:space="0" w:color="auto"/>
        <w:bottom w:val="none" w:sz="0" w:space="0" w:color="auto"/>
        <w:right w:val="none" w:sz="0" w:space="0" w:color="auto"/>
      </w:divBdr>
    </w:div>
    <w:div w:id="421878434">
      <w:bodyDiv w:val="1"/>
      <w:marLeft w:val="0"/>
      <w:marRight w:val="0"/>
      <w:marTop w:val="0"/>
      <w:marBottom w:val="0"/>
      <w:divBdr>
        <w:top w:val="none" w:sz="0" w:space="0" w:color="auto"/>
        <w:left w:val="none" w:sz="0" w:space="0" w:color="auto"/>
        <w:bottom w:val="none" w:sz="0" w:space="0" w:color="auto"/>
        <w:right w:val="none" w:sz="0" w:space="0" w:color="auto"/>
      </w:divBdr>
    </w:div>
    <w:div w:id="632711639">
      <w:bodyDiv w:val="1"/>
      <w:marLeft w:val="0"/>
      <w:marRight w:val="0"/>
      <w:marTop w:val="0"/>
      <w:marBottom w:val="0"/>
      <w:divBdr>
        <w:top w:val="none" w:sz="0" w:space="0" w:color="auto"/>
        <w:left w:val="none" w:sz="0" w:space="0" w:color="auto"/>
        <w:bottom w:val="none" w:sz="0" w:space="0" w:color="auto"/>
        <w:right w:val="none" w:sz="0" w:space="0" w:color="auto"/>
      </w:divBdr>
    </w:div>
    <w:div w:id="724371520">
      <w:bodyDiv w:val="1"/>
      <w:marLeft w:val="0"/>
      <w:marRight w:val="0"/>
      <w:marTop w:val="0"/>
      <w:marBottom w:val="0"/>
      <w:divBdr>
        <w:top w:val="none" w:sz="0" w:space="0" w:color="auto"/>
        <w:left w:val="none" w:sz="0" w:space="0" w:color="auto"/>
        <w:bottom w:val="none" w:sz="0" w:space="0" w:color="auto"/>
        <w:right w:val="none" w:sz="0" w:space="0" w:color="auto"/>
      </w:divBdr>
      <w:divsChild>
        <w:div w:id="25521921">
          <w:marLeft w:val="446"/>
          <w:marRight w:val="0"/>
          <w:marTop w:val="0"/>
          <w:marBottom w:val="0"/>
          <w:divBdr>
            <w:top w:val="none" w:sz="0" w:space="0" w:color="auto"/>
            <w:left w:val="none" w:sz="0" w:space="0" w:color="auto"/>
            <w:bottom w:val="none" w:sz="0" w:space="0" w:color="auto"/>
            <w:right w:val="none" w:sz="0" w:space="0" w:color="auto"/>
          </w:divBdr>
        </w:div>
      </w:divsChild>
    </w:div>
    <w:div w:id="904729479">
      <w:bodyDiv w:val="1"/>
      <w:marLeft w:val="0"/>
      <w:marRight w:val="0"/>
      <w:marTop w:val="0"/>
      <w:marBottom w:val="0"/>
      <w:divBdr>
        <w:top w:val="none" w:sz="0" w:space="0" w:color="auto"/>
        <w:left w:val="none" w:sz="0" w:space="0" w:color="auto"/>
        <w:bottom w:val="none" w:sz="0" w:space="0" w:color="auto"/>
        <w:right w:val="none" w:sz="0" w:space="0" w:color="auto"/>
      </w:divBdr>
    </w:div>
    <w:div w:id="959386048">
      <w:bodyDiv w:val="1"/>
      <w:marLeft w:val="0"/>
      <w:marRight w:val="0"/>
      <w:marTop w:val="0"/>
      <w:marBottom w:val="0"/>
      <w:divBdr>
        <w:top w:val="none" w:sz="0" w:space="0" w:color="auto"/>
        <w:left w:val="none" w:sz="0" w:space="0" w:color="auto"/>
        <w:bottom w:val="none" w:sz="0" w:space="0" w:color="auto"/>
        <w:right w:val="none" w:sz="0" w:space="0" w:color="auto"/>
      </w:divBdr>
    </w:div>
    <w:div w:id="979649563">
      <w:bodyDiv w:val="1"/>
      <w:marLeft w:val="0"/>
      <w:marRight w:val="0"/>
      <w:marTop w:val="0"/>
      <w:marBottom w:val="0"/>
      <w:divBdr>
        <w:top w:val="none" w:sz="0" w:space="0" w:color="auto"/>
        <w:left w:val="none" w:sz="0" w:space="0" w:color="auto"/>
        <w:bottom w:val="none" w:sz="0" w:space="0" w:color="auto"/>
        <w:right w:val="none" w:sz="0" w:space="0" w:color="auto"/>
      </w:divBdr>
      <w:divsChild>
        <w:div w:id="700472094">
          <w:marLeft w:val="446"/>
          <w:marRight w:val="0"/>
          <w:marTop w:val="0"/>
          <w:marBottom w:val="0"/>
          <w:divBdr>
            <w:top w:val="none" w:sz="0" w:space="0" w:color="auto"/>
            <w:left w:val="none" w:sz="0" w:space="0" w:color="auto"/>
            <w:bottom w:val="none" w:sz="0" w:space="0" w:color="auto"/>
            <w:right w:val="none" w:sz="0" w:space="0" w:color="auto"/>
          </w:divBdr>
        </w:div>
      </w:divsChild>
    </w:div>
    <w:div w:id="1048380175">
      <w:bodyDiv w:val="1"/>
      <w:marLeft w:val="0"/>
      <w:marRight w:val="0"/>
      <w:marTop w:val="0"/>
      <w:marBottom w:val="0"/>
      <w:divBdr>
        <w:top w:val="none" w:sz="0" w:space="0" w:color="auto"/>
        <w:left w:val="none" w:sz="0" w:space="0" w:color="auto"/>
        <w:bottom w:val="none" w:sz="0" w:space="0" w:color="auto"/>
        <w:right w:val="none" w:sz="0" w:space="0" w:color="auto"/>
      </w:divBdr>
      <w:divsChild>
        <w:div w:id="1401640394">
          <w:marLeft w:val="446"/>
          <w:marRight w:val="0"/>
          <w:marTop w:val="0"/>
          <w:marBottom w:val="0"/>
          <w:divBdr>
            <w:top w:val="none" w:sz="0" w:space="0" w:color="auto"/>
            <w:left w:val="none" w:sz="0" w:space="0" w:color="auto"/>
            <w:bottom w:val="none" w:sz="0" w:space="0" w:color="auto"/>
            <w:right w:val="none" w:sz="0" w:space="0" w:color="auto"/>
          </w:divBdr>
        </w:div>
      </w:divsChild>
    </w:div>
    <w:div w:id="1052462621">
      <w:bodyDiv w:val="1"/>
      <w:marLeft w:val="0"/>
      <w:marRight w:val="0"/>
      <w:marTop w:val="0"/>
      <w:marBottom w:val="0"/>
      <w:divBdr>
        <w:top w:val="none" w:sz="0" w:space="0" w:color="auto"/>
        <w:left w:val="none" w:sz="0" w:space="0" w:color="auto"/>
        <w:bottom w:val="none" w:sz="0" w:space="0" w:color="auto"/>
        <w:right w:val="none" w:sz="0" w:space="0" w:color="auto"/>
      </w:divBdr>
    </w:div>
    <w:div w:id="1079716446">
      <w:bodyDiv w:val="1"/>
      <w:marLeft w:val="0"/>
      <w:marRight w:val="0"/>
      <w:marTop w:val="0"/>
      <w:marBottom w:val="0"/>
      <w:divBdr>
        <w:top w:val="none" w:sz="0" w:space="0" w:color="auto"/>
        <w:left w:val="none" w:sz="0" w:space="0" w:color="auto"/>
        <w:bottom w:val="none" w:sz="0" w:space="0" w:color="auto"/>
        <w:right w:val="none" w:sz="0" w:space="0" w:color="auto"/>
      </w:divBdr>
    </w:div>
    <w:div w:id="1213956089">
      <w:bodyDiv w:val="1"/>
      <w:marLeft w:val="0"/>
      <w:marRight w:val="0"/>
      <w:marTop w:val="0"/>
      <w:marBottom w:val="0"/>
      <w:divBdr>
        <w:top w:val="none" w:sz="0" w:space="0" w:color="auto"/>
        <w:left w:val="none" w:sz="0" w:space="0" w:color="auto"/>
        <w:bottom w:val="none" w:sz="0" w:space="0" w:color="auto"/>
        <w:right w:val="none" w:sz="0" w:space="0" w:color="auto"/>
      </w:divBdr>
    </w:div>
    <w:div w:id="1256329309">
      <w:bodyDiv w:val="1"/>
      <w:marLeft w:val="0"/>
      <w:marRight w:val="0"/>
      <w:marTop w:val="0"/>
      <w:marBottom w:val="0"/>
      <w:divBdr>
        <w:top w:val="none" w:sz="0" w:space="0" w:color="auto"/>
        <w:left w:val="none" w:sz="0" w:space="0" w:color="auto"/>
        <w:bottom w:val="none" w:sz="0" w:space="0" w:color="auto"/>
        <w:right w:val="none" w:sz="0" w:space="0" w:color="auto"/>
      </w:divBdr>
    </w:div>
    <w:div w:id="1291130141">
      <w:bodyDiv w:val="1"/>
      <w:marLeft w:val="0"/>
      <w:marRight w:val="0"/>
      <w:marTop w:val="0"/>
      <w:marBottom w:val="0"/>
      <w:divBdr>
        <w:top w:val="none" w:sz="0" w:space="0" w:color="auto"/>
        <w:left w:val="none" w:sz="0" w:space="0" w:color="auto"/>
        <w:bottom w:val="none" w:sz="0" w:space="0" w:color="auto"/>
        <w:right w:val="none" w:sz="0" w:space="0" w:color="auto"/>
      </w:divBdr>
    </w:div>
    <w:div w:id="1378551660">
      <w:bodyDiv w:val="1"/>
      <w:marLeft w:val="0"/>
      <w:marRight w:val="0"/>
      <w:marTop w:val="0"/>
      <w:marBottom w:val="0"/>
      <w:divBdr>
        <w:top w:val="none" w:sz="0" w:space="0" w:color="auto"/>
        <w:left w:val="none" w:sz="0" w:space="0" w:color="auto"/>
        <w:bottom w:val="none" w:sz="0" w:space="0" w:color="auto"/>
        <w:right w:val="none" w:sz="0" w:space="0" w:color="auto"/>
      </w:divBdr>
    </w:div>
    <w:div w:id="1554392782">
      <w:bodyDiv w:val="1"/>
      <w:marLeft w:val="0"/>
      <w:marRight w:val="0"/>
      <w:marTop w:val="0"/>
      <w:marBottom w:val="0"/>
      <w:divBdr>
        <w:top w:val="none" w:sz="0" w:space="0" w:color="auto"/>
        <w:left w:val="none" w:sz="0" w:space="0" w:color="auto"/>
        <w:bottom w:val="none" w:sz="0" w:space="0" w:color="auto"/>
        <w:right w:val="none" w:sz="0" w:space="0" w:color="auto"/>
      </w:divBdr>
    </w:div>
    <w:div w:id="1596396825">
      <w:bodyDiv w:val="1"/>
      <w:marLeft w:val="0"/>
      <w:marRight w:val="0"/>
      <w:marTop w:val="0"/>
      <w:marBottom w:val="0"/>
      <w:divBdr>
        <w:top w:val="none" w:sz="0" w:space="0" w:color="auto"/>
        <w:left w:val="none" w:sz="0" w:space="0" w:color="auto"/>
        <w:bottom w:val="none" w:sz="0" w:space="0" w:color="auto"/>
        <w:right w:val="none" w:sz="0" w:space="0" w:color="auto"/>
      </w:divBdr>
    </w:div>
    <w:div w:id="1682321376">
      <w:bodyDiv w:val="1"/>
      <w:marLeft w:val="0"/>
      <w:marRight w:val="0"/>
      <w:marTop w:val="0"/>
      <w:marBottom w:val="0"/>
      <w:divBdr>
        <w:top w:val="none" w:sz="0" w:space="0" w:color="auto"/>
        <w:left w:val="none" w:sz="0" w:space="0" w:color="auto"/>
        <w:bottom w:val="none" w:sz="0" w:space="0" w:color="auto"/>
        <w:right w:val="none" w:sz="0" w:space="0" w:color="auto"/>
      </w:divBdr>
    </w:div>
    <w:div w:id="1715301474">
      <w:bodyDiv w:val="1"/>
      <w:marLeft w:val="0"/>
      <w:marRight w:val="0"/>
      <w:marTop w:val="0"/>
      <w:marBottom w:val="0"/>
      <w:divBdr>
        <w:top w:val="none" w:sz="0" w:space="0" w:color="auto"/>
        <w:left w:val="none" w:sz="0" w:space="0" w:color="auto"/>
        <w:bottom w:val="none" w:sz="0" w:space="0" w:color="auto"/>
        <w:right w:val="none" w:sz="0" w:space="0" w:color="auto"/>
      </w:divBdr>
    </w:div>
    <w:div w:id="1776246483">
      <w:bodyDiv w:val="1"/>
      <w:marLeft w:val="0"/>
      <w:marRight w:val="0"/>
      <w:marTop w:val="0"/>
      <w:marBottom w:val="0"/>
      <w:divBdr>
        <w:top w:val="none" w:sz="0" w:space="0" w:color="auto"/>
        <w:left w:val="none" w:sz="0" w:space="0" w:color="auto"/>
        <w:bottom w:val="none" w:sz="0" w:space="0" w:color="auto"/>
        <w:right w:val="none" w:sz="0" w:space="0" w:color="auto"/>
      </w:divBdr>
    </w:div>
    <w:div w:id="1818107005">
      <w:bodyDiv w:val="1"/>
      <w:marLeft w:val="0"/>
      <w:marRight w:val="0"/>
      <w:marTop w:val="0"/>
      <w:marBottom w:val="0"/>
      <w:divBdr>
        <w:top w:val="none" w:sz="0" w:space="0" w:color="auto"/>
        <w:left w:val="none" w:sz="0" w:space="0" w:color="auto"/>
        <w:bottom w:val="none" w:sz="0" w:space="0" w:color="auto"/>
        <w:right w:val="none" w:sz="0" w:space="0" w:color="auto"/>
      </w:divBdr>
    </w:div>
    <w:div w:id="2039159412">
      <w:bodyDiv w:val="1"/>
      <w:marLeft w:val="0"/>
      <w:marRight w:val="0"/>
      <w:marTop w:val="0"/>
      <w:marBottom w:val="0"/>
      <w:divBdr>
        <w:top w:val="none" w:sz="0" w:space="0" w:color="auto"/>
        <w:left w:val="none" w:sz="0" w:space="0" w:color="auto"/>
        <w:bottom w:val="none" w:sz="0" w:space="0" w:color="auto"/>
        <w:right w:val="none" w:sz="0" w:space="0" w:color="auto"/>
      </w:divBdr>
    </w:div>
    <w:div w:id="2076200490">
      <w:bodyDiv w:val="1"/>
      <w:marLeft w:val="0"/>
      <w:marRight w:val="0"/>
      <w:marTop w:val="0"/>
      <w:marBottom w:val="0"/>
      <w:divBdr>
        <w:top w:val="none" w:sz="0" w:space="0" w:color="auto"/>
        <w:left w:val="none" w:sz="0" w:space="0" w:color="auto"/>
        <w:bottom w:val="none" w:sz="0" w:space="0" w:color="auto"/>
        <w:right w:val="none" w:sz="0" w:space="0" w:color="auto"/>
      </w:divBdr>
    </w:div>
    <w:div w:id="2103607081">
      <w:bodyDiv w:val="1"/>
      <w:marLeft w:val="0"/>
      <w:marRight w:val="0"/>
      <w:marTop w:val="0"/>
      <w:marBottom w:val="0"/>
      <w:divBdr>
        <w:top w:val="none" w:sz="0" w:space="0" w:color="auto"/>
        <w:left w:val="none" w:sz="0" w:space="0" w:color="auto"/>
        <w:bottom w:val="none" w:sz="0" w:space="0" w:color="auto"/>
        <w:right w:val="none" w:sz="0" w:space="0" w:color="auto"/>
      </w:divBdr>
      <w:divsChild>
        <w:div w:id="129494598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sler.com/wp-content/uploads/2025/05/mmah-technical-briefing.pdf" TargetMode="External"/><Relationship Id="rId18" Type="http://schemas.openxmlformats.org/officeDocument/2006/relationships/hyperlink" Target="https://ero.ontario.ca/notice/025-046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ro.ontario.ca/notice/025-0463" TargetMode="External"/><Relationship Id="rId7" Type="http://schemas.openxmlformats.org/officeDocument/2006/relationships/styles" Target="styles.xml"/><Relationship Id="rId12" Type="http://schemas.openxmlformats.org/officeDocument/2006/relationships/hyperlink" Target="https://www.ola.org/sites/default/files/node-files/bill/document/pdf/2025/2025-05/b017_e.pdf" TargetMode="External"/><Relationship Id="rId17" Type="http://schemas.openxmlformats.org/officeDocument/2006/relationships/hyperlink" Target="https://ero.ontario.ca/notice/025-046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ro.ontario.ca/notice/025-0462" TargetMode="External"/><Relationship Id="rId20" Type="http://schemas.openxmlformats.org/officeDocument/2006/relationships/hyperlink" Target="https://ero.ontario.ca/notice/025-050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ulatoryregistry.gov.on.ca/search?postingStatus=1" TargetMode="External"/><Relationship Id="rId5" Type="http://schemas.openxmlformats.org/officeDocument/2006/relationships/customXml" Target="../customXml/item5.xml"/><Relationship Id="rId15" Type="http://schemas.openxmlformats.org/officeDocument/2006/relationships/hyperlink" Target="https://ero.ontario.ca/notice/025-0462" TargetMode="External"/><Relationship Id="rId23" Type="http://schemas.openxmlformats.org/officeDocument/2006/relationships/hyperlink" Target="https://www.ola.org/sites/default/files/node-files/bill/document/pdf/2025/2025-05/b017_e.pdf"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ro.ontario.ca/notice/025-045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ntario.ca/laws/statute/97d27" TargetMode="External"/><Relationship Id="rId22" Type="http://schemas.openxmlformats.org/officeDocument/2006/relationships/hyperlink" Target="https://ero.ontario.ca/notice/025-0462"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FC53CB1D1C4D9BBA79F474AA292F47"/>
        <w:category>
          <w:name w:val="General"/>
          <w:gallery w:val="placeholder"/>
        </w:category>
        <w:types>
          <w:type w:val="bbPlcHdr"/>
        </w:types>
        <w:behaviors>
          <w:behavior w:val="content"/>
        </w:behaviors>
        <w:guid w:val="{1C694EEC-A407-4A27-93B5-61D27C4309A0}"/>
      </w:docPartPr>
      <w:docPartBody>
        <w:p w:rsidR="008C7C33" w:rsidRDefault="006379C5">
          <w:pPr>
            <w:pStyle w:val="17FC53CB1D1C4D9BBA79F474AA292F47"/>
          </w:pPr>
          <w:r w:rsidRPr="008B3D32">
            <w:rPr>
              <w:rStyle w:val="PlaceholderText"/>
            </w:rPr>
            <w:t>Click or tap here to enter text.</w:t>
          </w:r>
        </w:p>
      </w:docPartBody>
    </w:docPart>
    <w:docPart>
      <w:docPartPr>
        <w:name w:val="A2F7AA7A0CA9438A85CF4331664361FF"/>
        <w:category>
          <w:name w:val="General"/>
          <w:gallery w:val="placeholder"/>
        </w:category>
        <w:types>
          <w:type w:val="bbPlcHdr"/>
        </w:types>
        <w:behaviors>
          <w:behavior w:val="content"/>
        </w:behaviors>
        <w:guid w:val="{1732C64B-8DC1-4BC9-BD7C-DDA6801FFAAF}"/>
      </w:docPartPr>
      <w:docPartBody>
        <w:p w:rsidR="008C7C33" w:rsidRDefault="006379C5">
          <w:pPr>
            <w:pStyle w:val="A2F7AA7A0CA9438A85CF4331664361FF"/>
          </w:pPr>
          <w:r w:rsidRPr="00190A4A">
            <w:rPr>
              <w:rStyle w:val="PlaceholderText"/>
            </w:rPr>
            <w:t>Click or tap to enter a date.</w:t>
          </w:r>
        </w:p>
      </w:docPartBody>
    </w:docPart>
    <w:docPart>
      <w:docPartPr>
        <w:name w:val="7333064FD9C64CF7B59D5B69D3B04FD8"/>
        <w:category>
          <w:name w:val="General"/>
          <w:gallery w:val="placeholder"/>
        </w:category>
        <w:types>
          <w:type w:val="bbPlcHdr"/>
        </w:types>
        <w:behaviors>
          <w:behavior w:val="content"/>
        </w:behaviors>
        <w:guid w:val="{9093E4D5-E6BF-4CE0-A5E5-2BE67ECE3955}"/>
      </w:docPartPr>
      <w:docPartBody>
        <w:p w:rsidR="008C7C33" w:rsidRDefault="006379C5">
          <w:pPr>
            <w:pStyle w:val="7333064FD9C64CF7B59D5B69D3B04FD8"/>
          </w:pPr>
          <w:r w:rsidRPr="008B3D32">
            <w:rPr>
              <w:rStyle w:val="PlaceholderText"/>
            </w:rPr>
            <w:t>Click or tap here to enter text.</w:t>
          </w:r>
        </w:p>
      </w:docPartBody>
    </w:docPart>
    <w:docPart>
      <w:docPartPr>
        <w:name w:val="A5C34BBC1230424CB3546C988A9D08C2"/>
        <w:category>
          <w:name w:val="General"/>
          <w:gallery w:val="placeholder"/>
        </w:category>
        <w:types>
          <w:type w:val="bbPlcHdr"/>
        </w:types>
        <w:behaviors>
          <w:behavior w:val="content"/>
        </w:behaviors>
        <w:guid w:val="{A00CD191-3B18-4B55-B391-214B3C03F7CB}"/>
      </w:docPartPr>
      <w:docPartBody>
        <w:p w:rsidR="008C7C33" w:rsidRDefault="006379C5">
          <w:pPr>
            <w:pStyle w:val="A5C34BBC1230424CB3546C988A9D08C2"/>
          </w:pPr>
          <w:r w:rsidRPr="008B3D32">
            <w:rPr>
              <w:rStyle w:val="PlaceholderText"/>
            </w:rPr>
            <w:t>Click or tap here to enter text.</w:t>
          </w:r>
        </w:p>
      </w:docPartBody>
    </w:docPart>
    <w:docPart>
      <w:docPartPr>
        <w:name w:val="AE1908B3BB1349BEA946F0EAB63A95D3"/>
        <w:category>
          <w:name w:val="General"/>
          <w:gallery w:val="placeholder"/>
        </w:category>
        <w:types>
          <w:type w:val="bbPlcHdr"/>
        </w:types>
        <w:behaviors>
          <w:behavior w:val="content"/>
        </w:behaviors>
        <w:guid w:val="{C7E127BD-23C5-4ACB-ACAC-3636DFE568BA}"/>
      </w:docPartPr>
      <w:docPartBody>
        <w:p w:rsidR="00914F07" w:rsidRDefault="006379C5" w:rsidP="004E7A56">
          <w:pPr>
            <w:tabs>
              <w:tab w:val="left" w:pos="851"/>
            </w:tabs>
            <w:rPr>
              <w:rStyle w:val="PlaceholderText"/>
            </w:rPr>
          </w:pPr>
          <w:r>
            <w:rPr>
              <w:rStyle w:val="PlaceholderText"/>
            </w:rPr>
            <w:t>Enter the memorandum text here</w:t>
          </w:r>
          <w:r w:rsidRPr="008B3D32">
            <w:rPr>
              <w:rStyle w:val="PlaceholderText"/>
            </w:rPr>
            <w:t>.</w:t>
          </w:r>
        </w:p>
        <w:p w:rsidR="008C7C33" w:rsidRDefault="006379C5">
          <w:pPr>
            <w:pStyle w:val="AE1908B3BB1349BEA946F0EAB63A95D3"/>
          </w:pPr>
          <w:r>
            <w:rPr>
              <w:rStyle w:val="PlaceholderText"/>
            </w:rPr>
            <w:t>[Note: memos are to be received for information only and must not contain recommendations]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33"/>
    <w:rsid w:val="00033B37"/>
    <w:rsid w:val="0003719A"/>
    <w:rsid w:val="000418D2"/>
    <w:rsid w:val="00047FFE"/>
    <w:rsid w:val="00060F0F"/>
    <w:rsid w:val="00092AB3"/>
    <w:rsid w:val="000D4E52"/>
    <w:rsid w:val="000E55B4"/>
    <w:rsid w:val="00116D2A"/>
    <w:rsid w:val="00131887"/>
    <w:rsid w:val="00134039"/>
    <w:rsid w:val="001458E2"/>
    <w:rsid w:val="001574C4"/>
    <w:rsid w:val="001727B7"/>
    <w:rsid w:val="001748F3"/>
    <w:rsid w:val="00185932"/>
    <w:rsid w:val="00197DF7"/>
    <w:rsid w:val="001D551E"/>
    <w:rsid w:val="001F0A13"/>
    <w:rsid w:val="002333E0"/>
    <w:rsid w:val="002634C5"/>
    <w:rsid w:val="002758E1"/>
    <w:rsid w:val="00293108"/>
    <w:rsid w:val="00297AD9"/>
    <w:rsid w:val="002A78DD"/>
    <w:rsid w:val="002B5D10"/>
    <w:rsid w:val="002C3D3A"/>
    <w:rsid w:val="002D02D0"/>
    <w:rsid w:val="0033718B"/>
    <w:rsid w:val="00346F76"/>
    <w:rsid w:val="00361E4F"/>
    <w:rsid w:val="00365668"/>
    <w:rsid w:val="0037656B"/>
    <w:rsid w:val="0037791D"/>
    <w:rsid w:val="00392983"/>
    <w:rsid w:val="00395C30"/>
    <w:rsid w:val="003A1BA7"/>
    <w:rsid w:val="003A4C40"/>
    <w:rsid w:val="003B4BB4"/>
    <w:rsid w:val="003C72DE"/>
    <w:rsid w:val="003E0B76"/>
    <w:rsid w:val="003E75BB"/>
    <w:rsid w:val="004015CE"/>
    <w:rsid w:val="004321FE"/>
    <w:rsid w:val="00445DCC"/>
    <w:rsid w:val="004466CC"/>
    <w:rsid w:val="00452783"/>
    <w:rsid w:val="00485032"/>
    <w:rsid w:val="0048628B"/>
    <w:rsid w:val="004922E2"/>
    <w:rsid w:val="004B7E94"/>
    <w:rsid w:val="004C2214"/>
    <w:rsid w:val="004D7E31"/>
    <w:rsid w:val="004E3DD5"/>
    <w:rsid w:val="004E7A56"/>
    <w:rsid w:val="004F0D66"/>
    <w:rsid w:val="004F1DA3"/>
    <w:rsid w:val="005028E9"/>
    <w:rsid w:val="00525E9B"/>
    <w:rsid w:val="00531716"/>
    <w:rsid w:val="005340CE"/>
    <w:rsid w:val="00541BF6"/>
    <w:rsid w:val="00574DB2"/>
    <w:rsid w:val="005875D7"/>
    <w:rsid w:val="005A4C5E"/>
    <w:rsid w:val="005D3327"/>
    <w:rsid w:val="005D43EC"/>
    <w:rsid w:val="006034AA"/>
    <w:rsid w:val="006144AA"/>
    <w:rsid w:val="0063664A"/>
    <w:rsid w:val="006379C5"/>
    <w:rsid w:val="00680BBE"/>
    <w:rsid w:val="006957EF"/>
    <w:rsid w:val="006A0FAB"/>
    <w:rsid w:val="006C0622"/>
    <w:rsid w:val="006E746F"/>
    <w:rsid w:val="006F477F"/>
    <w:rsid w:val="006F5E0B"/>
    <w:rsid w:val="006F644E"/>
    <w:rsid w:val="00711275"/>
    <w:rsid w:val="00716D19"/>
    <w:rsid w:val="00721E9B"/>
    <w:rsid w:val="007429C3"/>
    <w:rsid w:val="00743D86"/>
    <w:rsid w:val="00753A6A"/>
    <w:rsid w:val="00754A5D"/>
    <w:rsid w:val="0078081C"/>
    <w:rsid w:val="007901DC"/>
    <w:rsid w:val="007B440C"/>
    <w:rsid w:val="007C345D"/>
    <w:rsid w:val="007E4C23"/>
    <w:rsid w:val="007F7934"/>
    <w:rsid w:val="008152C6"/>
    <w:rsid w:val="0082072B"/>
    <w:rsid w:val="00824B77"/>
    <w:rsid w:val="008407C1"/>
    <w:rsid w:val="00844A6F"/>
    <w:rsid w:val="008C7C33"/>
    <w:rsid w:val="008D0227"/>
    <w:rsid w:val="008E73AE"/>
    <w:rsid w:val="008F1D8E"/>
    <w:rsid w:val="00914F07"/>
    <w:rsid w:val="009B0B0F"/>
    <w:rsid w:val="009B1B9C"/>
    <w:rsid w:val="009B6156"/>
    <w:rsid w:val="009C6A84"/>
    <w:rsid w:val="009D1E37"/>
    <w:rsid w:val="009D4E55"/>
    <w:rsid w:val="009E5A90"/>
    <w:rsid w:val="009E7163"/>
    <w:rsid w:val="00A362EE"/>
    <w:rsid w:val="00A40EF4"/>
    <w:rsid w:val="00A64F02"/>
    <w:rsid w:val="00A83EAA"/>
    <w:rsid w:val="00A9743B"/>
    <w:rsid w:val="00AC73D7"/>
    <w:rsid w:val="00AD0DEE"/>
    <w:rsid w:val="00AF232D"/>
    <w:rsid w:val="00AF3309"/>
    <w:rsid w:val="00B00B40"/>
    <w:rsid w:val="00B33D05"/>
    <w:rsid w:val="00B4174F"/>
    <w:rsid w:val="00B67922"/>
    <w:rsid w:val="00BA4877"/>
    <w:rsid w:val="00BC50C5"/>
    <w:rsid w:val="00BE7E64"/>
    <w:rsid w:val="00C05AC0"/>
    <w:rsid w:val="00C2462D"/>
    <w:rsid w:val="00C31426"/>
    <w:rsid w:val="00C34DDB"/>
    <w:rsid w:val="00C74766"/>
    <w:rsid w:val="00C9579A"/>
    <w:rsid w:val="00CA1DF3"/>
    <w:rsid w:val="00CB3B42"/>
    <w:rsid w:val="00CC19DD"/>
    <w:rsid w:val="00CE740C"/>
    <w:rsid w:val="00CE7BAC"/>
    <w:rsid w:val="00D1494F"/>
    <w:rsid w:val="00D1632F"/>
    <w:rsid w:val="00D37068"/>
    <w:rsid w:val="00D374D0"/>
    <w:rsid w:val="00D621B7"/>
    <w:rsid w:val="00DB5F59"/>
    <w:rsid w:val="00DC49C7"/>
    <w:rsid w:val="00DE066F"/>
    <w:rsid w:val="00E10DFC"/>
    <w:rsid w:val="00E15B91"/>
    <w:rsid w:val="00E325E6"/>
    <w:rsid w:val="00E33C5A"/>
    <w:rsid w:val="00E356D4"/>
    <w:rsid w:val="00E43D78"/>
    <w:rsid w:val="00E46509"/>
    <w:rsid w:val="00E50498"/>
    <w:rsid w:val="00E50DA2"/>
    <w:rsid w:val="00E9077C"/>
    <w:rsid w:val="00EA0A80"/>
    <w:rsid w:val="00EB0E0A"/>
    <w:rsid w:val="00EB70C7"/>
    <w:rsid w:val="00EC3174"/>
    <w:rsid w:val="00F115BD"/>
    <w:rsid w:val="00F126CF"/>
    <w:rsid w:val="00F13339"/>
    <w:rsid w:val="00F210B5"/>
    <w:rsid w:val="00F251BE"/>
    <w:rsid w:val="00F368DC"/>
    <w:rsid w:val="00F378A2"/>
    <w:rsid w:val="00F546D6"/>
    <w:rsid w:val="00F800E8"/>
    <w:rsid w:val="00F81032"/>
    <w:rsid w:val="00F864B9"/>
    <w:rsid w:val="00FA1FF6"/>
    <w:rsid w:val="00FB1334"/>
    <w:rsid w:val="00FE4C5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7FC53CB1D1C4D9BBA79F474AA292F47">
    <w:name w:val="17FC53CB1D1C4D9BBA79F474AA292F47"/>
  </w:style>
  <w:style w:type="paragraph" w:customStyle="1" w:styleId="A2F7AA7A0CA9438A85CF4331664361FF">
    <w:name w:val="A2F7AA7A0CA9438A85CF4331664361FF"/>
  </w:style>
  <w:style w:type="paragraph" w:customStyle="1" w:styleId="7333064FD9C64CF7B59D5B69D3B04FD8">
    <w:name w:val="7333064FD9C64CF7B59D5B69D3B04FD8"/>
  </w:style>
  <w:style w:type="paragraph" w:customStyle="1" w:styleId="A5C34BBC1230424CB3546C988A9D08C2">
    <w:name w:val="A5C34BBC1230424CB3546C988A9D08C2"/>
  </w:style>
  <w:style w:type="paragraph" w:customStyle="1" w:styleId="AE1908B3BB1349BEA946F0EAB63A95D3">
    <w:name w:val="AE1908B3BB1349BEA946F0EAB63A9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c1b75ec-25f1-424f-b437-cab626f33c5e" ContentTypeId="0x010100BA54F5013C77AD42B6DF9434351D5684F9"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ouncil Item" ma:contentTypeID="0x010100BA54F5013C77AD42B6DF9434351D5684F900EDACFCFE2FCE5D4292BD797C1BACCF32009EBDBE614623A0498F31A23BEC8B323F" ma:contentTypeVersion="20" ma:contentTypeDescription="" ma:contentTypeScope="" ma:versionID="29bfc1d46a1083361b70170e79cc5e56">
  <xsd:schema xmlns:xsd="http://www.w3.org/2001/XMLSchema" xmlns:xs="http://www.w3.org/2001/XMLSchema" xmlns:p="http://schemas.microsoft.com/office/2006/metadata/properties" xmlns:ns2="5358df65-1709-436a-b4ed-388585ec2f13" xmlns:ns3="3708788d-5bb8-48db-9a2e-9693d193cf41" xmlns:ns4="9c53e655-100b-4fdb-a3fe-2a22367a6302" targetNamespace="http://schemas.microsoft.com/office/2006/metadata/properties" ma:root="true" ma:fieldsID="9647a41aa49ac1aaad89b12715b7e319" ns2:_="" ns3:_="" ns4:_="">
    <xsd:import namespace="5358df65-1709-436a-b4ed-388585ec2f13"/>
    <xsd:import namespace="3708788d-5bb8-48db-9a2e-9693d193cf41"/>
    <xsd:import namespace="9c53e655-100b-4fdb-a3fe-2a22367a6302"/>
    <xsd:element name="properties">
      <xsd:complexType>
        <xsd:sequence>
          <xsd:element name="documentManagement">
            <xsd:complexType>
              <xsd:all>
                <xsd:element ref="ns2:Topic" minOccurs="0"/>
                <xsd:element ref="ns2:Year"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LengthInSeconds" minOccurs="0"/>
                <xsd:element ref="ns3:MediaServiceObjectDetectorVersions" minOccurs="0"/>
                <xsd:element ref="ns3:MediaServiceSearchProperties" minOccurs="0"/>
                <xsd:element ref="ns3:Repor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8df65-1709-436a-b4ed-388585ec2f13" elementFormDefault="qualified">
    <xsd:import namespace="http://schemas.microsoft.com/office/2006/documentManagement/types"/>
    <xsd:import namespace="http://schemas.microsoft.com/office/infopath/2007/PartnerControls"/>
    <xsd:element name="Topic" ma:index="8" nillable="true" ma:displayName="Topic" ma:internalName="Topic">
      <xsd:simpleType>
        <xsd:restriction base="dms:Text">
          <xsd:maxLength value="255"/>
        </xsd:restriction>
      </xsd:simpleType>
    </xsd:element>
    <xsd:element name="Year" ma:index="9" nillable="true" ma:displayName="Year"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08788d-5bb8-48db-9a2e-9693d193c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c1b75ec-25f1-424f-b437-cab626f33c5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port_x0020_Type" ma:index="24" nillable="true" ma:displayName="Council Item Type" ma:format="Dropdown" ma:internalName="Report_x0020_Type">
      <xsd:simpleType>
        <xsd:restriction base="dms:Choice">
          <xsd:enumeration value="Bylaws"/>
          <xsd:enumeration value="Memo"/>
          <xsd:enumeration value="Presentation"/>
          <xsd:enumeration value="Report"/>
          <xsd:enumeration value="Report Schedule"/>
          <xsd:enumeration value="Council Item Numbers"/>
        </xsd:restriction>
      </xsd:simpleType>
    </xsd:element>
  </xsd:schema>
  <xsd:schema xmlns:xsd="http://www.w3.org/2001/XMLSchema" xmlns:xs="http://www.w3.org/2001/XMLSchema" xmlns:dms="http://schemas.microsoft.com/office/2006/documentManagement/types" xmlns:pc="http://schemas.microsoft.com/office/infopath/2007/PartnerControls" targetNamespace="9c53e655-100b-4fdb-a3fe-2a22367a630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ea174-982f-424e-aeb4-4a85f8b5ee6a}" ma:internalName="TaxCatchAll" ma:showField="CatchAllData" ma:web="9c53e655-100b-4fdb-a3fe-2a22367a630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ear xmlns="5358df65-1709-436a-b4ed-388585ec2f13">2025</Year>
    <TaxCatchAll xmlns="9c53e655-100b-4fdb-a3fe-2a22367a6302" xsi:nil="true"/>
    <Topic xmlns="5358df65-1709-436a-b4ed-388585ec2f13">CWC Memo Template</Topic>
    <lcf76f155ced4ddcb4097134ff3c332f xmlns="3708788d-5bb8-48db-9a2e-9693d193cf41">
      <Terms xmlns="http://schemas.microsoft.com/office/infopath/2007/PartnerControls"/>
    </lcf76f155ced4ddcb4097134ff3c332f>
    <Report_x0020_Type xmlns="3708788d-5bb8-48db-9a2e-9693d193cf41">Memo</Report_x0020_Type>
    <SharedWithUsers xmlns="9c53e655-100b-4fdb-a3fe-2a22367a6302">
      <UserInfo>
        <DisplayName>Bernard, Kevin</DisplayName>
        <AccountId>215</AccountId>
        <AccountType/>
      </UserInfo>
      <UserInfo>
        <DisplayName>Smyth, Erin</DisplayName>
        <AccountId>89</AccountId>
        <AccountType/>
      </UserInfo>
      <UserInfo>
        <DisplayName>Marshall, Warren</DisplayName>
        <AccountId>55</AccountId>
        <AccountType/>
      </UserInfo>
      <UserInfo>
        <DisplayName>Kronfli, Stephanie</DisplayName>
        <AccountId>535</AccountId>
        <AccountType/>
      </UserInfo>
      <UserInfo>
        <DisplayName>Adema, Valerie</DisplayName>
        <AccountId>80</AccountId>
        <AccountType/>
      </UserInfo>
      <UserInfo>
        <DisplayName>Hanna, Laura</DisplayName>
        <AccountId>177</AccountId>
        <AccountType/>
      </UserInfo>
      <UserInfo>
        <DisplayName>Moniz, Gail</DisplayName>
        <AccountId>76</AccountId>
        <AccountType/>
      </UserInfo>
      <UserInfo>
        <DisplayName>Lee, Bethany</DisplayName>
        <AccountId>513</AccountId>
        <AccountType/>
      </UserInfo>
      <UserInfo>
        <DisplayName>Staples, Andrea</DisplayName>
        <AccountId>21</AccountId>
        <AccountType/>
      </UserInfo>
      <UserInfo>
        <DisplayName>Krubnik, Jack</DisplayName>
        <AccountId>402</AccountId>
        <AccountType/>
      </UserInfo>
      <UserInfo>
        <DisplayName>Begin, Margot</DisplayName>
        <AccountId>58</AccountId>
        <AccountType/>
      </UserInfo>
      <UserInfo>
        <DisplayName>Gandhi, Meeta</DisplayName>
        <AccountId>59</AccountId>
        <AccountType/>
      </UserInfo>
      <UserInfo>
        <DisplayName>Brown, Carolyn</DisplayName>
        <AccountId>83</AccountId>
        <AccountType/>
      </UserInfo>
      <UserInfo>
        <DisplayName>Molinari, Mike</DisplayName>
        <AccountId>64</AccountId>
        <AccountType/>
      </UserInfo>
      <UserInfo>
        <DisplayName>Lajevardi, Tara</DisplayName>
        <AccountId>16</AccountId>
        <AccountType/>
      </UserInfo>
      <UserInfo>
        <DisplayName>Walkom, Andrew</DisplayName>
        <AccountId>85</AccountId>
        <AccountType/>
      </UserInfo>
      <UserInfo>
        <DisplayName>McNeil, Amanda</DisplayName>
        <AccountId>254</AccountId>
        <AccountType/>
      </UserInfo>
      <UserInfo>
        <DisplayName>Goddard, Tanya</DisplayName>
        <AccountId>98</AccountId>
        <AccountType/>
      </UserInfo>
    </SharedWithUsers>
  </documentManagement>
</p:properties>
</file>

<file path=customXml/itemProps1.xml><?xml version="1.0" encoding="utf-8"?>
<ds:datastoreItem xmlns:ds="http://schemas.openxmlformats.org/officeDocument/2006/customXml" ds:itemID="{2959D8D5-20DE-4702-B707-C53E66F925DE}">
  <ds:schemaRefs>
    <ds:schemaRef ds:uri="Microsoft.SharePoint.Taxonomy.ContentTypeSync"/>
  </ds:schemaRefs>
</ds:datastoreItem>
</file>

<file path=customXml/itemProps2.xml><?xml version="1.0" encoding="utf-8"?>
<ds:datastoreItem xmlns:ds="http://schemas.openxmlformats.org/officeDocument/2006/customXml" ds:itemID="{C7E4262A-1CFE-46AB-A974-68035D666B1D}">
  <ds:schemaRefs>
    <ds:schemaRef ds:uri="http://schemas.openxmlformats.org/officeDocument/2006/bibliography"/>
  </ds:schemaRefs>
</ds:datastoreItem>
</file>

<file path=customXml/itemProps3.xml><?xml version="1.0" encoding="utf-8"?>
<ds:datastoreItem xmlns:ds="http://schemas.openxmlformats.org/officeDocument/2006/customXml" ds:itemID="{94944236-BC6A-4A55-AFC0-E0F4E0E74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8df65-1709-436a-b4ed-388585ec2f13"/>
    <ds:schemaRef ds:uri="3708788d-5bb8-48db-9a2e-9693d193cf41"/>
    <ds:schemaRef ds:uri="9c53e655-100b-4fdb-a3fe-2a22367a6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DC9741-36F4-43F5-9B31-04047E8284C1}">
  <ds:schemaRefs>
    <ds:schemaRef ds:uri="http://schemas.microsoft.com/sharepoint/v3/contenttype/forms"/>
  </ds:schemaRefs>
</ds:datastoreItem>
</file>

<file path=customXml/itemProps5.xml><?xml version="1.0" encoding="utf-8"?>
<ds:datastoreItem xmlns:ds="http://schemas.openxmlformats.org/officeDocument/2006/customXml" ds:itemID="{4ECC659F-E71E-48D6-8BD0-152A48C09371}">
  <ds:schemaRefs>
    <ds:schemaRef ds:uri="http://purl.org/dc/terms/"/>
    <ds:schemaRef ds:uri="5358df65-1709-436a-b4ed-388585ec2f13"/>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9c53e655-100b-4fdb-a3fe-2a22367a6302"/>
    <ds:schemaRef ds:uri="3708788d-5bb8-48db-9a2e-9693d193cf4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3737</Words>
  <Characters>21301</Characters>
  <Application>Microsoft Office Word</Application>
  <DocSecurity>0</DocSecurity>
  <Lines>177</Lines>
  <Paragraphs>49</Paragraphs>
  <ScaleCrop>false</ScaleCrop>
  <Company/>
  <LinksUpToDate>false</LinksUpToDate>
  <CharactersWithSpaces>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Krubnik, Jack</dc:creator>
  <cp:keywords/>
  <dc:description/>
  <cp:lastModifiedBy>Krubnik, Jack</cp:lastModifiedBy>
  <cp:revision>35</cp:revision>
  <cp:lastPrinted>2025-05-28T15:26:00Z</cp:lastPrinted>
  <dcterms:created xsi:type="dcterms:W3CDTF">2025-06-26T12:48:00Z</dcterms:created>
  <dcterms:modified xsi:type="dcterms:W3CDTF">2025-06-26T13:10:00Z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86401ee2-6ce6-477f-9f64-afe67eddb4ed</vt:lpwstr>
  </property>
  <property fmtid="{D5CDD505-2E9C-101B-9397-08002B2CF9AE}" pid="3" name="ContentTypeId">
    <vt:lpwstr>0x010100BA54F5013C77AD42B6DF9434351D5684F900EDACFCFE2FCE5D4292BD797C1BACCF32009EBDBE614623A0498F31A23BEC8B323F</vt:lpwstr>
  </property>
  <property fmtid="{D5CDD505-2E9C-101B-9397-08002B2CF9AE}" pid="4" name="MediaServiceImageTags">
    <vt:lpwstr/>
  </property>
  <property fmtid="{D5CDD505-2E9C-101B-9397-08002B2CF9AE}" pid="5" name="SharedWithUsers">
    <vt:lpwstr>215;#Walkom, Andrew;#89;#Wilson, Rhonda</vt:lpwstr>
  </property>
  <property fmtid="{D5CDD505-2E9C-101B-9397-08002B2CF9AE}" pid="6" name="Calendar Year End Date">
    <vt:filetime>2024-12-31T05:00:00Z</vt:filetime>
  </property>
</Properties>
</file>