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490"/>
        <w:gridCol w:w="2094"/>
        <w:gridCol w:w="8581"/>
      </w:tblGrid>
      <w:tr w:rsidR="009D0883" w:rsidRPr="00915E45" w14:paraId="14E8EFA7" w14:textId="77777777" w:rsidTr="00C71DE8">
        <w:tc>
          <w:tcPr>
            <w:tcW w:w="785" w:type="dxa"/>
            <w:shd w:val="clear" w:color="auto" w:fill="808080" w:themeFill="background1" w:themeFillShade="80"/>
          </w:tcPr>
          <w:p w14:paraId="437F3D1E" w14:textId="77777777" w:rsidR="009D0883" w:rsidRPr="00915E45" w:rsidRDefault="009D0883" w:rsidP="00C71DE8">
            <w:pPr>
              <w:rPr>
                <w:rFonts w:ascii="Arial" w:eastAsiaTheme="minorHAnsi" w:hAnsi="Arial" w:cs="Arial"/>
              </w:rPr>
            </w:pPr>
            <w:r w:rsidRPr="00915E45">
              <w:rPr>
                <w:rFonts w:ascii="Arial" w:eastAsiaTheme="minorHAnsi" w:hAnsi="Arial" w:cs="Arial"/>
                <w:b/>
                <w:color w:val="FFFFFF" w:themeColor="background1"/>
              </w:rPr>
              <w:t>Item #</w:t>
            </w:r>
          </w:p>
        </w:tc>
        <w:tc>
          <w:tcPr>
            <w:tcW w:w="1490" w:type="dxa"/>
            <w:shd w:val="clear" w:color="auto" w:fill="808080" w:themeFill="background1" w:themeFillShade="80"/>
          </w:tcPr>
          <w:p w14:paraId="03588EC7" w14:textId="77777777" w:rsidR="009D0883" w:rsidRPr="00915E45" w:rsidRDefault="009D0883" w:rsidP="00C71DE8">
            <w:pPr>
              <w:rPr>
                <w:rFonts w:ascii="Arial" w:eastAsiaTheme="minorHAnsi" w:hAnsi="Arial" w:cs="Arial"/>
              </w:rPr>
            </w:pPr>
            <w:r w:rsidRPr="00915E45">
              <w:rPr>
                <w:rFonts w:ascii="Arial" w:eastAsiaTheme="minorHAnsi" w:hAnsi="Arial" w:cs="Arial"/>
                <w:b/>
                <w:color w:val="FFFFFF" w:themeColor="background1"/>
              </w:rPr>
              <w:t>ERO/ORR #</w:t>
            </w:r>
          </w:p>
        </w:tc>
        <w:tc>
          <w:tcPr>
            <w:tcW w:w="2094" w:type="dxa"/>
            <w:shd w:val="clear" w:color="auto" w:fill="808080" w:themeFill="background1" w:themeFillShade="80"/>
          </w:tcPr>
          <w:p w14:paraId="776A2AD4" w14:textId="77777777" w:rsidR="009D0883" w:rsidRPr="00915E45" w:rsidRDefault="009D0883" w:rsidP="00C71DE8">
            <w:pPr>
              <w:rPr>
                <w:rFonts w:ascii="Arial" w:eastAsiaTheme="minorHAnsi" w:hAnsi="Arial" w:cs="Arial"/>
                <w:color w:val="242424"/>
                <w:shd w:val="clear" w:color="auto" w:fill="FFFFFF"/>
              </w:rPr>
            </w:pPr>
            <w:r w:rsidRPr="00915E45">
              <w:rPr>
                <w:rFonts w:ascii="Arial" w:eastAsiaTheme="minorHAnsi" w:hAnsi="Arial" w:cs="Arial"/>
                <w:b/>
                <w:color w:val="FFFFFF" w:themeColor="background1"/>
              </w:rPr>
              <w:t>Title of ERO/ORR Post</w:t>
            </w:r>
          </w:p>
        </w:tc>
        <w:tc>
          <w:tcPr>
            <w:tcW w:w="8581" w:type="dxa"/>
            <w:shd w:val="clear" w:color="auto" w:fill="808080" w:themeFill="background1" w:themeFillShade="80"/>
          </w:tcPr>
          <w:p w14:paraId="3EF9EC3F" w14:textId="77777777" w:rsidR="009D0883" w:rsidRPr="00915E45" w:rsidRDefault="009D0883" w:rsidP="00C71DE8">
            <w:pPr>
              <w:rPr>
                <w:rFonts w:ascii="Arial" w:eastAsiaTheme="minorHAnsi" w:hAnsi="Arial" w:cs="Arial"/>
                <w:b/>
              </w:rPr>
            </w:pPr>
            <w:r w:rsidRPr="00915E45">
              <w:rPr>
                <w:rFonts w:ascii="Arial" w:eastAsiaTheme="minorHAnsi" w:hAnsi="Arial" w:cs="Arial"/>
                <w:b/>
                <w:color w:val="FFFFFF" w:themeColor="background1"/>
              </w:rPr>
              <w:t>Staff Comments</w:t>
            </w:r>
          </w:p>
        </w:tc>
      </w:tr>
      <w:tr w:rsidR="009D0883" w:rsidRPr="00915E45" w14:paraId="08FAA510" w14:textId="77777777" w:rsidTr="00C71DE8">
        <w:tc>
          <w:tcPr>
            <w:tcW w:w="785" w:type="dxa"/>
          </w:tcPr>
          <w:p w14:paraId="473E8713" w14:textId="77777777" w:rsidR="009D0883" w:rsidRPr="00915E45" w:rsidRDefault="009D0883" w:rsidP="00C71DE8">
            <w:pPr>
              <w:rPr>
                <w:rFonts w:ascii="Arial" w:eastAsiaTheme="minorHAnsi" w:hAnsi="Arial" w:cs="Arial"/>
              </w:rPr>
            </w:pPr>
            <w:r w:rsidRPr="00915E45">
              <w:rPr>
                <w:rFonts w:ascii="Arial" w:eastAsiaTheme="minorHAnsi" w:hAnsi="Arial" w:cs="Arial"/>
              </w:rPr>
              <w:t>1</w:t>
            </w:r>
          </w:p>
        </w:tc>
        <w:tc>
          <w:tcPr>
            <w:tcW w:w="1490" w:type="dxa"/>
            <w:vMerge w:val="restart"/>
          </w:tcPr>
          <w:p w14:paraId="44D0C097" w14:textId="77777777" w:rsidR="009D0883" w:rsidRPr="00915E45" w:rsidRDefault="009D0883" w:rsidP="00C71DE8">
            <w:pPr>
              <w:jc w:val="center"/>
              <w:rPr>
                <w:rFonts w:ascii="Arial" w:eastAsiaTheme="minorHAnsi" w:hAnsi="Arial" w:cs="Arial"/>
              </w:rPr>
            </w:pPr>
          </w:p>
          <w:p w14:paraId="17792EC9" w14:textId="77777777" w:rsidR="009D0883" w:rsidRPr="00915E45" w:rsidRDefault="009D0883" w:rsidP="00C71DE8">
            <w:pPr>
              <w:jc w:val="center"/>
              <w:rPr>
                <w:rFonts w:ascii="Arial" w:eastAsiaTheme="minorHAnsi" w:hAnsi="Arial" w:cs="Arial"/>
              </w:rPr>
            </w:pPr>
          </w:p>
          <w:p w14:paraId="1F0484E7" w14:textId="77777777" w:rsidR="009D0883" w:rsidRPr="00915E45" w:rsidRDefault="009D0883" w:rsidP="00C71DE8">
            <w:pPr>
              <w:jc w:val="center"/>
              <w:rPr>
                <w:rFonts w:ascii="Arial" w:eastAsiaTheme="minorHAnsi" w:hAnsi="Arial" w:cs="Arial"/>
              </w:rPr>
            </w:pPr>
          </w:p>
          <w:p w14:paraId="0B6B4805" w14:textId="77777777" w:rsidR="009D0883" w:rsidRPr="00915E45" w:rsidRDefault="009D0883" w:rsidP="00C71DE8">
            <w:pPr>
              <w:jc w:val="center"/>
              <w:rPr>
                <w:rFonts w:ascii="Arial" w:eastAsiaTheme="minorHAnsi" w:hAnsi="Arial" w:cs="Arial"/>
              </w:rPr>
            </w:pPr>
          </w:p>
          <w:p w14:paraId="2DB6A0D7" w14:textId="77777777" w:rsidR="009D0883" w:rsidRPr="00915E45" w:rsidRDefault="009D0883" w:rsidP="00C71DE8">
            <w:pPr>
              <w:jc w:val="center"/>
              <w:rPr>
                <w:rFonts w:ascii="Arial" w:eastAsiaTheme="minorHAnsi" w:hAnsi="Arial" w:cs="Arial"/>
              </w:rPr>
            </w:pPr>
          </w:p>
          <w:p w14:paraId="52451459" w14:textId="77777777" w:rsidR="009D0883" w:rsidRPr="00915E45" w:rsidRDefault="009D0883" w:rsidP="00C71DE8">
            <w:pPr>
              <w:jc w:val="center"/>
              <w:rPr>
                <w:rFonts w:ascii="Arial" w:eastAsiaTheme="minorHAnsi" w:hAnsi="Arial" w:cs="Arial"/>
              </w:rPr>
            </w:pPr>
          </w:p>
          <w:p w14:paraId="3F2A75AC" w14:textId="77777777" w:rsidR="009D0883" w:rsidRPr="00915E45" w:rsidRDefault="009D0883" w:rsidP="00C71DE8">
            <w:pPr>
              <w:jc w:val="center"/>
              <w:rPr>
                <w:rFonts w:ascii="Arial" w:eastAsiaTheme="minorHAnsi" w:hAnsi="Arial" w:cs="Arial"/>
              </w:rPr>
            </w:pPr>
          </w:p>
          <w:p w14:paraId="5AF10B12" w14:textId="77777777" w:rsidR="009D0883" w:rsidRPr="00915E45" w:rsidRDefault="009D0883" w:rsidP="00C71DE8">
            <w:pPr>
              <w:jc w:val="center"/>
              <w:rPr>
                <w:rFonts w:ascii="Arial" w:eastAsiaTheme="minorHAnsi" w:hAnsi="Arial" w:cs="Arial"/>
              </w:rPr>
            </w:pPr>
          </w:p>
          <w:p w14:paraId="6C42853B" w14:textId="77777777" w:rsidR="009D0883" w:rsidRPr="00915E45" w:rsidRDefault="009D0883" w:rsidP="00C71DE8">
            <w:pPr>
              <w:jc w:val="center"/>
              <w:rPr>
                <w:rFonts w:ascii="Arial" w:eastAsiaTheme="minorHAnsi" w:hAnsi="Arial" w:cs="Arial"/>
              </w:rPr>
            </w:pPr>
          </w:p>
          <w:p w14:paraId="4EFE2484" w14:textId="77777777" w:rsidR="009D0883" w:rsidRPr="00915E45" w:rsidRDefault="009D0883" w:rsidP="00C71DE8">
            <w:pPr>
              <w:jc w:val="center"/>
              <w:rPr>
                <w:rFonts w:ascii="Arial" w:eastAsiaTheme="minorHAnsi" w:hAnsi="Arial" w:cs="Arial"/>
              </w:rPr>
            </w:pPr>
          </w:p>
          <w:p w14:paraId="06CBAE01" w14:textId="77777777" w:rsidR="009D0883" w:rsidRPr="00915E45" w:rsidRDefault="009D0883" w:rsidP="00C71DE8">
            <w:pPr>
              <w:jc w:val="center"/>
              <w:rPr>
                <w:rFonts w:ascii="Arial" w:eastAsiaTheme="minorHAnsi" w:hAnsi="Arial" w:cs="Arial"/>
              </w:rPr>
            </w:pPr>
            <w:r w:rsidRPr="00915E45">
              <w:rPr>
                <w:rFonts w:ascii="Arial" w:eastAsiaTheme="minorHAnsi" w:hAnsi="Arial" w:cs="Arial"/>
              </w:rPr>
              <w:t>ERO 025-1097</w:t>
            </w:r>
          </w:p>
          <w:p w14:paraId="4EDF0BDE" w14:textId="77777777" w:rsidR="009D0883" w:rsidRPr="00915E45" w:rsidRDefault="009D0883" w:rsidP="00C71DE8">
            <w:pPr>
              <w:jc w:val="center"/>
              <w:rPr>
                <w:rFonts w:ascii="Arial" w:eastAsiaTheme="minorHAnsi" w:hAnsi="Arial" w:cs="Arial"/>
              </w:rPr>
            </w:pPr>
          </w:p>
        </w:tc>
        <w:tc>
          <w:tcPr>
            <w:tcW w:w="2094" w:type="dxa"/>
            <w:vMerge w:val="restart"/>
          </w:tcPr>
          <w:p w14:paraId="5DD723A1" w14:textId="77777777" w:rsidR="009D0883" w:rsidRPr="00915E45" w:rsidRDefault="009D0883" w:rsidP="00C71DE8">
            <w:pPr>
              <w:jc w:val="center"/>
              <w:rPr>
                <w:rFonts w:ascii="Arial" w:eastAsiaTheme="minorHAnsi" w:hAnsi="Arial" w:cs="Arial"/>
                <w:color w:val="242424"/>
                <w:shd w:val="clear" w:color="auto" w:fill="FFFFFF"/>
              </w:rPr>
            </w:pPr>
          </w:p>
          <w:p w14:paraId="217ECB7B" w14:textId="77777777" w:rsidR="009D0883" w:rsidRPr="00915E45" w:rsidRDefault="009D0883" w:rsidP="00C71DE8">
            <w:pPr>
              <w:jc w:val="center"/>
              <w:rPr>
                <w:rFonts w:ascii="Arial" w:eastAsiaTheme="minorHAnsi" w:hAnsi="Arial" w:cs="Arial"/>
                <w:color w:val="242424"/>
                <w:shd w:val="clear" w:color="auto" w:fill="FFFFFF"/>
              </w:rPr>
            </w:pPr>
          </w:p>
          <w:p w14:paraId="1850E80E" w14:textId="77777777" w:rsidR="009D0883" w:rsidRPr="00915E45" w:rsidRDefault="009D0883" w:rsidP="00C71DE8">
            <w:pPr>
              <w:jc w:val="center"/>
              <w:rPr>
                <w:rFonts w:ascii="Arial" w:eastAsiaTheme="minorHAnsi" w:hAnsi="Arial" w:cs="Arial"/>
                <w:color w:val="242424"/>
                <w:shd w:val="clear" w:color="auto" w:fill="FFFFFF"/>
              </w:rPr>
            </w:pPr>
          </w:p>
          <w:p w14:paraId="72E327AA" w14:textId="77777777" w:rsidR="009D0883" w:rsidRPr="00915E45" w:rsidRDefault="009D0883" w:rsidP="00C71DE8">
            <w:pPr>
              <w:jc w:val="center"/>
              <w:rPr>
                <w:rFonts w:ascii="Arial" w:eastAsiaTheme="minorHAnsi" w:hAnsi="Arial" w:cs="Arial"/>
                <w:color w:val="242424"/>
                <w:shd w:val="clear" w:color="auto" w:fill="FFFFFF"/>
              </w:rPr>
            </w:pPr>
          </w:p>
          <w:p w14:paraId="0F75A902" w14:textId="77777777" w:rsidR="009D0883" w:rsidRPr="00915E45" w:rsidRDefault="009D0883" w:rsidP="00C71DE8">
            <w:pPr>
              <w:jc w:val="center"/>
              <w:rPr>
                <w:rFonts w:ascii="Arial" w:eastAsiaTheme="minorHAnsi" w:hAnsi="Arial" w:cs="Arial"/>
                <w:color w:val="242424"/>
                <w:shd w:val="clear" w:color="auto" w:fill="FFFFFF"/>
              </w:rPr>
            </w:pPr>
          </w:p>
          <w:p w14:paraId="2FE17C22" w14:textId="77777777" w:rsidR="009D0883" w:rsidRPr="00915E45" w:rsidRDefault="009D0883" w:rsidP="00C71DE8">
            <w:pPr>
              <w:jc w:val="center"/>
              <w:rPr>
                <w:rFonts w:ascii="Arial" w:eastAsiaTheme="minorHAnsi" w:hAnsi="Arial" w:cs="Arial"/>
                <w:color w:val="242424"/>
                <w:shd w:val="clear" w:color="auto" w:fill="FFFFFF"/>
              </w:rPr>
            </w:pPr>
          </w:p>
          <w:p w14:paraId="7863E5FC" w14:textId="77777777" w:rsidR="009D0883" w:rsidRPr="00915E45" w:rsidRDefault="009D0883" w:rsidP="00C71DE8">
            <w:pPr>
              <w:jc w:val="center"/>
              <w:rPr>
                <w:rFonts w:ascii="Arial" w:eastAsiaTheme="minorHAnsi" w:hAnsi="Arial" w:cs="Arial"/>
                <w:color w:val="242424"/>
                <w:shd w:val="clear" w:color="auto" w:fill="FFFFFF"/>
              </w:rPr>
            </w:pPr>
          </w:p>
          <w:p w14:paraId="2B7AF93F" w14:textId="77777777" w:rsidR="009D0883" w:rsidRPr="00915E45" w:rsidRDefault="009D0883" w:rsidP="00C71DE8">
            <w:pPr>
              <w:jc w:val="center"/>
              <w:rPr>
                <w:rFonts w:ascii="Arial" w:eastAsiaTheme="minorHAnsi" w:hAnsi="Arial" w:cs="Arial"/>
                <w:color w:val="242424"/>
                <w:shd w:val="clear" w:color="auto" w:fill="FFFFFF"/>
              </w:rPr>
            </w:pPr>
          </w:p>
          <w:p w14:paraId="27B8B3BD" w14:textId="77777777" w:rsidR="009D0883" w:rsidRPr="00915E45" w:rsidRDefault="009D0883" w:rsidP="00C71DE8">
            <w:pPr>
              <w:jc w:val="center"/>
              <w:rPr>
                <w:rFonts w:ascii="Arial" w:eastAsiaTheme="minorHAnsi" w:hAnsi="Arial" w:cs="Arial"/>
              </w:rPr>
            </w:pPr>
            <w:r w:rsidRPr="00915E45">
              <w:rPr>
                <w:rFonts w:ascii="Arial" w:eastAsiaTheme="minorHAnsi" w:hAnsi="Arial" w:cs="Arial"/>
                <w:color w:val="242424"/>
                <w:shd w:val="clear" w:color="auto" w:fill="FFFFFF"/>
              </w:rPr>
              <w:t>Proposed Changes to the Planning Act (Schedule 10 of Bill 60 - the Fighting Delays, Building Faster Act, 2025)</w:t>
            </w:r>
          </w:p>
          <w:p w14:paraId="73D428EE" w14:textId="77777777" w:rsidR="009D0883" w:rsidRPr="00915E45" w:rsidRDefault="009D0883" w:rsidP="00C71DE8">
            <w:pPr>
              <w:jc w:val="center"/>
              <w:rPr>
                <w:rFonts w:ascii="Arial" w:eastAsiaTheme="minorHAnsi" w:hAnsi="Arial" w:cs="Arial"/>
              </w:rPr>
            </w:pPr>
          </w:p>
        </w:tc>
        <w:tc>
          <w:tcPr>
            <w:tcW w:w="8581" w:type="dxa"/>
          </w:tcPr>
          <w:p w14:paraId="2D333969" w14:textId="77777777" w:rsidR="009D0883" w:rsidRDefault="009D0883" w:rsidP="00C71DE8">
            <w:pPr>
              <w:rPr>
                <w:rFonts w:ascii="Arial" w:eastAsiaTheme="minorHAnsi" w:hAnsi="Arial" w:cs="Arial"/>
              </w:rPr>
            </w:pPr>
            <w:r w:rsidRPr="00915E45">
              <w:rPr>
                <w:rFonts w:ascii="Arial" w:eastAsiaTheme="minorHAnsi" w:hAnsi="Arial" w:cs="Arial"/>
                <w:b/>
              </w:rPr>
              <w:t>Minor Variances (as-of-right variances from performance standards)</w:t>
            </w:r>
            <w:r w:rsidRPr="00915E45">
              <w:rPr>
                <w:rFonts w:ascii="Arial" w:eastAsiaTheme="minorHAnsi" w:hAnsi="Arial" w:cs="Arial"/>
              </w:rPr>
              <w:t xml:space="preserve">- Staff are not supportive of the as-of-right reduction in established development standards. </w:t>
            </w:r>
            <w:r>
              <w:rPr>
                <w:rFonts w:ascii="Arial" w:eastAsiaTheme="minorHAnsi" w:hAnsi="Arial" w:cs="Arial"/>
              </w:rPr>
              <w:t xml:space="preserve">Staff would not be supportive of granting the Minister authority to set prescribed percentages, automatically permitting as-of-right variances, as it would bypass the municipal approval process. </w:t>
            </w:r>
          </w:p>
          <w:p w14:paraId="212E29DE" w14:textId="77777777" w:rsidR="009D0883" w:rsidRDefault="009D0883" w:rsidP="00C71DE8">
            <w:pPr>
              <w:rPr>
                <w:rFonts w:ascii="Arial" w:eastAsiaTheme="minorHAnsi" w:hAnsi="Arial" w:cs="Arial"/>
              </w:rPr>
            </w:pPr>
          </w:p>
          <w:p w14:paraId="0308F063" w14:textId="77777777" w:rsidR="009D0883" w:rsidRPr="00915E45" w:rsidRDefault="009D0883" w:rsidP="00C71DE8">
            <w:pPr>
              <w:rPr>
                <w:rFonts w:ascii="Arial" w:eastAsiaTheme="minorHAnsi" w:hAnsi="Arial" w:cs="Arial"/>
              </w:rPr>
            </w:pPr>
            <w:r w:rsidRPr="00915E45">
              <w:rPr>
                <w:rFonts w:ascii="Arial" w:eastAsiaTheme="minorHAnsi" w:hAnsi="Arial" w:cs="Arial"/>
              </w:rPr>
              <w:t xml:space="preserve">Amendments to the Planning Act </w:t>
            </w:r>
            <w:r>
              <w:rPr>
                <w:rFonts w:ascii="Arial" w:eastAsiaTheme="minorHAnsi" w:hAnsi="Arial" w:cs="Arial"/>
              </w:rPr>
              <w:t>sh</w:t>
            </w:r>
            <w:r w:rsidRPr="00915E45">
              <w:rPr>
                <w:rFonts w:ascii="Arial" w:eastAsiaTheme="minorHAnsi" w:hAnsi="Arial" w:cs="Arial"/>
              </w:rPr>
              <w:t xml:space="preserve">ould instead delegate the authorization to grant the proposed deviation to a municipal staff level which would allow a more detailed technical review prior to the minor variance(s) approval. </w:t>
            </w:r>
          </w:p>
        </w:tc>
      </w:tr>
      <w:tr w:rsidR="009D0883" w:rsidRPr="00915E45" w14:paraId="4EB18997" w14:textId="77777777" w:rsidTr="00C71DE8">
        <w:tc>
          <w:tcPr>
            <w:tcW w:w="785" w:type="dxa"/>
          </w:tcPr>
          <w:p w14:paraId="129B18E8" w14:textId="77777777" w:rsidR="009D0883" w:rsidRPr="00915E45" w:rsidRDefault="009D0883" w:rsidP="00C71DE8">
            <w:pPr>
              <w:rPr>
                <w:rFonts w:ascii="Arial" w:eastAsiaTheme="minorHAnsi" w:hAnsi="Arial" w:cs="Arial"/>
              </w:rPr>
            </w:pPr>
            <w:r>
              <w:rPr>
                <w:rFonts w:ascii="Arial" w:eastAsiaTheme="minorHAnsi" w:hAnsi="Arial" w:cs="Arial"/>
              </w:rPr>
              <w:t>2</w:t>
            </w:r>
          </w:p>
        </w:tc>
        <w:tc>
          <w:tcPr>
            <w:tcW w:w="1490" w:type="dxa"/>
            <w:vMerge/>
          </w:tcPr>
          <w:p w14:paraId="63172854" w14:textId="77777777" w:rsidR="009D0883" w:rsidRPr="00915E45" w:rsidRDefault="009D0883" w:rsidP="00C71DE8">
            <w:pPr>
              <w:jc w:val="center"/>
              <w:rPr>
                <w:rFonts w:ascii="Arial" w:eastAsiaTheme="minorHAnsi" w:hAnsi="Arial" w:cs="Arial"/>
              </w:rPr>
            </w:pPr>
          </w:p>
        </w:tc>
        <w:tc>
          <w:tcPr>
            <w:tcW w:w="2094" w:type="dxa"/>
            <w:vMerge/>
          </w:tcPr>
          <w:p w14:paraId="0A7307FB" w14:textId="77777777" w:rsidR="009D0883" w:rsidRPr="00915E45" w:rsidRDefault="009D0883" w:rsidP="00C71DE8">
            <w:pPr>
              <w:jc w:val="center"/>
              <w:rPr>
                <w:rFonts w:ascii="Arial" w:eastAsiaTheme="minorHAnsi" w:hAnsi="Arial" w:cs="Arial"/>
              </w:rPr>
            </w:pPr>
          </w:p>
        </w:tc>
        <w:tc>
          <w:tcPr>
            <w:tcW w:w="8581" w:type="dxa"/>
          </w:tcPr>
          <w:p w14:paraId="7A05E1BA" w14:textId="77777777" w:rsidR="009D0883" w:rsidRPr="00915E45" w:rsidRDefault="009D0883" w:rsidP="00C71DE8">
            <w:pPr>
              <w:rPr>
                <w:rFonts w:ascii="Arial" w:eastAsiaTheme="minorHAnsi" w:hAnsi="Arial" w:cs="Arial"/>
              </w:rPr>
            </w:pPr>
            <w:r w:rsidRPr="00915E45">
              <w:rPr>
                <w:rFonts w:ascii="Arial" w:eastAsiaTheme="minorHAnsi" w:hAnsi="Arial" w:cs="Arial"/>
                <w:b/>
              </w:rPr>
              <w:t>Minor Variances (as-of-right variances from performance standards)</w:t>
            </w:r>
            <w:r w:rsidRPr="00915E45">
              <w:rPr>
                <w:rFonts w:ascii="Arial" w:eastAsiaTheme="minorHAnsi" w:hAnsi="Arial" w:cs="Arial"/>
              </w:rPr>
              <w:t>- As-or-right variances should be avoided in zone categories intended for environmental protection and natural hazards</w:t>
            </w:r>
          </w:p>
        </w:tc>
      </w:tr>
      <w:tr w:rsidR="009D0883" w:rsidRPr="00915E45" w14:paraId="1BDD6FA2" w14:textId="77777777" w:rsidTr="00C71DE8">
        <w:tc>
          <w:tcPr>
            <w:tcW w:w="785" w:type="dxa"/>
          </w:tcPr>
          <w:p w14:paraId="0BF84ACA" w14:textId="77777777" w:rsidR="009D0883" w:rsidRPr="00915E45" w:rsidRDefault="009D0883" w:rsidP="00C71DE8">
            <w:pPr>
              <w:rPr>
                <w:rFonts w:ascii="Arial" w:eastAsiaTheme="minorHAnsi" w:hAnsi="Arial" w:cs="Arial"/>
              </w:rPr>
            </w:pPr>
            <w:r>
              <w:rPr>
                <w:rFonts w:ascii="Arial" w:eastAsiaTheme="minorHAnsi" w:hAnsi="Arial" w:cs="Arial"/>
              </w:rPr>
              <w:t>3</w:t>
            </w:r>
          </w:p>
        </w:tc>
        <w:tc>
          <w:tcPr>
            <w:tcW w:w="1490" w:type="dxa"/>
            <w:vMerge/>
          </w:tcPr>
          <w:p w14:paraId="4F59CE32" w14:textId="77777777" w:rsidR="009D0883" w:rsidRPr="00915E45" w:rsidRDefault="009D0883" w:rsidP="00C71DE8">
            <w:pPr>
              <w:rPr>
                <w:rFonts w:ascii="Arial" w:eastAsiaTheme="minorHAnsi" w:hAnsi="Arial" w:cs="Arial"/>
              </w:rPr>
            </w:pPr>
          </w:p>
        </w:tc>
        <w:tc>
          <w:tcPr>
            <w:tcW w:w="2094" w:type="dxa"/>
            <w:vMerge/>
          </w:tcPr>
          <w:p w14:paraId="43483173" w14:textId="77777777" w:rsidR="009D0883" w:rsidRPr="00915E45" w:rsidRDefault="009D0883" w:rsidP="00C71DE8">
            <w:pPr>
              <w:rPr>
                <w:rFonts w:ascii="Arial" w:eastAsiaTheme="minorHAnsi" w:hAnsi="Arial" w:cs="Arial"/>
              </w:rPr>
            </w:pPr>
          </w:p>
        </w:tc>
        <w:tc>
          <w:tcPr>
            <w:tcW w:w="8581" w:type="dxa"/>
          </w:tcPr>
          <w:p w14:paraId="439DE816" w14:textId="77777777" w:rsidR="009D0883" w:rsidRPr="00915E45" w:rsidRDefault="009D0883" w:rsidP="00C71DE8">
            <w:pPr>
              <w:rPr>
                <w:rFonts w:ascii="Arial" w:eastAsiaTheme="minorHAnsi" w:hAnsi="Arial" w:cs="Arial"/>
              </w:rPr>
            </w:pPr>
            <w:r w:rsidRPr="00915E45">
              <w:rPr>
                <w:rFonts w:ascii="Arial" w:eastAsiaTheme="minorHAnsi" w:hAnsi="Arial" w:cs="Arial"/>
                <w:b/>
              </w:rPr>
              <w:t>Protected Major Transit Areas (PMTSAs)-</w:t>
            </w:r>
            <w:r w:rsidRPr="00915E45">
              <w:rPr>
                <w:rFonts w:ascii="Arial" w:eastAsiaTheme="minorHAnsi" w:hAnsi="Arial" w:cs="Arial"/>
              </w:rPr>
              <w:t xml:space="preserve"> Staff are unsupportive of this change, as these official plan amendments would then be subject to appeals which may cause issues in staff resourcing, extend approval timelines, etc. </w:t>
            </w:r>
          </w:p>
        </w:tc>
      </w:tr>
      <w:tr w:rsidR="009D0883" w:rsidRPr="00915E45" w14:paraId="4B5F54F3" w14:textId="77777777" w:rsidTr="00C71DE8">
        <w:tc>
          <w:tcPr>
            <w:tcW w:w="785" w:type="dxa"/>
          </w:tcPr>
          <w:p w14:paraId="191052F3" w14:textId="77777777" w:rsidR="009D0883" w:rsidRPr="00915E45" w:rsidRDefault="009D0883" w:rsidP="00C71DE8">
            <w:pPr>
              <w:rPr>
                <w:rFonts w:ascii="Arial" w:eastAsiaTheme="minorHAnsi" w:hAnsi="Arial" w:cs="Arial"/>
              </w:rPr>
            </w:pPr>
            <w:r>
              <w:rPr>
                <w:rFonts w:ascii="Arial" w:eastAsiaTheme="minorHAnsi" w:hAnsi="Arial" w:cs="Arial"/>
              </w:rPr>
              <w:t>4</w:t>
            </w:r>
          </w:p>
        </w:tc>
        <w:tc>
          <w:tcPr>
            <w:tcW w:w="1490" w:type="dxa"/>
            <w:vMerge/>
          </w:tcPr>
          <w:p w14:paraId="224AF77D" w14:textId="77777777" w:rsidR="009D0883" w:rsidRPr="00915E45" w:rsidRDefault="009D0883" w:rsidP="00C71DE8">
            <w:pPr>
              <w:rPr>
                <w:rFonts w:ascii="Arial" w:eastAsiaTheme="minorHAnsi" w:hAnsi="Arial" w:cs="Arial"/>
              </w:rPr>
            </w:pPr>
          </w:p>
        </w:tc>
        <w:tc>
          <w:tcPr>
            <w:tcW w:w="2094" w:type="dxa"/>
            <w:vMerge/>
          </w:tcPr>
          <w:p w14:paraId="31054DA1" w14:textId="77777777" w:rsidR="009D0883" w:rsidRPr="00915E45" w:rsidRDefault="009D0883" w:rsidP="00C71DE8">
            <w:pPr>
              <w:rPr>
                <w:rFonts w:ascii="Arial" w:eastAsiaTheme="minorHAnsi" w:hAnsi="Arial" w:cs="Arial"/>
              </w:rPr>
            </w:pPr>
          </w:p>
        </w:tc>
        <w:tc>
          <w:tcPr>
            <w:tcW w:w="8581" w:type="dxa"/>
          </w:tcPr>
          <w:p w14:paraId="337FDD73" w14:textId="77777777" w:rsidR="009D0883" w:rsidRPr="00915E45" w:rsidRDefault="009D0883" w:rsidP="00C71DE8">
            <w:pPr>
              <w:spacing w:line="276" w:lineRule="auto"/>
              <w:rPr>
                <w:rFonts w:ascii="Arial" w:eastAsia="Arial" w:hAnsi="Arial" w:cs="Arial"/>
              </w:rPr>
            </w:pPr>
            <w:r w:rsidRPr="00915E45">
              <w:rPr>
                <w:rFonts w:ascii="Arial" w:eastAsiaTheme="minorHAnsi" w:hAnsi="Arial" w:cs="Arial"/>
                <w:b/>
              </w:rPr>
              <w:t>Minister’s Zoning Orders (MZOs)-</w:t>
            </w:r>
            <w:r w:rsidRPr="00915E45">
              <w:rPr>
                <w:rFonts w:ascii="Arial" w:eastAsiaTheme="minorHAnsi" w:hAnsi="Arial" w:cs="Arial"/>
              </w:rPr>
              <w:t xml:space="preserve"> Staff are unsupportive of the proposed change that allows the Minister to defer unresolved agreements to the Ontario Land Tribunal without input from a municipality. As a party to the agreement, municipalities should be </w:t>
            </w:r>
            <w:r w:rsidRPr="00915E45">
              <w:rPr>
                <w:rFonts w:ascii="Arial" w:eastAsia="Arial" w:hAnsi="Arial" w:cs="Arial"/>
              </w:rPr>
              <w:t xml:space="preserve">afforded a formal opportunity to consult with the Minister on MZO agreements, as the municipality is a party to the agreement. </w:t>
            </w:r>
          </w:p>
        </w:tc>
      </w:tr>
      <w:tr w:rsidR="009D0883" w:rsidRPr="00915E45" w14:paraId="1FFEDE59" w14:textId="77777777" w:rsidTr="00C71DE8">
        <w:tc>
          <w:tcPr>
            <w:tcW w:w="785" w:type="dxa"/>
          </w:tcPr>
          <w:p w14:paraId="234AD5C1" w14:textId="77777777" w:rsidR="009D0883" w:rsidRPr="00915E45" w:rsidRDefault="009D0883" w:rsidP="00C71DE8">
            <w:pPr>
              <w:rPr>
                <w:rFonts w:ascii="Arial" w:eastAsiaTheme="minorHAnsi" w:hAnsi="Arial" w:cs="Arial"/>
              </w:rPr>
            </w:pPr>
            <w:r>
              <w:rPr>
                <w:rFonts w:ascii="Arial" w:eastAsiaTheme="minorHAnsi" w:hAnsi="Arial" w:cs="Arial"/>
              </w:rPr>
              <w:t>5</w:t>
            </w:r>
          </w:p>
        </w:tc>
        <w:tc>
          <w:tcPr>
            <w:tcW w:w="1490" w:type="dxa"/>
            <w:vMerge/>
          </w:tcPr>
          <w:p w14:paraId="08F72109" w14:textId="77777777" w:rsidR="009D0883" w:rsidRPr="00915E45" w:rsidRDefault="009D0883" w:rsidP="00C71DE8">
            <w:pPr>
              <w:rPr>
                <w:rFonts w:ascii="Arial" w:eastAsiaTheme="minorHAnsi" w:hAnsi="Arial" w:cs="Arial"/>
              </w:rPr>
            </w:pPr>
          </w:p>
        </w:tc>
        <w:tc>
          <w:tcPr>
            <w:tcW w:w="2094" w:type="dxa"/>
            <w:vMerge/>
          </w:tcPr>
          <w:p w14:paraId="0BBB1A88" w14:textId="77777777" w:rsidR="009D0883" w:rsidRPr="00915E45" w:rsidRDefault="009D0883" w:rsidP="00C71DE8">
            <w:pPr>
              <w:rPr>
                <w:rFonts w:ascii="Arial" w:eastAsiaTheme="minorHAnsi" w:hAnsi="Arial" w:cs="Arial"/>
              </w:rPr>
            </w:pPr>
          </w:p>
        </w:tc>
        <w:tc>
          <w:tcPr>
            <w:tcW w:w="8581" w:type="dxa"/>
          </w:tcPr>
          <w:p w14:paraId="23F59917" w14:textId="77777777" w:rsidR="009D0883" w:rsidRPr="00915E45" w:rsidRDefault="009D0883" w:rsidP="00C71DE8">
            <w:pPr>
              <w:rPr>
                <w:rFonts w:ascii="Arial" w:eastAsiaTheme="minorHAnsi" w:hAnsi="Arial" w:cs="Arial"/>
              </w:rPr>
            </w:pPr>
            <w:r w:rsidRPr="00915E45">
              <w:rPr>
                <w:rFonts w:ascii="Arial" w:eastAsiaTheme="minorHAnsi" w:hAnsi="Arial" w:cs="Arial"/>
                <w:b/>
              </w:rPr>
              <w:t>Policy Statements and Minister’s Decisions</w:t>
            </w:r>
            <w:r w:rsidRPr="00915E45">
              <w:rPr>
                <w:rFonts w:ascii="Arial" w:eastAsiaTheme="minorHAnsi" w:hAnsi="Arial" w:cs="Arial"/>
              </w:rPr>
              <w:t xml:space="preserve">- Staff are unsupportive of this change, as it allows decisions that could override key policy direction intended to support good planning and protect public health and safety. The change risks inconsistent planning outcomes by removing the consideration for managing growth, the efficient delivery and coordination of infrastructure, protection of employment lands and land use compatibility from future decisions. With this change, the Minister would be able to enable decisions that may override environmental protections in the Provincial Planning Statement, 2024 regarding hazardous lands, agriculture, natural heritage and water resources. </w:t>
            </w:r>
          </w:p>
        </w:tc>
      </w:tr>
      <w:tr w:rsidR="009D0883" w:rsidRPr="00915E45" w14:paraId="2C8139DA" w14:textId="77777777" w:rsidTr="00C71DE8">
        <w:tc>
          <w:tcPr>
            <w:tcW w:w="785" w:type="dxa"/>
          </w:tcPr>
          <w:p w14:paraId="0FA4D1C1" w14:textId="77777777" w:rsidR="009D0883" w:rsidRPr="00915E45" w:rsidRDefault="009D0883" w:rsidP="00C71DE8">
            <w:pPr>
              <w:rPr>
                <w:rFonts w:ascii="Arial" w:eastAsiaTheme="minorHAnsi" w:hAnsi="Arial" w:cs="Arial"/>
              </w:rPr>
            </w:pPr>
            <w:r>
              <w:rPr>
                <w:rFonts w:ascii="Arial" w:eastAsiaTheme="minorHAnsi" w:hAnsi="Arial" w:cs="Arial"/>
              </w:rPr>
              <w:lastRenderedPageBreak/>
              <w:t>6</w:t>
            </w:r>
          </w:p>
        </w:tc>
        <w:tc>
          <w:tcPr>
            <w:tcW w:w="1490" w:type="dxa"/>
            <w:vMerge/>
          </w:tcPr>
          <w:p w14:paraId="410F8F49" w14:textId="77777777" w:rsidR="009D0883" w:rsidRPr="00915E45" w:rsidRDefault="009D0883" w:rsidP="00C71DE8">
            <w:pPr>
              <w:rPr>
                <w:rFonts w:ascii="Arial" w:eastAsiaTheme="minorHAnsi" w:hAnsi="Arial" w:cs="Arial"/>
              </w:rPr>
            </w:pPr>
          </w:p>
        </w:tc>
        <w:tc>
          <w:tcPr>
            <w:tcW w:w="2094" w:type="dxa"/>
            <w:vMerge/>
          </w:tcPr>
          <w:p w14:paraId="0CF8C9E0" w14:textId="77777777" w:rsidR="009D0883" w:rsidRPr="00915E45" w:rsidRDefault="009D0883" w:rsidP="00C71DE8">
            <w:pPr>
              <w:rPr>
                <w:rFonts w:ascii="Arial" w:eastAsiaTheme="minorHAnsi" w:hAnsi="Arial" w:cs="Arial"/>
              </w:rPr>
            </w:pPr>
          </w:p>
        </w:tc>
        <w:tc>
          <w:tcPr>
            <w:tcW w:w="8581" w:type="dxa"/>
          </w:tcPr>
          <w:p w14:paraId="3F654E7F" w14:textId="77777777" w:rsidR="009D0883" w:rsidRPr="00915E45" w:rsidRDefault="009D0883" w:rsidP="00C71DE8">
            <w:pPr>
              <w:rPr>
                <w:rFonts w:ascii="Arial" w:eastAsiaTheme="minorHAnsi" w:hAnsi="Arial" w:cs="Arial"/>
              </w:rPr>
            </w:pPr>
            <w:r w:rsidRPr="00915E45">
              <w:rPr>
                <w:rFonts w:ascii="Arial" w:eastAsiaTheme="minorHAnsi" w:hAnsi="Arial" w:cs="Arial"/>
                <w:b/>
              </w:rPr>
              <w:t>Community Improvement Plans (CIPs)-</w:t>
            </w:r>
            <w:r w:rsidRPr="00915E45">
              <w:rPr>
                <w:rFonts w:ascii="Arial" w:eastAsiaTheme="minorHAnsi" w:hAnsi="Arial" w:cs="Arial"/>
              </w:rPr>
              <w:t xml:space="preserve">Staff are supportive of this change extending CIPs as a tool that can be used by all upper-tier municipalities. </w:t>
            </w:r>
          </w:p>
        </w:tc>
      </w:tr>
    </w:tbl>
    <w:p w14:paraId="59FC9FF5" w14:textId="77777777" w:rsidR="009D0883" w:rsidRDefault="009D0883"/>
    <w:sectPr w:rsidR="009D0883" w:rsidSect="009D0883">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1519" w14:textId="77777777" w:rsidR="00522651" w:rsidRDefault="00522651" w:rsidP="009D0883">
      <w:r>
        <w:separator/>
      </w:r>
    </w:p>
  </w:endnote>
  <w:endnote w:type="continuationSeparator" w:id="0">
    <w:p w14:paraId="7715FF4E" w14:textId="77777777" w:rsidR="00522651" w:rsidRDefault="00522651" w:rsidP="009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9961" w14:textId="77777777" w:rsidR="00522651" w:rsidRDefault="00522651" w:rsidP="009D0883">
      <w:r>
        <w:separator/>
      </w:r>
    </w:p>
  </w:footnote>
  <w:footnote w:type="continuationSeparator" w:id="0">
    <w:p w14:paraId="06F8A577" w14:textId="77777777" w:rsidR="00522651" w:rsidRDefault="00522651" w:rsidP="009D0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E550" w14:textId="77777777" w:rsidR="009D0883" w:rsidRPr="009D0883" w:rsidRDefault="009D0883" w:rsidP="009D0883">
    <w:pPr>
      <w:tabs>
        <w:tab w:val="center" w:pos="4680"/>
        <w:tab w:val="right" w:pos="9360"/>
      </w:tabs>
      <w:jc w:val="center"/>
      <w:rPr>
        <w:rFonts w:ascii="Arial" w:hAnsi="Arial" w:cs="Arial"/>
        <w:b/>
        <w:bCs/>
      </w:rPr>
    </w:pPr>
    <w:r w:rsidRPr="009D0883">
      <w:rPr>
        <w:rFonts w:ascii="Arial" w:hAnsi="Arial" w:cs="Arial"/>
        <w:b/>
        <w:bCs/>
      </w:rPr>
      <w:t>City of Markham- Comments on Fighting Delays, Building Faster Act, 2025 (Bill 60)</w:t>
    </w:r>
  </w:p>
  <w:p w14:paraId="250C2D9C" w14:textId="77777777" w:rsidR="009D0883" w:rsidRDefault="009D0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83"/>
    <w:rsid w:val="00522651"/>
    <w:rsid w:val="009D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C92D"/>
  <w15:chartTrackingRefBased/>
  <w15:docId w15:val="{FB15DDD3-DEBD-4815-A36E-D9A95D04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88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D0883"/>
  </w:style>
  <w:style w:type="paragraph" w:styleId="Footer">
    <w:name w:val="footer"/>
    <w:basedOn w:val="Normal"/>
    <w:link w:val="FooterChar"/>
    <w:uiPriority w:val="99"/>
    <w:unhideWhenUsed/>
    <w:rsid w:val="009D088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D0883"/>
  </w:style>
  <w:style w:type="table" w:customStyle="1" w:styleId="TableGrid1">
    <w:name w:val="Table Grid1"/>
    <w:basedOn w:val="TableNormal"/>
    <w:next w:val="TableGrid"/>
    <w:uiPriority w:val="39"/>
    <w:rsid w:val="009D0883"/>
    <w:pPr>
      <w:spacing w:after="0" w:line="240" w:lineRule="auto"/>
    </w:pPr>
    <w:tblPr/>
  </w:style>
  <w:style w:type="table" w:styleId="TableGrid">
    <w:name w:val="Table Grid"/>
    <w:basedOn w:val="TableNormal"/>
    <w:uiPriority w:val="39"/>
    <w:rsid w:val="009D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Jessie</dc:creator>
  <cp:keywords/>
  <dc:description/>
  <cp:lastModifiedBy>Huang, Jessie</cp:lastModifiedBy>
  <cp:revision>1</cp:revision>
  <dcterms:created xsi:type="dcterms:W3CDTF">2025-11-20T21:09:00Z</dcterms:created>
  <dcterms:modified xsi:type="dcterms:W3CDTF">2025-11-20T21:10:00Z</dcterms:modified>
</cp:coreProperties>
</file>