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490"/>
        <w:gridCol w:w="2094"/>
        <w:gridCol w:w="8581"/>
      </w:tblGrid>
      <w:tr w:rsidR="00BD6D8D" w:rsidRPr="00915E45" w14:paraId="6044F566" w14:textId="77777777" w:rsidTr="000E79E6">
        <w:tc>
          <w:tcPr>
            <w:tcW w:w="785" w:type="dxa"/>
            <w:shd w:val="clear" w:color="auto" w:fill="808080" w:themeFill="background1" w:themeFillShade="80"/>
          </w:tcPr>
          <w:p w14:paraId="3999D315" w14:textId="77777777" w:rsidR="00BD6D8D" w:rsidRPr="00915E45" w:rsidRDefault="00BD6D8D" w:rsidP="000E79E6">
            <w:pPr>
              <w:rPr>
                <w:rFonts w:ascii="Arial" w:eastAsiaTheme="minorHAnsi" w:hAnsi="Arial" w:cs="Arial"/>
              </w:rPr>
            </w:pPr>
            <w:r w:rsidRPr="00915E45">
              <w:rPr>
                <w:rFonts w:ascii="Arial" w:eastAsiaTheme="minorHAnsi" w:hAnsi="Arial" w:cs="Arial"/>
                <w:b/>
                <w:color w:val="FFFFFF" w:themeColor="background1"/>
              </w:rPr>
              <w:t>Item #</w:t>
            </w:r>
          </w:p>
        </w:tc>
        <w:tc>
          <w:tcPr>
            <w:tcW w:w="1490" w:type="dxa"/>
            <w:shd w:val="clear" w:color="auto" w:fill="808080" w:themeFill="background1" w:themeFillShade="80"/>
          </w:tcPr>
          <w:p w14:paraId="5D439250" w14:textId="77777777" w:rsidR="00BD6D8D" w:rsidRPr="00915E45" w:rsidRDefault="00BD6D8D" w:rsidP="000E79E6">
            <w:pPr>
              <w:jc w:val="center"/>
              <w:rPr>
                <w:rFonts w:ascii="Arial" w:eastAsiaTheme="minorHAnsi" w:hAnsi="Arial" w:cs="Arial"/>
              </w:rPr>
            </w:pPr>
            <w:r w:rsidRPr="00915E45">
              <w:rPr>
                <w:rFonts w:ascii="Arial" w:eastAsiaTheme="minorHAnsi" w:hAnsi="Arial" w:cs="Arial"/>
                <w:b/>
                <w:color w:val="FFFFFF" w:themeColor="background1"/>
              </w:rPr>
              <w:t>ERO/ORR #</w:t>
            </w:r>
          </w:p>
        </w:tc>
        <w:tc>
          <w:tcPr>
            <w:tcW w:w="2094" w:type="dxa"/>
            <w:shd w:val="clear" w:color="auto" w:fill="808080" w:themeFill="background1" w:themeFillShade="80"/>
          </w:tcPr>
          <w:p w14:paraId="0450DE0F" w14:textId="77777777" w:rsidR="00BD6D8D" w:rsidRPr="00915E45" w:rsidRDefault="00BD6D8D" w:rsidP="000E79E6">
            <w:pPr>
              <w:jc w:val="center"/>
              <w:rPr>
                <w:rFonts w:ascii="Arial" w:eastAsiaTheme="minorHAnsi" w:hAnsi="Arial" w:cs="Arial"/>
                <w:color w:val="242424"/>
                <w:shd w:val="clear" w:color="auto" w:fill="FFFFFF"/>
              </w:rPr>
            </w:pPr>
            <w:r w:rsidRPr="00915E45">
              <w:rPr>
                <w:rFonts w:ascii="Arial" w:eastAsiaTheme="minorHAnsi" w:hAnsi="Arial" w:cs="Arial"/>
                <w:b/>
                <w:color w:val="FFFFFF" w:themeColor="background1"/>
              </w:rPr>
              <w:t>Title of ERO/ORR Post</w:t>
            </w:r>
          </w:p>
        </w:tc>
        <w:tc>
          <w:tcPr>
            <w:tcW w:w="8581" w:type="dxa"/>
            <w:shd w:val="clear" w:color="auto" w:fill="808080" w:themeFill="background1" w:themeFillShade="80"/>
          </w:tcPr>
          <w:p w14:paraId="2D639481" w14:textId="77777777" w:rsidR="00BD6D8D" w:rsidRPr="00915E45" w:rsidRDefault="00BD6D8D" w:rsidP="000E79E6">
            <w:pPr>
              <w:rPr>
                <w:rFonts w:ascii="Arial" w:eastAsiaTheme="minorHAnsi" w:hAnsi="Arial" w:cs="Arial"/>
              </w:rPr>
            </w:pPr>
            <w:r w:rsidRPr="00915E45">
              <w:rPr>
                <w:rFonts w:ascii="Arial" w:eastAsiaTheme="minorHAnsi" w:hAnsi="Arial" w:cs="Arial"/>
                <w:b/>
                <w:color w:val="FFFFFF" w:themeColor="background1"/>
              </w:rPr>
              <w:t>Staff Comments</w:t>
            </w:r>
          </w:p>
        </w:tc>
      </w:tr>
      <w:tr w:rsidR="00BD6D8D" w:rsidRPr="00915E45" w14:paraId="7CA719E3" w14:textId="77777777" w:rsidTr="000E79E6">
        <w:tc>
          <w:tcPr>
            <w:tcW w:w="785" w:type="dxa"/>
          </w:tcPr>
          <w:p w14:paraId="50873068" w14:textId="77777777" w:rsidR="00BD6D8D" w:rsidRPr="00915E45" w:rsidRDefault="00BD6D8D" w:rsidP="000E79E6">
            <w:pPr>
              <w:rPr>
                <w:rFonts w:ascii="Arial" w:eastAsiaTheme="minorHAnsi" w:hAnsi="Arial" w:cs="Arial"/>
              </w:rPr>
            </w:pPr>
            <w:r>
              <w:rPr>
                <w:rFonts w:ascii="Arial" w:eastAsiaTheme="minorHAnsi" w:hAnsi="Arial" w:cs="Arial"/>
              </w:rPr>
              <w:t>1</w:t>
            </w:r>
          </w:p>
        </w:tc>
        <w:tc>
          <w:tcPr>
            <w:tcW w:w="1490" w:type="dxa"/>
            <w:vMerge w:val="restart"/>
          </w:tcPr>
          <w:p w14:paraId="6D58E443" w14:textId="77777777" w:rsidR="00BD6D8D" w:rsidRPr="00915E45" w:rsidRDefault="00BD6D8D" w:rsidP="000E79E6">
            <w:pPr>
              <w:jc w:val="center"/>
              <w:rPr>
                <w:rFonts w:ascii="Arial" w:eastAsiaTheme="minorHAnsi" w:hAnsi="Arial" w:cs="Arial"/>
              </w:rPr>
            </w:pPr>
          </w:p>
          <w:p w14:paraId="0639E06B" w14:textId="77777777" w:rsidR="00BD6D8D" w:rsidRPr="00915E45" w:rsidRDefault="00BD6D8D" w:rsidP="000E79E6">
            <w:pPr>
              <w:jc w:val="center"/>
              <w:rPr>
                <w:rFonts w:ascii="Arial" w:eastAsiaTheme="minorHAnsi" w:hAnsi="Arial" w:cs="Arial"/>
              </w:rPr>
            </w:pPr>
          </w:p>
          <w:p w14:paraId="756328EF" w14:textId="77777777" w:rsidR="00BD6D8D" w:rsidRPr="00915E45" w:rsidRDefault="00BD6D8D" w:rsidP="000E79E6">
            <w:pPr>
              <w:jc w:val="center"/>
              <w:rPr>
                <w:rFonts w:ascii="Arial" w:eastAsiaTheme="minorHAnsi" w:hAnsi="Arial" w:cs="Arial"/>
              </w:rPr>
            </w:pPr>
          </w:p>
          <w:p w14:paraId="78263E46" w14:textId="77777777" w:rsidR="00BD6D8D" w:rsidRPr="00915E45" w:rsidRDefault="00BD6D8D" w:rsidP="000E79E6">
            <w:pPr>
              <w:jc w:val="center"/>
              <w:rPr>
                <w:rFonts w:ascii="Arial" w:eastAsiaTheme="minorHAnsi" w:hAnsi="Arial" w:cs="Arial"/>
              </w:rPr>
            </w:pPr>
          </w:p>
          <w:p w14:paraId="6E300188" w14:textId="77777777" w:rsidR="00BD6D8D" w:rsidRPr="00915E45" w:rsidRDefault="00BD6D8D" w:rsidP="000E79E6">
            <w:pPr>
              <w:jc w:val="center"/>
              <w:rPr>
                <w:rFonts w:ascii="Arial" w:eastAsiaTheme="minorHAnsi" w:hAnsi="Arial" w:cs="Arial"/>
              </w:rPr>
            </w:pPr>
          </w:p>
          <w:p w14:paraId="42B7B338" w14:textId="77777777" w:rsidR="00BD6D8D" w:rsidRPr="00915E45" w:rsidRDefault="00BD6D8D" w:rsidP="000E79E6">
            <w:pPr>
              <w:jc w:val="center"/>
              <w:rPr>
                <w:rFonts w:ascii="Arial" w:eastAsiaTheme="minorHAnsi" w:hAnsi="Arial" w:cs="Arial"/>
              </w:rPr>
            </w:pPr>
          </w:p>
          <w:p w14:paraId="1C634C14" w14:textId="77777777" w:rsidR="00BD6D8D" w:rsidRPr="00915E45" w:rsidRDefault="00BD6D8D" w:rsidP="000E79E6">
            <w:pPr>
              <w:jc w:val="center"/>
              <w:rPr>
                <w:rFonts w:ascii="Arial" w:eastAsiaTheme="minorHAnsi" w:hAnsi="Arial" w:cs="Arial"/>
              </w:rPr>
            </w:pPr>
          </w:p>
          <w:p w14:paraId="286A61DA" w14:textId="77777777" w:rsidR="00BD6D8D" w:rsidRPr="00915E45" w:rsidRDefault="00BD6D8D" w:rsidP="000E79E6">
            <w:pPr>
              <w:jc w:val="center"/>
              <w:rPr>
                <w:rFonts w:ascii="Arial" w:eastAsiaTheme="minorHAnsi" w:hAnsi="Arial" w:cs="Arial"/>
              </w:rPr>
            </w:pPr>
          </w:p>
          <w:p w14:paraId="14389FB8" w14:textId="77777777" w:rsidR="00BD6D8D" w:rsidRPr="00915E45" w:rsidRDefault="00BD6D8D" w:rsidP="000E79E6">
            <w:pPr>
              <w:jc w:val="center"/>
              <w:rPr>
                <w:rFonts w:ascii="Arial" w:eastAsiaTheme="minorHAnsi" w:hAnsi="Arial" w:cs="Arial"/>
              </w:rPr>
            </w:pPr>
          </w:p>
          <w:p w14:paraId="5B54202C" w14:textId="77777777" w:rsidR="00BD6D8D" w:rsidRPr="00915E45" w:rsidRDefault="00BD6D8D" w:rsidP="000E79E6">
            <w:pPr>
              <w:jc w:val="center"/>
              <w:rPr>
                <w:rFonts w:ascii="Arial" w:eastAsiaTheme="minorHAnsi" w:hAnsi="Arial" w:cs="Arial"/>
              </w:rPr>
            </w:pPr>
          </w:p>
          <w:p w14:paraId="45631904" w14:textId="77777777" w:rsidR="00BD6D8D" w:rsidRPr="00915E45" w:rsidRDefault="00BD6D8D" w:rsidP="000E79E6">
            <w:pPr>
              <w:jc w:val="center"/>
              <w:rPr>
                <w:rFonts w:ascii="Arial" w:eastAsiaTheme="minorHAnsi" w:hAnsi="Arial" w:cs="Arial"/>
              </w:rPr>
            </w:pPr>
          </w:p>
          <w:p w14:paraId="05C390EA" w14:textId="77777777" w:rsidR="00BD6D8D" w:rsidRPr="00915E45" w:rsidRDefault="00BD6D8D" w:rsidP="000E79E6">
            <w:pPr>
              <w:jc w:val="center"/>
              <w:rPr>
                <w:rFonts w:ascii="Arial" w:eastAsiaTheme="minorHAnsi" w:hAnsi="Arial" w:cs="Arial"/>
              </w:rPr>
            </w:pPr>
          </w:p>
          <w:p w14:paraId="3A9B080C" w14:textId="77777777" w:rsidR="00BD6D8D" w:rsidRPr="00915E45" w:rsidRDefault="00BD6D8D" w:rsidP="000E79E6">
            <w:pPr>
              <w:jc w:val="center"/>
              <w:rPr>
                <w:rFonts w:ascii="Arial" w:eastAsiaTheme="minorHAnsi" w:hAnsi="Arial" w:cs="Arial"/>
              </w:rPr>
            </w:pPr>
          </w:p>
          <w:p w14:paraId="6890802F" w14:textId="77777777" w:rsidR="00BD6D8D" w:rsidRPr="00915E45" w:rsidRDefault="00BD6D8D" w:rsidP="000E79E6">
            <w:pPr>
              <w:jc w:val="center"/>
              <w:rPr>
                <w:rFonts w:ascii="Arial" w:eastAsiaTheme="minorHAnsi" w:hAnsi="Arial" w:cs="Arial"/>
              </w:rPr>
            </w:pPr>
          </w:p>
          <w:p w14:paraId="0A928463" w14:textId="77777777" w:rsidR="00BD6D8D" w:rsidRPr="00915E45" w:rsidRDefault="00BD6D8D" w:rsidP="000E79E6">
            <w:pPr>
              <w:jc w:val="center"/>
              <w:rPr>
                <w:rFonts w:ascii="Arial" w:eastAsiaTheme="minorHAnsi" w:hAnsi="Arial" w:cs="Arial"/>
              </w:rPr>
            </w:pPr>
          </w:p>
          <w:p w14:paraId="31ED805D" w14:textId="77777777" w:rsidR="00BD6D8D" w:rsidRPr="00915E45" w:rsidRDefault="00BD6D8D" w:rsidP="000E79E6">
            <w:pPr>
              <w:jc w:val="center"/>
              <w:rPr>
                <w:rFonts w:ascii="Arial" w:eastAsiaTheme="minorHAnsi" w:hAnsi="Arial" w:cs="Arial"/>
              </w:rPr>
            </w:pPr>
          </w:p>
          <w:p w14:paraId="7F6244AD" w14:textId="77777777" w:rsidR="00BD6D8D" w:rsidRPr="00915E45" w:rsidRDefault="00BD6D8D" w:rsidP="000E79E6">
            <w:pPr>
              <w:jc w:val="center"/>
              <w:rPr>
                <w:rFonts w:ascii="Arial" w:eastAsiaTheme="minorHAnsi" w:hAnsi="Arial" w:cs="Arial"/>
              </w:rPr>
            </w:pPr>
            <w:r w:rsidRPr="00915E45">
              <w:rPr>
                <w:rFonts w:ascii="Arial" w:eastAsiaTheme="minorHAnsi" w:hAnsi="Arial" w:cs="Arial"/>
              </w:rPr>
              <w:t>ERO 025-1101</w:t>
            </w:r>
          </w:p>
          <w:p w14:paraId="77F19954" w14:textId="77777777" w:rsidR="00BD6D8D" w:rsidRPr="00915E45" w:rsidRDefault="00BD6D8D" w:rsidP="000E79E6">
            <w:pPr>
              <w:jc w:val="center"/>
              <w:rPr>
                <w:rFonts w:ascii="Arial" w:eastAsiaTheme="minorHAnsi" w:hAnsi="Arial" w:cs="Arial"/>
              </w:rPr>
            </w:pPr>
          </w:p>
        </w:tc>
        <w:tc>
          <w:tcPr>
            <w:tcW w:w="2094" w:type="dxa"/>
            <w:vMerge w:val="restart"/>
          </w:tcPr>
          <w:p w14:paraId="0A942EB8" w14:textId="77777777" w:rsidR="00BD6D8D" w:rsidRPr="00915E45" w:rsidRDefault="00BD6D8D" w:rsidP="000E79E6">
            <w:pPr>
              <w:jc w:val="center"/>
              <w:rPr>
                <w:rFonts w:ascii="Arial" w:eastAsiaTheme="minorHAnsi" w:hAnsi="Arial" w:cs="Arial"/>
                <w:color w:val="242424"/>
                <w:shd w:val="clear" w:color="auto" w:fill="FFFFFF"/>
              </w:rPr>
            </w:pPr>
          </w:p>
          <w:p w14:paraId="71D0FE6A" w14:textId="77777777" w:rsidR="00BD6D8D" w:rsidRPr="00915E45" w:rsidRDefault="00BD6D8D" w:rsidP="000E79E6">
            <w:pPr>
              <w:jc w:val="center"/>
              <w:rPr>
                <w:rFonts w:ascii="Arial" w:eastAsiaTheme="minorHAnsi" w:hAnsi="Arial" w:cs="Arial"/>
                <w:color w:val="242424"/>
                <w:shd w:val="clear" w:color="auto" w:fill="FFFFFF"/>
              </w:rPr>
            </w:pPr>
          </w:p>
          <w:p w14:paraId="79BD23D6" w14:textId="77777777" w:rsidR="00BD6D8D" w:rsidRPr="00915E45" w:rsidRDefault="00BD6D8D" w:rsidP="000E79E6">
            <w:pPr>
              <w:jc w:val="center"/>
              <w:rPr>
                <w:rFonts w:ascii="Arial" w:eastAsiaTheme="minorHAnsi" w:hAnsi="Arial" w:cs="Arial"/>
                <w:color w:val="242424"/>
                <w:shd w:val="clear" w:color="auto" w:fill="FFFFFF"/>
              </w:rPr>
            </w:pPr>
          </w:p>
          <w:p w14:paraId="6814C858" w14:textId="77777777" w:rsidR="00BD6D8D" w:rsidRPr="00915E45" w:rsidRDefault="00BD6D8D" w:rsidP="000E79E6">
            <w:pPr>
              <w:jc w:val="center"/>
              <w:rPr>
                <w:rFonts w:ascii="Arial" w:eastAsiaTheme="minorHAnsi" w:hAnsi="Arial" w:cs="Arial"/>
                <w:color w:val="242424"/>
                <w:shd w:val="clear" w:color="auto" w:fill="FFFFFF"/>
              </w:rPr>
            </w:pPr>
          </w:p>
          <w:p w14:paraId="0056BEB3" w14:textId="77777777" w:rsidR="00BD6D8D" w:rsidRPr="00915E45" w:rsidRDefault="00BD6D8D" w:rsidP="000E79E6">
            <w:pPr>
              <w:jc w:val="center"/>
              <w:rPr>
                <w:rFonts w:ascii="Arial" w:eastAsiaTheme="minorHAnsi" w:hAnsi="Arial" w:cs="Arial"/>
                <w:color w:val="242424"/>
                <w:shd w:val="clear" w:color="auto" w:fill="FFFFFF"/>
              </w:rPr>
            </w:pPr>
          </w:p>
          <w:p w14:paraId="1ADE8DA1" w14:textId="77777777" w:rsidR="00BD6D8D" w:rsidRPr="00915E45" w:rsidRDefault="00BD6D8D" w:rsidP="000E79E6">
            <w:pPr>
              <w:jc w:val="center"/>
              <w:rPr>
                <w:rFonts w:ascii="Arial" w:eastAsiaTheme="minorHAnsi" w:hAnsi="Arial" w:cs="Arial"/>
                <w:color w:val="242424"/>
                <w:shd w:val="clear" w:color="auto" w:fill="FFFFFF"/>
              </w:rPr>
            </w:pPr>
          </w:p>
          <w:p w14:paraId="66EC2098" w14:textId="77777777" w:rsidR="00BD6D8D" w:rsidRPr="00915E45" w:rsidRDefault="00BD6D8D" w:rsidP="000E79E6">
            <w:pPr>
              <w:jc w:val="center"/>
              <w:rPr>
                <w:rFonts w:ascii="Arial" w:eastAsiaTheme="minorHAnsi" w:hAnsi="Arial" w:cs="Arial"/>
                <w:color w:val="242424"/>
                <w:shd w:val="clear" w:color="auto" w:fill="FFFFFF"/>
              </w:rPr>
            </w:pPr>
          </w:p>
          <w:p w14:paraId="0BAB5DE9" w14:textId="77777777" w:rsidR="00BD6D8D" w:rsidRPr="00915E45" w:rsidRDefault="00BD6D8D" w:rsidP="000E79E6">
            <w:pPr>
              <w:jc w:val="center"/>
              <w:rPr>
                <w:rFonts w:ascii="Arial" w:eastAsiaTheme="minorHAnsi" w:hAnsi="Arial" w:cs="Arial"/>
                <w:color w:val="242424"/>
                <w:shd w:val="clear" w:color="auto" w:fill="FFFFFF"/>
              </w:rPr>
            </w:pPr>
          </w:p>
          <w:p w14:paraId="483E5C55" w14:textId="77777777" w:rsidR="00BD6D8D" w:rsidRPr="00915E45" w:rsidRDefault="00BD6D8D" w:rsidP="000E79E6">
            <w:pPr>
              <w:jc w:val="center"/>
              <w:rPr>
                <w:rFonts w:ascii="Arial" w:eastAsiaTheme="minorHAnsi" w:hAnsi="Arial" w:cs="Arial"/>
                <w:color w:val="242424"/>
                <w:shd w:val="clear" w:color="auto" w:fill="FFFFFF"/>
              </w:rPr>
            </w:pPr>
          </w:p>
          <w:p w14:paraId="1B68F48F" w14:textId="77777777" w:rsidR="00BD6D8D" w:rsidRPr="00915E45" w:rsidRDefault="00BD6D8D" w:rsidP="000E79E6">
            <w:pPr>
              <w:jc w:val="center"/>
              <w:rPr>
                <w:rFonts w:ascii="Arial" w:eastAsiaTheme="minorHAnsi" w:hAnsi="Arial" w:cs="Arial"/>
                <w:color w:val="242424"/>
                <w:shd w:val="clear" w:color="auto" w:fill="FFFFFF"/>
              </w:rPr>
            </w:pPr>
          </w:p>
          <w:p w14:paraId="247AD6F6" w14:textId="77777777" w:rsidR="00BD6D8D" w:rsidRPr="00915E45" w:rsidRDefault="00BD6D8D" w:rsidP="000E79E6">
            <w:pPr>
              <w:jc w:val="center"/>
              <w:rPr>
                <w:rFonts w:ascii="Arial" w:eastAsiaTheme="minorHAnsi" w:hAnsi="Arial" w:cs="Arial"/>
                <w:color w:val="242424"/>
                <w:shd w:val="clear" w:color="auto" w:fill="FFFFFF"/>
              </w:rPr>
            </w:pPr>
          </w:p>
          <w:p w14:paraId="17955A03" w14:textId="77777777" w:rsidR="00BD6D8D" w:rsidRPr="00915E45" w:rsidRDefault="00BD6D8D" w:rsidP="000E79E6">
            <w:pPr>
              <w:jc w:val="center"/>
              <w:rPr>
                <w:rFonts w:ascii="Arial" w:eastAsiaTheme="minorHAnsi" w:hAnsi="Arial" w:cs="Arial"/>
                <w:color w:val="242424"/>
                <w:shd w:val="clear" w:color="auto" w:fill="FFFFFF"/>
              </w:rPr>
            </w:pPr>
          </w:p>
          <w:p w14:paraId="57AAD2DF" w14:textId="77777777" w:rsidR="00BD6D8D" w:rsidRPr="00915E45" w:rsidRDefault="00BD6D8D" w:rsidP="000E79E6">
            <w:pPr>
              <w:jc w:val="center"/>
              <w:rPr>
                <w:rFonts w:ascii="Arial" w:eastAsiaTheme="minorHAnsi" w:hAnsi="Arial" w:cs="Arial"/>
                <w:color w:val="242424"/>
                <w:shd w:val="clear" w:color="auto" w:fill="FFFFFF"/>
              </w:rPr>
            </w:pPr>
          </w:p>
          <w:p w14:paraId="4F688E2D" w14:textId="77777777" w:rsidR="00BD6D8D" w:rsidRPr="00915E45" w:rsidRDefault="00BD6D8D" w:rsidP="000E79E6">
            <w:pPr>
              <w:jc w:val="center"/>
              <w:rPr>
                <w:rFonts w:ascii="Arial" w:eastAsiaTheme="minorHAnsi" w:hAnsi="Arial" w:cs="Arial"/>
                <w:color w:val="242424"/>
                <w:shd w:val="clear" w:color="auto" w:fill="FFFFFF"/>
              </w:rPr>
            </w:pPr>
          </w:p>
          <w:p w14:paraId="79233407" w14:textId="77777777" w:rsidR="00BD6D8D" w:rsidRPr="00915E45" w:rsidRDefault="00BD6D8D" w:rsidP="000E79E6">
            <w:pPr>
              <w:jc w:val="center"/>
              <w:rPr>
                <w:rFonts w:ascii="Arial" w:eastAsiaTheme="minorHAnsi" w:hAnsi="Arial" w:cs="Arial"/>
              </w:rPr>
            </w:pPr>
            <w:r w:rsidRPr="00915E45">
              <w:rPr>
                <w:rFonts w:ascii="Arial" w:eastAsiaTheme="minorHAnsi" w:hAnsi="Arial" w:cs="Arial"/>
                <w:color w:val="242424"/>
                <w:shd w:val="clear" w:color="auto" w:fill="FFFFFF"/>
              </w:rPr>
              <w:t>Consultation on Enhanced Development Standards- Lot Level (outside of buildings)</w:t>
            </w:r>
          </w:p>
          <w:p w14:paraId="568FEF05" w14:textId="77777777" w:rsidR="00BD6D8D" w:rsidRPr="00915E45" w:rsidRDefault="00BD6D8D" w:rsidP="000E79E6">
            <w:pPr>
              <w:jc w:val="center"/>
              <w:rPr>
                <w:rFonts w:ascii="Arial" w:eastAsiaTheme="minorHAnsi" w:hAnsi="Arial" w:cs="Arial"/>
              </w:rPr>
            </w:pPr>
          </w:p>
        </w:tc>
        <w:tc>
          <w:tcPr>
            <w:tcW w:w="8581" w:type="dxa"/>
          </w:tcPr>
          <w:p w14:paraId="6AD18408" w14:textId="77777777" w:rsidR="00BD6D8D" w:rsidRPr="00915E45" w:rsidRDefault="00BD6D8D" w:rsidP="000E79E6">
            <w:pPr>
              <w:rPr>
                <w:rFonts w:ascii="Arial" w:eastAsiaTheme="minorHAnsi" w:hAnsi="Arial" w:cs="Arial"/>
              </w:rPr>
            </w:pPr>
            <w:r w:rsidRPr="00915E45">
              <w:rPr>
                <w:rFonts w:ascii="Arial" w:eastAsiaTheme="minorHAnsi" w:hAnsi="Arial" w:cs="Arial"/>
              </w:rPr>
              <w:t xml:space="preserve">The City of Markham’s Sustainability Metrics Program was developed in partnership with other municipalities (e.g., Vaughan, Richmond Hill and Brampton) to promote consistency across the Greater Toronto Area municipalities. </w:t>
            </w:r>
          </w:p>
          <w:p w14:paraId="02C3125C" w14:textId="77777777" w:rsidR="00BD6D8D" w:rsidRPr="00915E45" w:rsidRDefault="00BD6D8D" w:rsidP="000E79E6">
            <w:pPr>
              <w:rPr>
                <w:rFonts w:ascii="Arial" w:eastAsiaTheme="minorHAnsi" w:hAnsi="Arial" w:cs="Arial"/>
              </w:rPr>
            </w:pPr>
          </w:p>
          <w:p w14:paraId="10A3F2D2" w14:textId="77777777" w:rsidR="00BD6D8D" w:rsidRPr="00915E45" w:rsidRDefault="00BD6D8D" w:rsidP="000E79E6">
            <w:pPr>
              <w:rPr>
                <w:rFonts w:ascii="Arial" w:eastAsiaTheme="minorHAnsi" w:hAnsi="Arial" w:cs="Arial"/>
              </w:rPr>
            </w:pPr>
            <w:r w:rsidRPr="00915E45">
              <w:rPr>
                <w:rFonts w:ascii="Arial" w:eastAsiaTheme="minorHAnsi" w:hAnsi="Arial" w:cs="Arial"/>
              </w:rPr>
              <w:t xml:space="preserve">While consistency is desirable, it is not necessary that metrics or standards are identical as each municipality may have different capacities, contexts and requirements. For example, the standards developed for Markham provide metrics for both existing urban and greenfield areas which address a range of standards that wouldn’t be needed in the City of Toronto which is fully built out. </w:t>
            </w:r>
          </w:p>
        </w:tc>
      </w:tr>
      <w:tr w:rsidR="00BD6D8D" w:rsidRPr="00915E45" w14:paraId="0819B199" w14:textId="77777777" w:rsidTr="000E79E6">
        <w:tc>
          <w:tcPr>
            <w:tcW w:w="785" w:type="dxa"/>
          </w:tcPr>
          <w:p w14:paraId="319901C4" w14:textId="77777777" w:rsidR="00BD6D8D" w:rsidRPr="00915E45" w:rsidRDefault="00BD6D8D" w:rsidP="000E79E6">
            <w:pPr>
              <w:rPr>
                <w:rFonts w:ascii="Arial" w:eastAsiaTheme="minorHAnsi" w:hAnsi="Arial" w:cs="Arial"/>
              </w:rPr>
            </w:pPr>
            <w:r>
              <w:rPr>
                <w:rFonts w:ascii="Arial" w:eastAsiaTheme="minorHAnsi" w:hAnsi="Arial" w:cs="Arial"/>
              </w:rPr>
              <w:t>2</w:t>
            </w:r>
          </w:p>
        </w:tc>
        <w:tc>
          <w:tcPr>
            <w:tcW w:w="1490" w:type="dxa"/>
            <w:vMerge/>
          </w:tcPr>
          <w:p w14:paraId="55E5900C" w14:textId="77777777" w:rsidR="00BD6D8D" w:rsidRPr="00915E45" w:rsidRDefault="00BD6D8D" w:rsidP="000E79E6">
            <w:pPr>
              <w:rPr>
                <w:rFonts w:ascii="Arial" w:eastAsiaTheme="minorHAnsi" w:hAnsi="Arial" w:cs="Arial"/>
              </w:rPr>
            </w:pPr>
          </w:p>
        </w:tc>
        <w:tc>
          <w:tcPr>
            <w:tcW w:w="2094" w:type="dxa"/>
            <w:vMerge/>
          </w:tcPr>
          <w:p w14:paraId="62D40003" w14:textId="77777777" w:rsidR="00BD6D8D" w:rsidRPr="00915E45" w:rsidRDefault="00BD6D8D" w:rsidP="000E79E6">
            <w:pPr>
              <w:rPr>
                <w:rFonts w:ascii="Arial" w:eastAsiaTheme="minorHAnsi" w:hAnsi="Arial" w:cs="Arial"/>
              </w:rPr>
            </w:pPr>
          </w:p>
        </w:tc>
        <w:tc>
          <w:tcPr>
            <w:tcW w:w="8581" w:type="dxa"/>
          </w:tcPr>
          <w:p w14:paraId="7A116341" w14:textId="77777777" w:rsidR="00BD6D8D" w:rsidRPr="00915E45" w:rsidRDefault="00BD6D8D" w:rsidP="000E79E6">
            <w:pPr>
              <w:rPr>
                <w:rFonts w:ascii="Arial" w:eastAsiaTheme="minorHAnsi" w:hAnsi="Arial" w:cs="Arial"/>
              </w:rPr>
            </w:pPr>
            <w:r w:rsidRPr="00915E45">
              <w:rPr>
                <w:rFonts w:ascii="Arial" w:eastAsiaTheme="minorHAnsi" w:hAnsi="Arial" w:cs="Arial"/>
              </w:rPr>
              <w:t xml:space="preserve">Staff would be generally unsupportive of streamlining, standardize and prohibiting the mandatory use of enhanced development standards. City Staff have not encountered cases where the enhanced standards proposed or implemented through the City’s Sustainability Metrics Program has been a regulatory burden or caused a delay in the approval process for applicants. </w:t>
            </w:r>
          </w:p>
        </w:tc>
      </w:tr>
      <w:tr w:rsidR="00BD6D8D" w:rsidRPr="00915E45" w14:paraId="0BD29985" w14:textId="77777777" w:rsidTr="000E79E6">
        <w:tc>
          <w:tcPr>
            <w:tcW w:w="785" w:type="dxa"/>
          </w:tcPr>
          <w:p w14:paraId="5CBEED28" w14:textId="77777777" w:rsidR="00BD6D8D" w:rsidRPr="00915E45" w:rsidRDefault="00BD6D8D" w:rsidP="000E79E6">
            <w:pPr>
              <w:rPr>
                <w:rFonts w:ascii="Arial" w:eastAsiaTheme="minorHAnsi" w:hAnsi="Arial" w:cs="Arial"/>
              </w:rPr>
            </w:pPr>
            <w:r w:rsidRPr="00915E45">
              <w:rPr>
                <w:rFonts w:ascii="Arial" w:eastAsiaTheme="minorHAnsi" w:hAnsi="Arial" w:cs="Arial"/>
              </w:rPr>
              <w:t>3</w:t>
            </w:r>
          </w:p>
        </w:tc>
        <w:tc>
          <w:tcPr>
            <w:tcW w:w="1490" w:type="dxa"/>
            <w:vMerge/>
          </w:tcPr>
          <w:p w14:paraId="239D08AD" w14:textId="77777777" w:rsidR="00BD6D8D" w:rsidRPr="00915E45" w:rsidRDefault="00BD6D8D" w:rsidP="000E79E6">
            <w:pPr>
              <w:rPr>
                <w:rFonts w:ascii="Arial" w:eastAsiaTheme="minorHAnsi" w:hAnsi="Arial" w:cs="Arial"/>
              </w:rPr>
            </w:pPr>
          </w:p>
        </w:tc>
        <w:tc>
          <w:tcPr>
            <w:tcW w:w="2094" w:type="dxa"/>
            <w:vMerge/>
          </w:tcPr>
          <w:p w14:paraId="5A6292F6" w14:textId="77777777" w:rsidR="00BD6D8D" w:rsidRPr="00915E45" w:rsidRDefault="00BD6D8D" w:rsidP="000E79E6">
            <w:pPr>
              <w:rPr>
                <w:rFonts w:ascii="Arial" w:eastAsiaTheme="minorHAnsi" w:hAnsi="Arial" w:cs="Arial"/>
              </w:rPr>
            </w:pPr>
          </w:p>
        </w:tc>
        <w:tc>
          <w:tcPr>
            <w:tcW w:w="8581" w:type="dxa"/>
          </w:tcPr>
          <w:p w14:paraId="12ACD777" w14:textId="77777777" w:rsidR="00BD6D8D" w:rsidRPr="00915E45" w:rsidRDefault="00BD6D8D" w:rsidP="000E79E6">
            <w:pPr>
              <w:rPr>
                <w:rFonts w:ascii="Arial" w:eastAsiaTheme="minorHAnsi" w:hAnsi="Arial" w:cs="Arial"/>
              </w:rPr>
            </w:pPr>
            <w:r w:rsidRPr="00915E45">
              <w:rPr>
                <w:rFonts w:ascii="Arial" w:eastAsiaTheme="minorHAnsi" w:hAnsi="Arial" w:cs="Arial"/>
              </w:rPr>
              <w:t xml:space="preserve">Municipalities use local green standards to mitigate the local impacts of climate change (e.g., managing stormwater, flooding, etc.) and to meet local environmental targets. Removing this ability would limit a municipality’s autonomy and decision-making. It would create a challenge for municipalities to ensure new development aligns with local values, environmental protection and sustainable design. </w:t>
            </w:r>
          </w:p>
        </w:tc>
      </w:tr>
      <w:tr w:rsidR="00BD6D8D" w:rsidRPr="00915E45" w14:paraId="4348E44C" w14:textId="77777777" w:rsidTr="000E79E6">
        <w:tc>
          <w:tcPr>
            <w:tcW w:w="785" w:type="dxa"/>
          </w:tcPr>
          <w:p w14:paraId="29583A04" w14:textId="77777777" w:rsidR="00BD6D8D" w:rsidRPr="00915E45" w:rsidRDefault="00BD6D8D" w:rsidP="000E79E6">
            <w:pPr>
              <w:rPr>
                <w:rFonts w:ascii="Arial" w:eastAsiaTheme="minorHAnsi" w:hAnsi="Arial" w:cs="Arial"/>
              </w:rPr>
            </w:pPr>
            <w:r>
              <w:rPr>
                <w:rFonts w:ascii="Arial" w:eastAsiaTheme="minorHAnsi" w:hAnsi="Arial" w:cs="Arial"/>
              </w:rPr>
              <w:t>4</w:t>
            </w:r>
          </w:p>
        </w:tc>
        <w:tc>
          <w:tcPr>
            <w:tcW w:w="1490" w:type="dxa"/>
            <w:vMerge/>
          </w:tcPr>
          <w:p w14:paraId="38B675DC" w14:textId="77777777" w:rsidR="00BD6D8D" w:rsidRPr="00915E45" w:rsidRDefault="00BD6D8D" w:rsidP="000E79E6">
            <w:pPr>
              <w:rPr>
                <w:rFonts w:ascii="Arial" w:eastAsiaTheme="minorHAnsi" w:hAnsi="Arial" w:cs="Arial"/>
              </w:rPr>
            </w:pPr>
          </w:p>
        </w:tc>
        <w:tc>
          <w:tcPr>
            <w:tcW w:w="2094" w:type="dxa"/>
            <w:vMerge/>
          </w:tcPr>
          <w:p w14:paraId="4AD43A8F" w14:textId="77777777" w:rsidR="00BD6D8D" w:rsidRPr="00915E45" w:rsidRDefault="00BD6D8D" w:rsidP="000E79E6">
            <w:pPr>
              <w:rPr>
                <w:rFonts w:ascii="Arial" w:eastAsiaTheme="minorHAnsi" w:hAnsi="Arial" w:cs="Arial"/>
              </w:rPr>
            </w:pPr>
          </w:p>
        </w:tc>
        <w:tc>
          <w:tcPr>
            <w:tcW w:w="8581" w:type="dxa"/>
          </w:tcPr>
          <w:p w14:paraId="4AD75E49" w14:textId="77777777" w:rsidR="00BD6D8D" w:rsidRPr="00915E45" w:rsidRDefault="00BD6D8D" w:rsidP="000E79E6">
            <w:pPr>
              <w:rPr>
                <w:rFonts w:ascii="Arial" w:eastAsiaTheme="minorHAnsi" w:hAnsi="Arial" w:cs="Arial"/>
              </w:rPr>
            </w:pPr>
            <w:r w:rsidRPr="00915E45">
              <w:rPr>
                <w:rFonts w:ascii="Arial" w:eastAsiaTheme="minorHAnsi" w:hAnsi="Arial" w:cs="Arial"/>
                <w:color w:val="000000"/>
                <w:shd w:val="clear" w:color="auto" w:fill="FFFFFF"/>
              </w:rPr>
              <w:t xml:space="preserve">The </w:t>
            </w:r>
            <w:proofErr w:type="gramStart"/>
            <w:r w:rsidRPr="00915E45">
              <w:rPr>
                <w:rFonts w:ascii="Arial" w:eastAsiaTheme="minorHAnsi" w:hAnsi="Arial" w:cs="Arial"/>
                <w:color w:val="000000"/>
                <w:shd w:val="clear" w:color="auto" w:fill="FFFFFF"/>
              </w:rPr>
              <w:t>Province's</w:t>
            </w:r>
            <w:proofErr w:type="gramEnd"/>
            <w:r w:rsidRPr="00915E45">
              <w:rPr>
                <w:rFonts w:ascii="Arial" w:eastAsiaTheme="minorHAnsi" w:hAnsi="Arial" w:cs="Arial"/>
                <w:color w:val="000000"/>
                <w:shd w:val="clear" w:color="auto" w:fill="FFFFFF"/>
              </w:rPr>
              <w:t xml:space="preserve"> proposed prohibition of enhanced development standards at the lot level has potential unintended consequences and should be reconsidered. The ability of municipalities to implement enhanced development standards through land use tools such as zoning, site plan control, agreements and conditions of approval should be retained with provincial guidance that promotes consistency of standards across municipalities.</w:t>
            </w:r>
          </w:p>
        </w:tc>
      </w:tr>
      <w:tr w:rsidR="00BD6D8D" w:rsidRPr="00915E45" w14:paraId="4902281A" w14:textId="77777777" w:rsidTr="000E79E6">
        <w:tc>
          <w:tcPr>
            <w:tcW w:w="785" w:type="dxa"/>
          </w:tcPr>
          <w:p w14:paraId="5E6AFFEA" w14:textId="77777777" w:rsidR="00BD6D8D" w:rsidRPr="00915E45" w:rsidRDefault="00BD6D8D" w:rsidP="000E79E6">
            <w:pPr>
              <w:rPr>
                <w:rFonts w:ascii="Arial" w:eastAsiaTheme="minorHAnsi" w:hAnsi="Arial" w:cs="Arial"/>
              </w:rPr>
            </w:pPr>
            <w:r>
              <w:rPr>
                <w:rFonts w:ascii="Arial" w:eastAsiaTheme="minorHAnsi" w:hAnsi="Arial" w:cs="Arial"/>
              </w:rPr>
              <w:t>5</w:t>
            </w:r>
          </w:p>
        </w:tc>
        <w:tc>
          <w:tcPr>
            <w:tcW w:w="1490" w:type="dxa"/>
            <w:vMerge/>
          </w:tcPr>
          <w:p w14:paraId="49E898B6" w14:textId="77777777" w:rsidR="00BD6D8D" w:rsidRPr="00915E45" w:rsidRDefault="00BD6D8D" w:rsidP="000E79E6">
            <w:pPr>
              <w:rPr>
                <w:rFonts w:ascii="Arial" w:eastAsiaTheme="minorHAnsi" w:hAnsi="Arial" w:cs="Arial"/>
              </w:rPr>
            </w:pPr>
          </w:p>
        </w:tc>
        <w:tc>
          <w:tcPr>
            <w:tcW w:w="2094" w:type="dxa"/>
            <w:vMerge/>
          </w:tcPr>
          <w:p w14:paraId="7B375CC0" w14:textId="77777777" w:rsidR="00BD6D8D" w:rsidRPr="00915E45" w:rsidRDefault="00BD6D8D" w:rsidP="000E79E6">
            <w:pPr>
              <w:rPr>
                <w:rFonts w:ascii="Arial" w:eastAsiaTheme="minorHAnsi" w:hAnsi="Arial" w:cs="Arial"/>
              </w:rPr>
            </w:pPr>
          </w:p>
        </w:tc>
        <w:tc>
          <w:tcPr>
            <w:tcW w:w="8581" w:type="dxa"/>
          </w:tcPr>
          <w:p w14:paraId="15EE1B67" w14:textId="77777777" w:rsidR="00BD6D8D" w:rsidRPr="00915E45" w:rsidRDefault="00BD6D8D" w:rsidP="000E79E6">
            <w:pPr>
              <w:rPr>
                <w:rFonts w:ascii="Arial" w:hAnsi="Arial" w:cs="Arial"/>
                <w:color w:val="000000"/>
              </w:rPr>
            </w:pPr>
            <w:r w:rsidRPr="75B595F0">
              <w:rPr>
                <w:rFonts w:ascii="Arial" w:hAnsi="Arial" w:cs="Arial"/>
                <w:color w:val="000000" w:themeColor="text1"/>
              </w:rPr>
              <w:t xml:space="preserve">The </w:t>
            </w:r>
            <w:proofErr w:type="gramStart"/>
            <w:r w:rsidRPr="75B595F0">
              <w:rPr>
                <w:rFonts w:ascii="Arial" w:hAnsi="Arial" w:cs="Arial"/>
                <w:color w:val="000000" w:themeColor="text1"/>
              </w:rPr>
              <w:t>City</w:t>
            </w:r>
            <w:proofErr w:type="gramEnd"/>
            <w:r w:rsidRPr="75B595F0">
              <w:rPr>
                <w:rFonts w:ascii="Arial" w:hAnsi="Arial" w:cs="Arial"/>
                <w:color w:val="000000" w:themeColor="text1"/>
              </w:rPr>
              <w:t xml:space="preserve"> uses local green standards to mitigate the local impacts of climate change (i.e., managing stormwater, flooding, green roofs etc.) and to meet local environmental targets. </w:t>
            </w:r>
          </w:p>
          <w:p w14:paraId="6A9DF663" w14:textId="77777777" w:rsidR="00BD6D8D" w:rsidRPr="00915E45" w:rsidRDefault="00BD6D8D" w:rsidP="000E79E6">
            <w:pPr>
              <w:rPr>
                <w:rFonts w:ascii="Arial" w:eastAsiaTheme="minorHAnsi" w:hAnsi="Arial" w:cs="Arial"/>
                <w:color w:val="000000"/>
                <w:shd w:val="clear" w:color="auto" w:fill="FFFFFF"/>
              </w:rPr>
            </w:pPr>
            <w:r w:rsidRPr="00915E45">
              <w:rPr>
                <w:rFonts w:ascii="Arial" w:hAnsi="Arial" w:cs="Arial"/>
                <w:color w:val="000000"/>
              </w:rPr>
              <w:lastRenderedPageBreak/>
              <w:t>This proposal may eliminate local democratic control over land use, making it harder for municipalities to ensure new development aligns with local values, environmental protection, and sustainable design.</w:t>
            </w:r>
          </w:p>
        </w:tc>
      </w:tr>
      <w:tr w:rsidR="00BD6D8D" w:rsidRPr="00915E45" w14:paraId="6A9FC106" w14:textId="77777777" w:rsidTr="000E79E6">
        <w:tc>
          <w:tcPr>
            <w:tcW w:w="785" w:type="dxa"/>
          </w:tcPr>
          <w:p w14:paraId="72C95C1D" w14:textId="77777777" w:rsidR="00BD6D8D" w:rsidRPr="00915E45" w:rsidRDefault="00BD6D8D" w:rsidP="000E79E6">
            <w:pPr>
              <w:rPr>
                <w:rFonts w:ascii="Arial" w:eastAsiaTheme="minorHAnsi" w:hAnsi="Arial" w:cs="Arial"/>
              </w:rPr>
            </w:pPr>
            <w:r>
              <w:rPr>
                <w:rFonts w:ascii="Arial" w:eastAsiaTheme="minorHAnsi" w:hAnsi="Arial" w:cs="Arial"/>
              </w:rPr>
              <w:lastRenderedPageBreak/>
              <w:t>6</w:t>
            </w:r>
          </w:p>
        </w:tc>
        <w:tc>
          <w:tcPr>
            <w:tcW w:w="1490" w:type="dxa"/>
            <w:vMerge/>
          </w:tcPr>
          <w:p w14:paraId="31DFA93D" w14:textId="77777777" w:rsidR="00BD6D8D" w:rsidRPr="00915E45" w:rsidRDefault="00BD6D8D" w:rsidP="000E79E6">
            <w:pPr>
              <w:rPr>
                <w:rFonts w:ascii="Arial" w:eastAsiaTheme="minorHAnsi" w:hAnsi="Arial" w:cs="Arial"/>
              </w:rPr>
            </w:pPr>
          </w:p>
        </w:tc>
        <w:tc>
          <w:tcPr>
            <w:tcW w:w="2094" w:type="dxa"/>
            <w:vMerge/>
          </w:tcPr>
          <w:p w14:paraId="6C6C67CB" w14:textId="77777777" w:rsidR="00BD6D8D" w:rsidRPr="00915E45" w:rsidRDefault="00BD6D8D" w:rsidP="000E79E6">
            <w:pPr>
              <w:rPr>
                <w:rFonts w:ascii="Arial" w:eastAsiaTheme="minorHAnsi" w:hAnsi="Arial" w:cs="Arial"/>
              </w:rPr>
            </w:pPr>
          </w:p>
        </w:tc>
        <w:tc>
          <w:tcPr>
            <w:tcW w:w="8581" w:type="dxa"/>
          </w:tcPr>
          <w:p w14:paraId="15D6C066" w14:textId="77777777" w:rsidR="00BD6D8D" w:rsidRPr="00915E45" w:rsidRDefault="00BD6D8D" w:rsidP="000E79E6">
            <w:pPr>
              <w:rPr>
                <w:rFonts w:ascii="Arial" w:eastAsiaTheme="minorHAnsi" w:hAnsi="Arial" w:cs="Arial"/>
                <w:color w:val="000000"/>
                <w:shd w:val="clear" w:color="auto" w:fill="FFFFFF"/>
              </w:rPr>
            </w:pPr>
            <w:r w:rsidRPr="00915E45">
              <w:rPr>
                <w:rFonts w:ascii="Arial" w:hAnsi="Arial" w:cs="Arial"/>
                <w:color w:val="000000"/>
              </w:rPr>
              <w:t>This proposal prioritizes the speed of construction, however, may inadvertently undercut the tools that municipalities rely on to implement locally tailored, climate-conscious development and transportation infrastructure.</w:t>
            </w:r>
          </w:p>
        </w:tc>
      </w:tr>
      <w:tr w:rsidR="00BD6D8D" w:rsidRPr="00915E45" w14:paraId="06190D4D" w14:textId="77777777" w:rsidTr="000E79E6">
        <w:tc>
          <w:tcPr>
            <w:tcW w:w="785" w:type="dxa"/>
          </w:tcPr>
          <w:p w14:paraId="0DBCF752" w14:textId="77777777" w:rsidR="00BD6D8D" w:rsidRPr="00915E45" w:rsidRDefault="00BD6D8D" w:rsidP="000E79E6">
            <w:pPr>
              <w:rPr>
                <w:rFonts w:ascii="Arial" w:eastAsiaTheme="minorHAnsi" w:hAnsi="Arial" w:cs="Arial"/>
              </w:rPr>
            </w:pPr>
            <w:r>
              <w:rPr>
                <w:rFonts w:ascii="Arial" w:eastAsiaTheme="minorHAnsi" w:hAnsi="Arial" w:cs="Arial"/>
              </w:rPr>
              <w:t>7</w:t>
            </w:r>
          </w:p>
        </w:tc>
        <w:tc>
          <w:tcPr>
            <w:tcW w:w="1490" w:type="dxa"/>
            <w:vMerge/>
          </w:tcPr>
          <w:p w14:paraId="2568CD19" w14:textId="77777777" w:rsidR="00BD6D8D" w:rsidRPr="00915E45" w:rsidRDefault="00BD6D8D" w:rsidP="000E79E6">
            <w:pPr>
              <w:rPr>
                <w:rFonts w:ascii="Arial" w:eastAsiaTheme="minorHAnsi" w:hAnsi="Arial" w:cs="Arial"/>
              </w:rPr>
            </w:pPr>
          </w:p>
        </w:tc>
        <w:tc>
          <w:tcPr>
            <w:tcW w:w="2094" w:type="dxa"/>
            <w:vMerge/>
          </w:tcPr>
          <w:p w14:paraId="4090F66C" w14:textId="77777777" w:rsidR="00BD6D8D" w:rsidRPr="00915E45" w:rsidRDefault="00BD6D8D" w:rsidP="000E79E6">
            <w:pPr>
              <w:rPr>
                <w:rFonts w:ascii="Arial" w:eastAsiaTheme="minorHAnsi" w:hAnsi="Arial" w:cs="Arial"/>
              </w:rPr>
            </w:pPr>
          </w:p>
        </w:tc>
        <w:tc>
          <w:tcPr>
            <w:tcW w:w="8581" w:type="dxa"/>
          </w:tcPr>
          <w:p w14:paraId="144A6BDF" w14:textId="77777777" w:rsidR="00BD6D8D" w:rsidRPr="00915E45" w:rsidRDefault="00BD6D8D" w:rsidP="000E79E6">
            <w:pPr>
              <w:rPr>
                <w:rFonts w:ascii="Arial" w:hAnsi="Arial" w:cs="Arial"/>
                <w:color w:val="000000"/>
              </w:rPr>
            </w:pPr>
            <w:r w:rsidRPr="00915E45">
              <w:rPr>
                <w:rFonts w:ascii="Arial" w:hAnsi="Arial" w:cs="Arial"/>
                <w:color w:val="000000"/>
              </w:rPr>
              <w:t xml:space="preserve">The </w:t>
            </w:r>
            <w:proofErr w:type="gramStart"/>
            <w:r w:rsidRPr="00915E45">
              <w:rPr>
                <w:rFonts w:ascii="Arial" w:hAnsi="Arial" w:cs="Arial"/>
                <w:color w:val="000000"/>
              </w:rPr>
              <w:t>City</w:t>
            </w:r>
            <w:proofErr w:type="gramEnd"/>
            <w:r w:rsidRPr="00915E45">
              <w:rPr>
                <w:rFonts w:ascii="Arial" w:hAnsi="Arial" w:cs="Arial"/>
                <w:color w:val="000000"/>
              </w:rPr>
              <w:t xml:space="preserve"> requests clarification on the definition of “enhanced development standards” and matters included as part of the definition. The proposal details include a broad list of examples that could be considered enhanced development standards including native tree planting, soil volume and bike racks, while noting that the definition is not limited to such items. For example, does the inclusion of “vegetative elements” on the list of examples of enhanced development standards include requirements from municipalities to protect and replace tree canopy on development sites? </w:t>
            </w:r>
          </w:p>
        </w:tc>
      </w:tr>
      <w:tr w:rsidR="00BD6D8D" w:rsidRPr="00915E45" w14:paraId="524A79C9" w14:textId="77777777" w:rsidTr="000E79E6">
        <w:tc>
          <w:tcPr>
            <w:tcW w:w="785" w:type="dxa"/>
          </w:tcPr>
          <w:p w14:paraId="0A1FFACC" w14:textId="77777777" w:rsidR="00BD6D8D" w:rsidRPr="00915E45" w:rsidRDefault="00BD6D8D" w:rsidP="000E79E6">
            <w:pPr>
              <w:rPr>
                <w:rFonts w:ascii="Arial" w:eastAsiaTheme="minorHAnsi" w:hAnsi="Arial" w:cs="Arial"/>
              </w:rPr>
            </w:pPr>
            <w:r>
              <w:rPr>
                <w:rFonts w:ascii="Arial" w:eastAsiaTheme="minorHAnsi" w:hAnsi="Arial" w:cs="Arial"/>
              </w:rPr>
              <w:t>8</w:t>
            </w:r>
          </w:p>
        </w:tc>
        <w:tc>
          <w:tcPr>
            <w:tcW w:w="1490" w:type="dxa"/>
            <w:vMerge/>
          </w:tcPr>
          <w:p w14:paraId="07E523F4" w14:textId="77777777" w:rsidR="00BD6D8D" w:rsidRPr="00915E45" w:rsidRDefault="00BD6D8D" w:rsidP="000E79E6">
            <w:pPr>
              <w:rPr>
                <w:rFonts w:ascii="Arial" w:eastAsiaTheme="minorHAnsi" w:hAnsi="Arial" w:cs="Arial"/>
              </w:rPr>
            </w:pPr>
          </w:p>
        </w:tc>
        <w:tc>
          <w:tcPr>
            <w:tcW w:w="2094" w:type="dxa"/>
            <w:vMerge/>
          </w:tcPr>
          <w:p w14:paraId="7CA0F1D2" w14:textId="77777777" w:rsidR="00BD6D8D" w:rsidRPr="00915E45" w:rsidRDefault="00BD6D8D" w:rsidP="000E79E6">
            <w:pPr>
              <w:rPr>
                <w:rFonts w:ascii="Arial" w:eastAsiaTheme="minorHAnsi" w:hAnsi="Arial" w:cs="Arial"/>
              </w:rPr>
            </w:pPr>
          </w:p>
        </w:tc>
        <w:tc>
          <w:tcPr>
            <w:tcW w:w="8581" w:type="dxa"/>
          </w:tcPr>
          <w:p w14:paraId="456A0F9B" w14:textId="77777777" w:rsidR="00BD6D8D" w:rsidRPr="00915E45" w:rsidRDefault="00BD6D8D" w:rsidP="000E79E6">
            <w:pPr>
              <w:rPr>
                <w:rFonts w:ascii="Arial" w:hAnsi="Arial" w:cs="Arial"/>
                <w:color w:val="000000"/>
              </w:rPr>
            </w:pPr>
            <w:r w:rsidRPr="00915E45">
              <w:rPr>
                <w:rFonts w:ascii="Arial" w:hAnsi="Arial" w:cs="Arial"/>
                <w:color w:val="000000"/>
              </w:rPr>
              <w:t>Health, safety, and accessibility are stated as Provincial Interests in the Planning Act R.S.O 1990, Section 2 (h)(h.1</w:t>
            </w:r>
            <w:proofErr w:type="gramStart"/>
            <w:r w:rsidRPr="00915E45">
              <w:rPr>
                <w:rFonts w:ascii="Arial" w:hAnsi="Arial" w:cs="Arial"/>
                <w:color w:val="000000"/>
              </w:rPr>
              <w:t>),(</w:t>
            </w:r>
            <w:proofErr w:type="gramEnd"/>
            <w:r w:rsidRPr="00915E45">
              <w:rPr>
                <w:rFonts w:ascii="Arial" w:hAnsi="Arial" w:cs="Arial"/>
                <w:color w:val="000000"/>
              </w:rPr>
              <w:t xml:space="preserve">o), which are matters to be carried out for local municipalities. Enhanced development standards are tools to implement and support provincial legislation and the City’s Official Plan, which are directly tied to maintaining health and safety. </w:t>
            </w:r>
          </w:p>
          <w:p w14:paraId="10E59324" w14:textId="77777777" w:rsidR="00BD6D8D" w:rsidRPr="00915E45" w:rsidRDefault="00BD6D8D" w:rsidP="000E79E6">
            <w:pPr>
              <w:rPr>
                <w:rFonts w:ascii="Arial" w:hAnsi="Arial" w:cs="Arial"/>
                <w:color w:val="000000"/>
              </w:rPr>
            </w:pPr>
            <w:r w:rsidRPr="00915E45">
              <w:rPr>
                <w:rFonts w:ascii="Arial" w:hAnsi="Arial" w:cs="Arial"/>
                <w:color w:val="000000"/>
              </w:rPr>
              <w:t xml:space="preserve">The </w:t>
            </w:r>
            <w:proofErr w:type="gramStart"/>
            <w:r w:rsidRPr="00915E45">
              <w:rPr>
                <w:rFonts w:ascii="Arial" w:hAnsi="Arial" w:cs="Arial"/>
                <w:color w:val="000000"/>
              </w:rPr>
              <w:t>Province</w:t>
            </w:r>
            <w:proofErr w:type="gramEnd"/>
            <w:r w:rsidRPr="00915E45">
              <w:rPr>
                <w:rFonts w:ascii="Arial" w:hAnsi="Arial" w:cs="Arial"/>
                <w:color w:val="000000"/>
              </w:rPr>
              <w:t xml:space="preserve"> should continue to allow municipalities to implement and enforce lot-level standards for climate-resilient design (such as tree canopy protection, minimum soil volume and permeable paving) through the development review process, as they are tied directly to public health and safety.</w:t>
            </w:r>
          </w:p>
        </w:tc>
      </w:tr>
      <w:tr w:rsidR="00BD6D8D" w:rsidRPr="00915E45" w14:paraId="478A4EB4" w14:textId="77777777" w:rsidTr="000E79E6">
        <w:tc>
          <w:tcPr>
            <w:tcW w:w="785" w:type="dxa"/>
          </w:tcPr>
          <w:p w14:paraId="0E2EE638" w14:textId="77777777" w:rsidR="00BD6D8D" w:rsidRPr="00915E45" w:rsidRDefault="00BD6D8D" w:rsidP="000E79E6">
            <w:pPr>
              <w:rPr>
                <w:rFonts w:ascii="Arial" w:eastAsiaTheme="minorHAnsi" w:hAnsi="Arial" w:cs="Arial"/>
              </w:rPr>
            </w:pPr>
            <w:r>
              <w:rPr>
                <w:rFonts w:ascii="Arial" w:eastAsiaTheme="minorHAnsi" w:hAnsi="Arial" w:cs="Arial"/>
              </w:rPr>
              <w:t>9</w:t>
            </w:r>
          </w:p>
        </w:tc>
        <w:tc>
          <w:tcPr>
            <w:tcW w:w="1490" w:type="dxa"/>
            <w:vMerge/>
          </w:tcPr>
          <w:p w14:paraId="3842AFC9" w14:textId="77777777" w:rsidR="00BD6D8D" w:rsidRPr="00915E45" w:rsidRDefault="00BD6D8D" w:rsidP="000E79E6">
            <w:pPr>
              <w:rPr>
                <w:rFonts w:ascii="Arial" w:eastAsiaTheme="minorHAnsi" w:hAnsi="Arial" w:cs="Arial"/>
              </w:rPr>
            </w:pPr>
          </w:p>
        </w:tc>
        <w:tc>
          <w:tcPr>
            <w:tcW w:w="2094" w:type="dxa"/>
            <w:vMerge/>
          </w:tcPr>
          <w:p w14:paraId="715E89C2" w14:textId="77777777" w:rsidR="00BD6D8D" w:rsidRPr="00915E45" w:rsidRDefault="00BD6D8D" w:rsidP="000E79E6">
            <w:pPr>
              <w:rPr>
                <w:rFonts w:ascii="Arial" w:eastAsiaTheme="minorHAnsi" w:hAnsi="Arial" w:cs="Arial"/>
              </w:rPr>
            </w:pPr>
          </w:p>
        </w:tc>
        <w:tc>
          <w:tcPr>
            <w:tcW w:w="8581" w:type="dxa"/>
          </w:tcPr>
          <w:p w14:paraId="52D7CC37" w14:textId="77777777" w:rsidR="00BD6D8D" w:rsidRPr="00915E45" w:rsidRDefault="00BD6D8D" w:rsidP="000E79E6">
            <w:pPr>
              <w:rPr>
                <w:rFonts w:ascii="Arial" w:hAnsi="Arial" w:cs="Arial"/>
                <w:color w:val="000000"/>
              </w:rPr>
            </w:pPr>
            <w:r w:rsidRPr="75B595F0">
              <w:rPr>
                <w:rFonts w:ascii="Arial" w:hAnsi="Arial" w:cs="Arial"/>
                <w:color w:val="000000" w:themeColor="text1"/>
              </w:rPr>
              <w:t xml:space="preserve">Enhanced development standards including but not limited to soil volume, native tree planting and increasing tree canopy relate to ensuring healthy trees grow to the fullest potential and reach maturity. Healthy trees directly relate to the improvement of public health by creating comfortable, safe, and accessible spaces that provide relief from extreme weather. In addition, the inclusion of vegetative elements as enhanced development standards </w:t>
            </w:r>
            <w:proofErr w:type="gramStart"/>
            <w:r w:rsidRPr="75B595F0">
              <w:rPr>
                <w:rFonts w:ascii="Arial" w:hAnsi="Arial" w:cs="Arial"/>
                <w:color w:val="000000" w:themeColor="text1"/>
              </w:rPr>
              <w:t>support</w:t>
            </w:r>
            <w:proofErr w:type="gramEnd"/>
            <w:r w:rsidRPr="75B595F0">
              <w:rPr>
                <w:rFonts w:ascii="Arial" w:hAnsi="Arial" w:cs="Arial"/>
                <w:color w:val="000000" w:themeColor="text1"/>
              </w:rPr>
              <w:t xml:space="preserve"> mitigating environmental impacts of heat island effect, slow down storm runoff, improve air and water quality, increase biodiversity and many other environmental, social and economic benefits. Prohibiting lot-level soil volume, on-lot tree planting and tree protection would impact the long-term viability of trees, </w:t>
            </w:r>
            <w:r w:rsidRPr="75B595F0">
              <w:rPr>
                <w:rFonts w:ascii="Arial" w:hAnsi="Arial" w:cs="Arial"/>
                <w:color w:val="000000" w:themeColor="text1"/>
              </w:rPr>
              <w:lastRenderedPageBreak/>
              <w:t>reduce canopy and increase future maintenance/removal costs, affecting canopy targets, urban heat island mitigation, and biodiversity goals.</w:t>
            </w:r>
          </w:p>
          <w:p w14:paraId="3BC233D2" w14:textId="77777777" w:rsidR="00BD6D8D" w:rsidRPr="00915E45" w:rsidRDefault="00BD6D8D" w:rsidP="000E79E6">
            <w:pPr>
              <w:rPr>
                <w:rFonts w:ascii="Arial" w:hAnsi="Arial" w:cs="Arial"/>
                <w:color w:val="000000"/>
              </w:rPr>
            </w:pPr>
          </w:p>
          <w:p w14:paraId="244AD0F7" w14:textId="77777777" w:rsidR="00BD6D8D" w:rsidRPr="00915E45" w:rsidRDefault="00BD6D8D" w:rsidP="000E79E6">
            <w:pPr>
              <w:rPr>
                <w:rFonts w:ascii="Arial" w:hAnsi="Arial" w:cs="Arial"/>
                <w:color w:val="000000"/>
              </w:rPr>
            </w:pPr>
            <w:r w:rsidRPr="00915E45">
              <w:rPr>
                <w:rFonts w:ascii="Arial" w:hAnsi="Arial" w:cs="Arial"/>
                <w:color w:val="000000"/>
              </w:rPr>
              <w:t xml:space="preserve">The </w:t>
            </w:r>
            <w:proofErr w:type="gramStart"/>
            <w:r w:rsidRPr="00915E45">
              <w:rPr>
                <w:rFonts w:ascii="Arial" w:hAnsi="Arial" w:cs="Arial"/>
                <w:color w:val="000000"/>
              </w:rPr>
              <w:t>Province</w:t>
            </w:r>
            <w:proofErr w:type="gramEnd"/>
            <w:r w:rsidRPr="00915E45">
              <w:rPr>
                <w:rFonts w:ascii="Arial" w:hAnsi="Arial" w:cs="Arial"/>
                <w:color w:val="000000"/>
              </w:rPr>
              <w:t xml:space="preserve"> should, in consultation with municipalities, consider developing provincial technical standards or minimum baselines for soil volumes and tree health (in consultation with municipalities) to improve consistency and provide predictability to developers. Equal or stronger standards should reside at the local level. </w:t>
            </w:r>
          </w:p>
          <w:p w14:paraId="653F46C1" w14:textId="77777777" w:rsidR="00BD6D8D" w:rsidRPr="00915E45" w:rsidRDefault="00BD6D8D" w:rsidP="000E79E6">
            <w:pPr>
              <w:rPr>
                <w:rFonts w:ascii="Arial" w:eastAsiaTheme="minorHAnsi" w:hAnsi="Arial" w:cs="Arial"/>
                <w:color w:val="000000"/>
                <w:shd w:val="clear" w:color="auto" w:fill="FFFFFF"/>
              </w:rPr>
            </w:pPr>
          </w:p>
        </w:tc>
      </w:tr>
    </w:tbl>
    <w:p w14:paraId="041163C2" w14:textId="77777777" w:rsidR="00BD6D8D" w:rsidRDefault="00BD6D8D"/>
    <w:sectPr w:rsidR="00BD6D8D" w:rsidSect="00BD6D8D">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53F4F" w14:textId="77777777" w:rsidR="00F00EDC" w:rsidRDefault="00F00EDC" w:rsidP="00BD6D8D">
      <w:r>
        <w:separator/>
      </w:r>
    </w:p>
  </w:endnote>
  <w:endnote w:type="continuationSeparator" w:id="0">
    <w:p w14:paraId="4645B3FF" w14:textId="77777777" w:rsidR="00F00EDC" w:rsidRDefault="00F00EDC" w:rsidP="00BD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7385" w14:textId="77777777" w:rsidR="00F00EDC" w:rsidRDefault="00F00EDC" w:rsidP="00BD6D8D">
      <w:r>
        <w:separator/>
      </w:r>
    </w:p>
  </w:footnote>
  <w:footnote w:type="continuationSeparator" w:id="0">
    <w:p w14:paraId="2AF4F3F2" w14:textId="77777777" w:rsidR="00F00EDC" w:rsidRDefault="00F00EDC" w:rsidP="00BD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14A6" w14:textId="77777777" w:rsidR="00BD6D8D" w:rsidRPr="00334A3A" w:rsidRDefault="00BD6D8D" w:rsidP="00BD6D8D">
    <w:pPr>
      <w:pStyle w:val="Header"/>
      <w:jc w:val="center"/>
      <w:rPr>
        <w:rFonts w:ascii="Arial" w:hAnsi="Arial" w:cs="Arial"/>
        <w:b/>
        <w:bCs/>
      </w:rPr>
    </w:pPr>
    <w:r w:rsidRPr="00334A3A">
      <w:rPr>
        <w:rFonts w:ascii="Arial" w:hAnsi="Arial" w:cs="Arial"/>
        <w:b/>
        <w:bCs/>
      </w:rPr>
      <w:t>City of Markham- Comments on Fighting Delays, Building Faster Act, 2025 (Bill 60)</w:t>
    </w:r>
  </w:p>
  <w:p w14:paraId="77E58C25" w14:textId="77777777" w:rsidR="00BD6D8D" w:rsidRDefault="00BD6D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8D"/>
    <w:rsid w:val="00BD6D8D"/>
    <w:rsid w:val="00F00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11DD"/>
  <w15:chartTrackingRefBased/>
  <w15:docId w15:val="{4563F8C1-D7D8-4470-8326-000EAFFA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D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D6D8D"/>
    <w:pPr>
      <w:spacing w:after="0" w:line="240" w:lineRule="auto"/>
    </w:pPr>
    <w:tblPr/>
  </w:style>
  <w:style w:type="table" w:styleId="TableGrid">
    <w:name w:val="Table Grid"/>
    <w:basedOn w:val="TableNormal"/>
    <w:uiPriority w:val="39"/>
    <w:rsid w:val="00BD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6D8D"/>
    <w:pPr>
      <w:tabs>
        <w:tab w:val="center" w:pos="4680"/>
        <w:tab w:val="right" w:pos="9360"/>
      </w:tabs>
    </w:pPr>
  </w:style>
  <w:style w:type="character" w:customStyle="1" w:styleId="HeaderChar">
    <w:name w:val="Header Char"/>
    <w:basedOn w:val="DefaultParagraphFont"/>
    <w:link w:val="Header"/>
    <w:uiPriority w:val="99"/>
    <w:rsid w:val="00BD6D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6D8D"/>
    <w:pPr>
      <w:tabs>
        <w:tab w:val="center" w:pos="4680"/>
        <w:tab w:val="right" w:pos="9360"/>
      </w:tabs>
    </w:pPr>
  </w:style>
  <w:style w:type="character" w:customStyle="1" w:styleId="FooterChar">
    <w:name w:val="Footer Char"/>
    <w:basedOn w:val="DefaultParagraphFont"/>
    <w:link w:val="Footer"/>
    <w:uiPriority w:val="99"/>
    <w:rsid w:val="00BD6D8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45098-501B-4A87-AC7E-19B7341B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Jessie</dc:creator>
  <cp:keywords/>
  <dc:description/>
  <cp:lastModifiedBy>Huang, Jessie</cp:lastModifiedBy>
  <cp:revision>1</cp:revision>
  <dcterms:created xsi:type="dcterms:W3CDTF">2025-11-20T21:22:00Z</dcterms:created>
  <dcterms:modified xsi:type="dcterms:W3CDTF">2025-11-20T21:24:00Z</dcterms:modified>
</cp:coreProperties>
</file>