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E7171" w14:textId="2D9114AD" w:rsidR="00171CEB" w:rsidRPr="004A7414" w:rsidRDefault="00A45E15" w:rsidP="00171CEB">
      <w:pPr>
        <w:rPr>
          <w:b/>
          <w:bCs/>
        </w:rPr>
      </w:pPr>
      <w:r>
        <w:rPr>
          <w:b/>
          <w:bCs/>
        </w:rPr>
        <w:t xml:space="preserve">City of Niagara Falls’ Comments on </w:t>
      </w:r>
      <w:r w:rsidR="00171CEB" w:rsidRPr="004A7414">
        <w:rPr>
          <w:b/>
          <w:bCs/>
        </w:rPr>
        <w:t xml:space="preserve">Ontario’s </w:t>
      </w:r>
      <w:r w:rsidR="00171CEB" w:rsidRPr="004A7414">
        <w:rPr>
          <w:b/>
          <w:bCs/>
          <w:i/>
          <w:iCs/>
        </w:rPr>
        <w:t>Special Economic Zones Act</w:t>
      </w:r>
      <w:r w:rsidR="00171CEB" w:rsidRPr="004A7414">
        <w:rPr>
          <w:b/>
          <w:bCs/>
        </w:rPr>
        <w:t>, 2025</w:t>
      </w:r>
    </w:p>
    <w:p w14:paraId="7AB2B9F0" w14:textId="77777777" w:rsidR="00171CEB" w:rsidRPr="004A7414" w:rsidRDefault="00171CEB" w:rsidP="00171CEB">
      <w:pPr>
        <w:rPr>
          <w:b/>
          <w:bCs/>
        </w:rPr>
      </w:pPr>
      <w:r w:rsidRPr="004A7414">
        <w:rPr>
          <w:b/>
          <w:bCs/>
        </w:rPr>
        <w:t>Key Facts</w:t>
      </w:r>
    </w:p>
    <w:p w14:paraId="35942DBD" w14:textId="77777777" w:rsidR="00171CEB" w:rsidRDefault="00171CEB" w:rsidP="00171CEB">
      <w:r>
        <w:t xml:space="preserve">Ontario’s </w:t>
      </w:r>
      <w:r w:rsidRPr="00707DAB">
        <w:rPr>
          <w:i/>
          <w:iCs/>
        </w:rPr>
        <w:t>Special Economic Zones Act</w:t>
      </w:r>
      <w:r>
        <w:t>, 2025 provides the authority to designate Special Economic Zones (SEZs) that are of critical or strategic importance to Ontario’s economy and security.</w:t>
      </w:r>
    </w:p>
    <w:p w14:paraId="10AB87C0" w14:textId="77777777" w:rsidR="00171CEB" w:rsidRDefault="00171CEB" w:rsidP="00171CEB">
      <w:r>
        <w:t>For an SEZ to be prescribed it must meet the following criteria</w:t>
      </w:r>
    </w:p>
    <w:p w14:paraId="1F838D4B" w14:textId="77777777" w:rsidR="00171CEB" w:rsidRDefault="00171CEB" w:rsidP="00171CEB">
      <w:pPr>
        <w:pStyle w:val="ListParagraph"/>
        <w:numPr>
          <w:ilvl w:val="0"/>
          <w:numId w:val="1"/>
        </w:numPr>
      </w:pPr>
      <w:r>
        <w:t>The area is a single area in the province (i.e. a geographically bounded area).</w:t>
      </w:r>
    </w:p>
    <w:p w14:paraId="14D04719" w14:textId="77777777" w:rsidR="00171CEB" w:rsidRDefault="00171CEB" w:rsidP="00171CEB">
      <w:pPr>
        <w:pStyle w:val="ListParagraph"/>
        <w:numPr>
          <w:ilvl w:val="0"/>
          <w:numId w:val="1"/>
        </w:numPr>
      </w:pPr>
      <w:r>
        <w:t>Activities being proposed within that area in the opinion of the Lieutenant Governor are economically significant or strategically important to the Ontario economy.</w:t>
      </w:r>
    </w:p>
    <w:p w14:paraId="15443D30" w14:textId="77777777" w:rsidR="00171CEB" w:rsidRDefault="00171CEB" w:rsidP="00171CEB">
      <w:pPr>
        <w:pStyle w:val="ListParagraph"/>
        <w:numPr>
          <w:ilvl w:val="0"/>
          <w:numId w:val="1"/>
        </w:numPr>
      </w:pPr>
      <w:r>
        <w:t>The area is no larger than necessary for its purpose.</w:t>
      </w:r>
    </w:p>
    <w:p w14:paraId="75EC0944" w14:textId="77777777" w:rsidR="00171CEB" w:rsidRDefault="00171CEB" w:rsidP="00171CEB">
      <w:r>
        <w:t xml:space="preserve">Further to designate a trusted proponent must be the proponent of a designated project and can be either the Crown in the right of Ontario, a Crown agency, a municipality or a for profit or not-for- profit entity who meets various other criteria, including having a good record of compliance with legal requirements. </w:t>
      </w:r>
    </w:p>
    <w:p w14:paraId="053184E7" w14:textId="5B29468A" w:rsidR="00171CEB" w:rsidRPr="00171CEB" w:rsidRDefault="00133FE7">
      <w:pPr>
        <w:rPr>
          <w:b/>
          <w:bCs/>
        </w:rPr>
      </w:pPr>
      <w:r>
        <w:rPr>
          <w:b/>
          <w:bCs/>
        </w:rPr>
        <w:t xml:space="preserve">City of Niagara Falls’ </w:t>
      </w:r>
      <w:r w:rsidR="00171CEB" w:rsidRPr="00171CEB">
        <w:rPr>
          <w:b/>
          <w:bCs/>
        </w:rPr>
        <w:t>Comment Matrix</w:t>
      </w:r>
      <w:r w:rsidR="00484DB6">
        <w:rPr>
          <w:b/>
          <w:bCs/>
        </w:rPr>
        <w:t xml:space="preserve"> on Special Economic Zone Criteria </w:t>
      </w:r>
    </w:p>
    <w:tbl>
      <w:tblPr>
        <w:tblStyle w:val="TableGrid"/>
        <w:tblW w:w="18000" w:type="dxa"/>
        <w:tblInd w:w="-365" w:type="dxa"/>
        <w:tblLook w:val="04A0" w:firstRow="1" w:lastRow="0" w:firstColumn="1" w:lastColumn="0" w:noHBand="0" w:noVBand="1"/>
      </w:tblPr>
      <w:tblGrid>
        <w:gridCol w:w="6930"/>
        <w:gridCol w:w="6210"/>
        <w:gridCol w:w="4860"/>
      </w:tblGrid>
      <w:tr w:rsidR="0021333A" w14:paraId="220E3C9A" w14:textId="77777777" w:rsidTr="005A15EB">
        <w:tc>
          <w:tcPr>
            <w:tcW w:w="6930" w:type="dxa"/>
            <w:shd w:val="clear" w:color="auto" w:fill="BFBFBF" w:themeFill="background1" w:themeFillShade="BF"/>
          </w:tcPr>
          <w:p w14:paraId="5A3422D6" w14:textId="77777777" w:rsidR="00C81508" w:rsidRPr="00790079" w:rsidRDefault="00C81508" w:rsidP="00C81508">
            <w:pPr>
              <w:rPr>
                <w:b/>
                <w:bCs/>
              </w:rPr>
            </w:pPr>
            <w:r w:rsidRPr="00790079">
              <w:rPr>
                <w:b/>
                <w:bCs/>
              </w:rPr>
              <w:t>Proposed Project Criteria</w:t>
            </w:r>
          </w:p>
          <w:p w14:paraId="2D51F2DB" w14:textId="31C8E4F9" w:rsidR="0021333A" w:rsidRDefault="0021333A"/>
        </w:tc>
        <w:tc>
          <w:tcPr>
            <w:tcW w:w="6210" w:type="dxa"/>
          </w:tcPr>
          <w:p w14:paraId="3BDE7FF8" w14:textId="4C0950B6" w:rsidR="0021333A" w:rsidRPr="00EC3307" w:rsidRDefault="0021333A" w:rsidP="00EC3307">
            <w:pPr>
              <w:jc w:val="center"/>
              <w:rPr>
                <w:b/>
                <w:bCs/>
              </w:rPr>
            </w:pPr>
            <w:r w:rsidRPr="00EC3307">
              <w:rPr>
                <w:b/>
                <w:bCs/>
              </w:rPr>
              <w:t>Planning Staff Comments</w:t>
            </w:r>
          </w:p>
        </w:tc>
        <w:tc>
          <w:tcPr>
            <w:tcW w:w="4860" w:type="dxa"/>
          </w:tcPr>
          <w:p w14:paraId="61E020B6" w14:textId="2DEDD9CF" w:rsidR="0021333A" w:rsidRPr="005E5AF1" w:rsidRDefault="0021333A" w:rsidP="005E5AF1">
            <w:pPr>
              <w:jc w:val="center"/>
              <w:rPr>
                <w:b/>
                <w:bCs/>
              </w:rPr>
            </w:pPr>
            <w:r w:rsidRPr="005E5AF1">
              <w:rPr>
                <w:b/>
                <w:bCs/>
              </w:rPr>
              <w:t>Economic Development Staff Comments</w:t>
            </w:r>
          </w:p>
        </w:tc>
      </w:tr>
      <w:tr w:rsidR="0021333A" w14:paraId="0303BE23" w14:textId="77777777" w:rsidTr="005A15EB">
        <w:tc>
          <w:tcPr>
            <w:tcW w:w="6930" w:type="dxa"/>
          </w:tcPr>
          <w:p w14:paraId="72AB88A9" w14:textId="77777777" w:rsidR="0021333A" w:rsidRDefault="0021333A">
            <w:r w:rsidRPr="004E5144">
              <w:rPr>
                <w:b/>
                <w:bCs/>
              </w:rPr>
              <w:t>Significant and Long-Term Economic Benefits</w:t>
            </w:r>
            <w:r>
              <w:t xml:space="preserve"> for Ontario. This could look like:</w:t>
            </w:r>
          </w:p>
          <w:p w14:paraId="4BF4E42D" w14:textId="77777777" w:rsidR="0021333A" w:rsidRDefault="0021333A">
            <w:r>
              <w:t xml:space="preserve"> • Strong positive impact on job creation, critical supply chains, economic resilience, provincial security, GDP, wages, taxes, workforce and skills development, technology and innovation, etc.</w:t>
            </w:r>
          </w:p>
          <w:p w14:paraId="1737B597" w14:textId="39A6B830" w:rsidR="0021333A" w:rsidRDefault="0021333A">
            <w:r>
              <w:t xml:space="preserve"> • Using Ontario-made goods and services to provide broader economic benefit and create more jobs.</w:t>
            </w:r>
          </w:p>
        </w:tc>
        <w:tc>
          <w:tcPr>
            <w:tcW w:w="6210" w:type="dxa"/>
          </w:tcPr>
          <w:p w14:paraId="729DE66B" w14:textId="77777777" w:rsidR="0021333A" w:rsidRDefault="0021333A" w:rsidP="009B18D4">
            <w:r>
              <w:t>The criteria as written are vague and would be challenging to address without the provision of some form of metrics to help determine what is a “</w:t>
            </w:r>
            <w:r w:rsidRPr="000E0553">
              <w:rPr>
                <w:i/>
                <w:iCs/>
              </w:rPr>
              <w:t>strong positive impact</w:t>
            </w:r>
            <w:r>
              <w:t>”.  As well, how does one measure a “</w:t>
            </w:r>
            <w:r w:rsidRPr="00C142F8">
              <w:rPr>
                <w:i/>
                <w:iCs/>
              </w:rPr>
              <w:t>high likelihood of success</w:t>
            </w:r>
            <w:r>
              <w:t xml:space="preserve">.”  In Niagara Falls’ potential SEZ request for a new southern strategic employment area, without the knowledge as to who would be manufacturer/s to locate on these lands, the </w:t>
            </w:r>
            <w:proofErr w:type="gramStart"/>
            <w:r>
              <w:t>City</w:t>
            </w:r>
            <w:proofErr w:type="gramEnd"/>
            <w:r>
              <w:t xml:space="preserve"> may have difficulty in quantifying the significance of the SEZ project (i.e. job creation, GDP increase etc.).  These metrics are required to be quantified and known ahead of time to justify the SEZ designation and approach.  </w:t>
            </w:r>
          </w:p>
          <w:p w14:paraId="4A01CBF7" w14:textId="77777777" w:rsidR="0021333A" w:rsidRDefault="0021333A"/>
          <w:p w14:paraId="584175B5" w14:textId="37C9FE4F" w:rsidR="00532BF7" w:rsidRDefault="00532BF7">
            <w:r>
              <w:t>Beyond the manufacturing sector that creates goods some consideration should be given for tourism related jobs and attractions as these create long term economic benefit for Ontario and they create jobs,</w:t>
            </w:r>
            <w:r w:rsidR="00916C7B">
              <w:t xml:space="preserve"> foreign </w:t>
            </w:r>
            <w:r w:rsidR="00E237A1">
              <w:t>investment, increased</w:t>
            </w:r>
            <w:r>
              <w:t xml:space="preserve"> GDP, taxes, and create spin off jobs </w:t>
            </w:r>
            <w:r w:rsidR="00916C7B">
              <w:t>such as</w:t>
            </w:r>
            <w:r>
              <w:t xml:space="preserve"> transportation related jobs, entertainment and </w:t>
            </w:r>
            <w:r w:rsidR="00916C7B">
              <w:t xml:space="preserve">restaurants, spas </w:t>
            </w:r>
            <w:r>
              <w:t xml:space="preserve">etc. </w:t>
            </w:r>
          </w:p>
          <w:p w14:paraId="70C248CC" w14:textId="77777777" w:rsidR="00532BF7" w:rsidRDefault="00532BF7"/>
          <w:p w14:paraId="4F3E2CEF" w14:textId="49616783" w:rsidR="00532BF7" w:rsidRDefault="00532BF7"/>
        </w:tc>
        <w:tc>
          <w:tcPr>
            <w:tcW w:w="4860" w:type="dxa"/>
          </w:tcPr>
          <w:p w14:paraId="1F4EA6D1" w14:textId="77777777" w:rsidR="0021333A" w:rsidRDefault="0021333A"/>
        </w:tc>
      </w:tr>
      <w:tr w:rsidR="0021333A" w14:paraId="14658581" w14:textId="77777777" w:rsidTr="005A15EB">
        <w:tc>
          <w:tcPr>
            <w:tcW w:w="6930" w:type="dxa"/>
          </w:tcPr>
          <w:p w14:paraId="33E4716C" w14:textId="77777777" w:rsidR="0021333A" w:rsidRDefault="0021333A">
            <w:r w:rsidRPr="004E5144">
              <w:rPr>
                <w:b/>
                <w:bCs/>
              </w:rPr>
              <w:t>Strengthening local communities</w:t>
            </w:r>
            <w:r>
              <w:t xml:space="preserve">. This could look like: </w:t>
            </w:r>
          </w:p>
          <w:p w14:paraId="79C41CAC" w14:textId="77777777" w:rsidR="0021333A" w:rsidRDefault="0021333A">
            <w:r>
              <w:t xml:space="preserve">• Leveraging the resources of local businesses. </w:t>
            </w:r>
          </w:p>
          <w:p w14:paraId="01E254B4" w14:textId="77777777" w:rsidR="0021333A" w:rsidRDefault="0021333A">
            <w:r>
              <w:t xml:space="preserve">• Benefit to communities within the zone and in the broader area. </w:t>
            </w:r>
          </w:p>
          <w:p w14:paraId="1CF9ADC1" w14:textId="77777777" w:rsidR="0021333A" w:rsidRDefault="0021333A">
            <w:r>
              <w:t>• Specific benefits to Indigenous peoples and communities in Ontario.</w:t>
            </w:r>
          </w:p>
          <w:p w14:paraId="41A1ED54" w14:textId="62D83F1A" w:rsidR="0021333A" w:rsidRDefault="0021333A">
            <w:r>
              <w:t xml:space="preserve"> • A plan to engage and consult with public stakeholders and Indigenous communities.</w:t>
            </w:r>
          </w:p>
        </w:tc>
        <w:tc>
          <w:tcPr>
            <w:tcW w:w="6210" w:type="dxa"/>
          </w:tcPr>
          <w:p w14:paraId="7C1A7439" w14:textId="77777777" w:rsidR="0021333A" w:rsidRDefault="0021333A"/>
        </w:tc>
        <w:tc>
          <w:tcPr>
            <w:tcW w:w="4860" w:type="dxa"/>
          </w:tcPr>
          <w:p w14:paraId="1DE9B535" w14:textId="77777777" w:rsidR="0021333A" w:rsidRDefault="0021333A"/>
        </w:tc>
      </w:tr>
      <w:tr w:rsidR="0021333A" w14:paraId="4CD1CB29" w14:textId="77777777" w:rsidTr="005A15EB">
        <w:tc>
          <w:tcPr>
            <w:tcW w:w="6930" w:type="dxa"/>
          </w:tcPr>
          <w:p w14:paraId="2E3EA05B" w14:textId="77777777" w:rsidR="0021333A" w:rsidRPr="00790079" w:rsidRDefault="0021333A">
            <w:r w:rsidRPr="00790079">
              <w:rPr>
                <w:b/>
                <w:bCs/>
              </w:rPr>
              <w:t>High Likelihood of Success</w:t>
            </w:r>
            <w:r w:rsidRPr="00790079">
              <w:t xml:space="preserve">. This could look like: </w:t>
            </w:r>
          </w:p>
          <w:p w14:paraId="4C5142EF" w14:textId="77777777" w:rsidR="0021333A" w:rsidRPr="00790079" w:rsidRDefault="0021333A">
            <w:r w:rsidRPr="00790079">
              <w:t xml:space="preserve">• </w:t>
            </w:r>
            <w:r w:rsidRPr="00790079">
              <w:rPr>
                <w:u w:val="single"/>
              </w:rPr>
              <w:t>Positioned to move forward quickly</w:t>
            </w:r>
            <w:r w:rsidRPr="00790079">
              <w:t xml:space="preserve"> once appropriate approvals have been secured and consultation completed, demonstrating a high likelihood of success in achieving the objectives listed above. </w:t>
            </w:r>
          </w:p>
          <w:p w14:paraId="5EBEC699" w14:textId="77777777" w:rsidR="0021333A" w:rsidRPr="00790079" w:rsidRDefault="0021333A">
            <w:r w:rsidRPr="00790079">
              <w:t>• Plans that address strategy, finance and communications.</w:t>
            </w:r>
          </w:p>
          <w:p w14:paraId="15BF6914" w14:textId="6481B30C" w:rsidR="0021333A" w:rsidRPr="00790079" w:rsidRDefault="0021333A">
            <w:r w:rsidRPr="00790079">
              <w:t xml:space="preserve"> • Analysis that identifies potential impact on the environment and risk mitigation.</w:t>
            </w:r>
          </w:p>
        </w:tc>
        <w:tc>
          <w:tcPr>
            <w:tcW w:w="6210" w:type="dxa"/>
          </w:tcPr>
          <w:p w14:paraId="0A812DB4" w14:textId="77777777" w:rsidR="0021333A" w:rsidRDefault="0021333A">
            <w:r>
              <w:t xml:space="preserve">If a project is economically viable and could </w:t>
            </w:r>
            <w:proofErr w:type="gramStart"/>
            <w:r>
              <w:t>be ‘shovel</w:t>
            </w:r>
            <w:proofErr w:type="gramEnd"/>
            <w:r>
              <w:t xml:space="preserve"> ready’ but missing 1 key component such as a key piece of infrastructure would the </w:t>
            </w:r>
            <w:proofErr w:type="gramStart"/>
            <w:r>
              <w:t>Province</w:t>
            </w:r>
            <w:proofErr w:type="gramEnd"/>
            <w:r>
              <w:t xml:space="preserve"> advance that infrastructure investment. </w:t>
            </w:r>
          </w:p>
          <w:p w14:paraId="0A860130" w14:textId="77777777" w:rsidR="0021333A" w:rsidRDefault="0021333A"/>
          <w:p w14:paraId="6B2ED51E" w14:textId="75474E27" w:rsidR="0021333A" w:rsidRDefault="0021333A">
            <w:r>
              <w:t xml:space="preserve">If minor environmental features were impacting the launching of a successful project would the Province entertain an opportunity for environmental offsetting. </w:t>
            </w:r>
          </w:p>
        </w:tc>
        <w:tc>
          <w:tcPr>
            <w:tcW w:w="4860" w:type="dxa"/>
          </w:tcPr>
          <w:p w14:paraId="33F5BD8B" w14:textId="4C1A8995" w:rsidR="0021333A" w:rsidRDefault="0021333A">
            <w:r>
              <w:t xml:space="preserve">Environmental regulations should be streamlined or </w:t>
            </w:r>
            <w:proofErr w:type="gramStart"/>
            <w:r>
              <w:t>reduced to the fullest extent</w:t>
            </w:r>
            <w:proofErr w:type="gramEnd"/>
            <w:r>
              <w:t xml:space="preserve"> possible </w:t>
            </w:r>
            <w:proofErr w:type="gramStart"/>
            <w:r>
              <w:t>in order to</w:t>
            </w:r>
            <w:proofErr w:type="gramEnd"/>
            <w:r>
              <w:t xml:space="preserve"> maximize the development and economic output of land that is uniquely situated for economic development.</w:t>
            </w:r>
          </w:p>
          <w:p w14:paraId="2F9367B6" w14:textId="77777777" w:rsidR="0021333A" w:rsidRDefault="0021333A"/>
          <w:p w14:paraId="7EB2CA38" w14:textId="31A49E6E" w:rsidR="0021333A" w:rsidRDefault="0021333A"/>
        </w:tc>
      </w:tr>
      <w:tr w:rsidR="0021333A" w14:paraId="62D0767E" w14:textId="77777777" w:rsidTr="005A15EB">
        <w:tc>
          <w:tcPr>
            <w:tcW w:w="6930" w:type="dxa"/>
            <w:shd w:val="clear" w:color="auto" w:fill="BFBFBF" w:themeFill="background1" w:themeFillShade="BF"/>
          </w:tcPr>
          <w:p w14:paraId="6B045EC2" w14:textId="44CF6D30" w:rsidR="0021333A" w:rsidRPr="00790079" w:rsidRDefault="0021333A">
            <w:pPr>
              <w:rPr>
                <w:b/>
                <w:bCs/>
                <w:highlight w:val="lightGray"/>
              </w:rPr>
            </w:pPr>
            <w:r w:rsidRPr="00790079">
              <w:rPr>
                <w:b/>
                <w:bCs/>
                <w:highlight w:val="lightGray"/>
              </w:rPr>
              <w:t>Proposed Proponent Criteria</w:t>
            </w:r>
          </w:p>
        </w:tc>
        <w:tc>
          <w:tcPr>
            <w:tcW w:w="6210" w:type="dxa"/>
          </w:tcPr>
          <w:p w14:paraId="21B4231A" w14:textId="23989E0C" w:rsidR="0021333A" w:rsidRDefault="0021333A" w:rsidP="005670DE"/>
        </w:tc>
        <w:tc>
          <w:tcPr>
            <w:tcW w:w="4860" w:type="dxa"/>
          </w:tcPr>
          <w:p w14:paraId="16B36235" w14:textId="77777777" w:rsidR="0021333A" w:rsidRDefault="0021333A"/>
        </w:tc>
      </w:tr>
      <w:tr w:rsidR="0021333A" w14:paraId="5FE1385F" w14:textId="77777777" w:rsidTr="005A15EB">
        <w:tc>
          <w:tcPr>
            <w:tcW w:w="6930" w:type="dxa"/>
          </w:tcPr>
          <w:p w14:paraId="7CB7407A" w14:textId="7E223A0C" w:rsidR="0021333A" w:rsidRPr="00790079" w:rsidRDefault="0021333A">
            <w:pPr>
              <w:rPr>
                <w:b/>
                <w:bCs/>
              </w:rPr>
            </w:pPr>
            <w:r w:rsidRPr="00790079">
              <w:rPr>
                <w:b/>
                <w:bCs/>
              </w:rPr>
              <w:t xml:space="preserve">Necessity </w:t>
            </w:r>
          </w:p>
          <w:p w14:paraId="725E9CC2" w14:textId="7646299C" w:rsidR="0021333A" w:rsidRDefault="0021333A">
            <w:r>
              <w:t>• Proponent Necessary to Advance Project.</w:t>
            </w:r>
          </w:p>
        </w:tc>
        <w:tc>
          <w:tcPr>
            <w:tcW w:w="6210" w:type="dxa"/>
          </w:tcPr>
          <w:p w14:paraId="32B0A847" w14:textId="4658CC14" w:rsidR="0021333A" w:rsidRDefault="005D40B5">
            <w:r>
              <w:t xml:space="preserve">A proponent should not be necessary to be </w:t>
            </w:r>
            <w:proofErr w:type="gramStart"/>
            <w:r>
              <w:t>consider</w:t>
            </w:r>
            <w:proofErr w:type="gramEnd"/>
            <w:r>
              <w:t xml:space="preserve"> for an SEZ</w:t>
            </w:r>
            <w:r w:rsidR="0030728B">
              <w:t xml:space="preserve">, </w:t>
            </w:r>
            <w:r>
              <w:t xml:space="preserve">as to attract a proponent you need to have areas to highlight and showcase and to assure them that the red tape will be reduced in these areas and there is a </w:t>
            </w:r>
            <w:r>
              <w:lastRenderedPageBreak/>
              <w:t xml:space="preserve">commitment from the government to attract these types of investments in these </w:t>
            </w:r>
            <w:proofErr w:type="gramStart"/>
            <w:r>
              <w:t>particular areas</w:t>
            </w:r>
            <w:proofErr w:type="gramEnd"/>
            <w:r>
              <w:t xml:space="preserve">. </w:t>
            </w:r>
          </w:p>
        </w:tc>
        <w:tc>
          <w:tcPr>
            <w:tcW w:w="4860" w:type="dxa"/>
          </w:tcPr>
          <w:p w14:paraId="3E34718D" w14:textId="0DC43C22" w:rsidR="0021333A" w:rsidRDefault="0021333A">
            <w:r>
              <w:lastRenderedPageBreak/>
              <w:t>Special Economic Zones should be considered even in situations where a proponent is not yet identified.</w:t>
            </w:r>
          </w:p>
        </w:tc>
      </w:tr>
      <w:tr w:rsidR="0021333A" w14:paraId="10D758DD" w14:textId="77777777" w:rsidTr="005A15EB">
        <w:tc>
          <w:tcPr>
            <w:tcW w:w="6930" w:type="dxa"/>
          </w:tcPr>
          <w:p w14:paraId="0EA5E192" w14:textId="77777777" w:rsidR="0021333A" w:rsidRDefault="0021333A">
            <w:r w:rsidRPr="00790079">
              <w:rPr>
                <w:b/>
                <w:bCs/>
              </w:rPr>
              <w:t>Team Composition</w:t>
            </w:r>
            <w:r w:rsidRPr="00790079">
              <w:t xml:space="preserve"> </w:t>
            </w:r>
          </w:p>
          <w:p w14:paraId="02D8C388" w14:textId="1D317D70" w:rsidR="0021333A" w:rsidRDefault="0021333A">
            <w:r w:rsidRPr="00790079">
              <w:t>• Will demonstrate their team will include individuals with a history of working successfully with Indigenous communities on projects.</w:t>
            </w:r>
          </w:p>
        </w:tc>
        <w:tc>
          <w:tcPr>
            <w:tcW w:w="6210" w:type="dxa"/>
          </w:tcPr>
          <w:p w14:paraId="50D1F552" w14:textId="4B4FE28B" w:rsidR="0021333A" w:rsidRDefault="0021333A">
            <w:r>
              <w:t>While a successful history of working with the Indigenous community is important</w:t>
            </w:r>
            <w:r w:rsidR="00494C06">
              <w:t>,</w:t>
            </w:r>
            <w:r>
              <w:t xml:space="preserve"> </w:t>
            </w:r>
            <w:r w:rsidR="00494C06">
              <w:t>t</w:t>
            </w:r>
            <w:r w:rsidR="005D40B5">
              <w:t xml:space="preserve">his could also limit potential proponents that want to expand their operations into the Canadian market who have never had to deal with Indigenous communities in their </w:t>
            </w:r>
            <w:r w:rsidR="00494C06">
              <w:t xml:space="preserve">home </w:t>
            </w:r>
            <w:r w:rsidR="005D40B5">
              <w:t xml:space="preserve">country. </w:t>
            </w:r>
            <w:r w:rsidR="00882A2F">
              <w:t>T</w:t>
            </w:r>
            <w:r w:rsidR="0030728B">
              <w:t>he</w:t>
            </w:r>
            <w:r w:rsidR="005D40B5">
              <w:t xml:space="preserve"> engagement plan </w:t>
            </w:r>
            <w:r w:rsidR="00882A2F">
              <w:t xml:space="preserve">is </w:t>
            </w:r>
            <w:r w:rsidR="005D40B5">
              <w:t xml:space="preserve">sufficient to ensure the proponent will work with and appropriately factor into </w:t>
            </w:r>
            <w:r w:rsidR="0030728B">
              <w:t>their work plans the engagement and where necessary the accommodation</w:t>
            </w:r>
            <w:r w:rsidR="005D40B5">
              <w:t xml:space="preserve"> of the </w:t>
            </w:r>
            <w:r w:rsidR="00882A2F">
              <w:t xml:space="preserve">Indigenous </w:t>
            </w:r>
            <w:r w:rsidR="005D40B5">
              <w:t xml:space="preserve">communities.   </w:t>
            </w:r>
          </w:p>
        </w:tc>
        <w:tc>
          <w:tcPr>
            <w:tcW w:w="4860" w:type="dxa"/>
          </w:tcPr>
          <w:p w14:paraId="21BD3E7C" w14:textId="77777777" w:rsidR="0021333A" w:rsidRDefault="0021333A"/>
        </w:tc>
      </w:tr>
      <w:tr w:rsidR="0021333A" w14:paraId="5EE52EDF" w14:textId="77777777" w:rsidTr="005A15EB">
        <w:tc>
          <w:tcPr>
            <w:tcW w:w="6930" w:type="dxa"/>
          </w:tcPr>
          <w:p w14:paraId="35EC2717" w14:textId="77777777" w:rsidR="0021333A" w:rsidRDefault="0021333A">
            <w:r w:rsidRPr="00790079">
              <w:rPr>
                <w:b/>
                <w:bCs/>
              </w:rPr>
              <w:t>Reputable Compliance Record</w:t>
            </w:r>
            <w:r>
              <w:t xml:space="preserve"> </w:t>
            </w:r>
          </w:p>
          <w:p w14:paraId="246C371B" w14:textId="77777777" w:rsidR="0021333A" w:rsidRDefault="0021333A">
            <w:r>
              <w:t>• Health and Safety</w:t>
            </w:r>
          </w:p>
          <w:p w14:paraId="77E79CD6" w14:textId="77777777" w:rsidR="0021333A" w:rsidRDefault="0021333A">
            <w:r>
              <w:t xml:space="preserve"> • Environmental</w:t>
            </w:r>
          </w:p>
          <w:p w14:paraId="322CFDE3" w14:textId="77777777" w:rsidR="0021333A" w:rsidRDefault="0021333A">
            <w:r>
              <w:t xml:space="preserve"> • Financial</w:t>
            </w:r>
          </w:p>
          <w:p w14:paraId="4C744C6F" w14:textId="1A017103" w:rsidR="0021333A" w:rsidRDefault="0021333A">
            <w:r>
              <w:t xml:space="preserve"> • Employment</w:t>
            </w:r>
          </w:p>
          <w:p w14:paraId="3078CD35" w14:textId="2E248773" w:rsidR="0021333A" w:rsidRDefault="0021333A">
            <w:r>
              <w:t xml:space="preserve"> • Regulatory</w:t>
            </w:r>
          </w:p>
        </w:tc>
        <w:tc>
          <w:tcPr>
            <w:tcW w:w="6210" w:type="dxa"/>
          </w:tcPr>
          <w:p w14:paraId="25654991" w14:textId="25AF52FB" w:rsidR="0021333A" w:rsidRDefault="0021333A">
            <w:r>
              <w:t>No comment</w:t>
            </w:r>
          </w:p>
        </w:tc>
        <w:tc>
          <w:tcPr>
            <w:tcW w:w="4860" w:type="dxa"/>
          </w:tcPr>
          <w:p w14:paraId="39C3F4F3" w14:textId="77777777" w:rsidR="0021333A" w:rsidRDefault="0021333A"/>
        </w:tc>
      </w:tr>
      <w:tr w:rsidR="0030728B" w14:paraId="058388B9" w14:textId="77777777" w:rsidTr="005A15EB">
        <w:trPr>
          <w:trHeight w:val="98"/>
        </w:trPr>
        <w:tc>
          <w:tcPr>
            <w:tcW w:w="6930" w:type="dxa"/>
          </w:tcPr>
          <w:p w14:paraId="69196FE3" w14:textId="77777777" w:rsidR="0030728B" w:rsidRPr="00790079" w:rsidRDefault="0030728B" w:rsidP="0030728B">
            <w:pPr>
              <w:rPr>
                <w:b/>
                <w:bCs/>
              </w:rPr>
            </w:pPr>
            <w:r w:rsidRPr="00790079">
              <w:rPr>
                <w:b/>
                <w:bCs/>
              </w:rPr>
              <w:t xml:space="preserve">Duty to Consult and, where Appropriate, Accommodate </w:t>
            </w:r>
          </w:p>
          <w:p w14:paraId="14D7F50A" w14:textId="477831C0" w:rsidR="0030728B" w:rsidRDefault="0030728B" w:rsidP="0030728B">
            <w:r>
              <w:t>• Designations will be made in a manner consistent with the recognition and affirmation of existing Aboriginal and treaty rights in section 35 of the Constitution Act, 1982, including the duty to consult and, where appropriate, accommodate</w:t>
            </w:r>
          </w:p>
        </w:tc>
        <w:tc>
          <w:tcPr>
            <w:tcW w:w="6210" w:type="dxa"/>
          </w:tcPr>
          <w:p w14:paraId="3BE04904" w14:textId="3E1F2558" w:rsidR="0030728B" w:rsidRDefault="0030728B" w:rsidP="0030728B">
            <w:r>
              <w:t xml:space="preserve">Concerned that this requirement could stall a project of significance. Perhaps the government should consider early negotiations with Indigenous groups especially when a proponent has been identified. These negotiations take time and effort and the purpose of this SEZ is to speed up development and cut red tape. </w:t>
            </w:r>
          </w:p>
        </w:tc>
        <w:tc>
          <w:tcPr>
            <w:tcW w:w="4860" w:type="dxa"/>
          </w:tcPr>
          <w:p w14:paraId="265DE3C4" w14:textId="77777777" w:rsidR="0030728B" w:rsidRDefault="0030728B" w:rsidP="0030728B"/>
        </w:tc>
      </w:tr>
      <w:tr w:rsidR="0030728B" w14:paraId="2A24CEA6" w14:textId="77777777" w:rsidTr="005A15EB">
        <w:trPr>
          <w:trHeight w:val="98"/>
        </w:trPr>
        <w:tc>
          <w:tcPr>
            <w:tcW w:w="6930" w:type="dxa"/>
          </w:tcPr>
          <w:p w14:paraId="0D7149D7" w14:textId="77777777" w:rsidR="0030728B" w:rsidRDefault="0030728B" w:rsidP="0030728B">
            <w:r w:rsidRPr="00790079">
              <w:rPr>
                <w:b/>
                <w:bCs/>
              </w:rPr>
              <w:t>Engagement Plan</w:t>
            </w:r>
            <w:r>
              <w:t xml:space="preserve"> </w:t>
            </w:r>
          </w:p>
          <w:p w14:paraId="2B74BA5D" w14:textId="0FE6344E" w:rsidR="0030728B" w:rsidRDefault="0030728B" w:rsidP="0030728B">
            <w:r>
              <w:t>• Develop and implement an engagement plan for working with Indigenous communities.</w:t>
            </w:r>
          </w:p>
        </w:tc>
        <w:tc>
          <w:tcPr>
            <w:tcW w:w="6210" w:type="dxa"/>
          </w:tcPr>
          <w:p w14:paraId="381E473F" w14:textId="7E182979" w:rsidR="0030728B" w:rsidRDefault="0030728B" w:rsidP="0030728B">
            <w:r>
              <w:t xml:space="preserve">This should be developed by the </w:t>
            </w:r>
            <w:proofErr w:type="gramStart"/>
            <w:r>
              <w:t>Province</w:t>
            </w:r>
            <w:proofErr w:type="gramEnd"/>
            <w:r>
              <w:t xml:space="preserve"> in advance so that proponents know what type of engagement they need to consider as part of their pro forma. </w:t>
            </w:r>
          </w:p>
        </w:tc>
        <w:tc>
          <w:tcPr>
            <w:tcW w:w="4860" w:type="dxa"/>
          </w:tcPr>
          <w:p w14:paraId="7C9FFDF8" w14:textId="77777777" w:rsidR="0030728B" w:rsidRDefault="0030728B" w:rsidP="0030728B"/>
        </w:tc>
      </w:tr>
      <w:tr w:rsidR="0030728B" w14:paraId="2DF86A07" w14:textId="77777777" w:rsidTr="005A15EB">
        <w:trPr>
          <w:trHeight w:val="98"/>
        </w:trPr>
        <w:tc>
          <w:tcPr>
            <w:tcW w:w="6930" w:type="dxa"/>
          </w:tcPr>
          <w:p w14:paraId="76C37DF1" w14:textId="58642A41" w:rsidR="0030728B" w:rsidRPr="00C17A45" w:rsidRDefault="0030728B" w:rsidP="0030728B">
            <w:pPr>
              <w:rPr>
                <w:b/>
                <w:bCs/>
              </w:rPr>
            </w:pPr>
            <w:r w:rsidRPr="00C17A45">
              <w:rPr>
                <w:b/>
                <w:bCs/>
              </w:rPr>
              <w:t>Proposed Zone Criteria</w:t>
            </w:r>
          </w:p>
        </w:tc>
        <w:tc>
          <w:tcPr>
            <w:tcW w:w="6210" w:type="dxa"/>
          </w:tcPr>
          <w:p w14:paraId="44C390A5" w14:textId="77777777" w:rsidR="0030728B" w:rsidRDefault="0030728B" w:rsidP="0030728B"/>
        </w:tc>
        <w:tc>
          <w:tcPr>
            <w:tcW w:w="4860" w:type="dxa"/>
          </w:tcPr>
          <w:p w14:paraId="1D90DACB" w14:textId="77777777" w:rsidR="0030728B" w:rsidRDefault="0030728B" w:rsidP="0030728B"/>
        </w:tc>
      </w:tr>
      <w:tr w:rsidR="0030728B" w14:paraId="7ACD9067" w14:textId="77777777" w:rsidTr="005A15EB">
        <w:trPr>
          <w:trHeight w:val="98"/>
        </w:trPr>
        <w:tc>
          <w:tcPr>
            <w:tcW w:w="6930" w:type="dxa"/>
          </w:tcPr>
          <w:p w14:paraId="24893184" w14:textId="77777777" w:rsidR="0030728B" w:rsidRPr="00C17A45" w:rsidRDefault="0030728B" w:rsidP="0030728B">
            <w:pPr>
              <w:rPr>
                <w:b/>
                <w:bCs/>
              </w:rPr>
            </w:pPr>
            <w:r w:rsidRPr="00C17A45">
              <w:rPr>
                <w:b/>
                <w:bCs/>
              </w:rPr>
              <w:t xml:space="preserve">Geographic Boundaries </w:t>
            </w:r>
          </w:p>
          <w:p w14:paraId="344944E0" w14:textId="1BC66123" w:rsidR="0030728B" w:rsidRDefault="0030728B" w:rsidP="0030728B">
            <w:r>
              <w:t xml:space="preserve">• A geographically </w:t>
            </w:r>
            <w:proofErr w:type="gramStart"/>
            <w:r>
              <w:t>bounded</w:t>
            </w:r>
            <w:proofErr w:type="gramEnd"/>
            <w:r>
              <w:t xml:space="preserve"> area within the province.</w:t>
            </w:r>
          </w:p>
        </w:tc>
        <w:tc>
          <w:tcPr>
            <w:tcW w:w="6210" w:type="dxa"/>
          </w:tcPr>
          <w:p w14:paraId="79E40E6E" w14:textId="6630DA8A" w:rsidR="0030728B" w:rsidRDefault="0030728B" w:rsidP="0030728B">
            <w:r>
              <w:t xml:space="preserve">The </w:t>
            </w:r>
            <w:proofErr w:type="gramStart"/>
            <w:r>
              <w:t>Province</w:t>
            </w:r>
            <w:proofErr w:type="gramEnd"/>
            <w:r>
              <w:t xml:space="preserve"> should consider that a SEZ boundary may extend beyond municipal boundaries as it may focus on a corridor (i.e. QEW corridor) that may encompass multiple municipalities.</w:t>
            </w:r>
          </w:p>
        </w:tc>
        <w:tc>
          <w:tcPr>
            <w:tcW w:w="4860" w:type="dxa"/>
          </w:tcPr>
          <w:p w14:paraId="3D0A7B20" w14:textId="77777777" w:rsidR="0030728B" w:rsidRDefault="0030728B" w:rsidP="0030728B"/>
        </w:tc>
      </w:tr>
      <w:tr w:rsidR="0030728B" w14:paraId="456B9B47" w14:textId="77777777" w:rsidTr="005A15EB">
        <w:trPr>
          <w:trHeight w:val="98"/>
        </w:trPr>
        <w:tc>
          <w:tcPr>
            <w:tcW w:w="6930" w:type="dxa"/>
          </w:tcPr>
          <w:p w14:paraId="7CFF008F" w14:textId="77777777" w:rsidR="0030728B" w:rsidRDefault="0030728B" w:rsidP="0030728B">
            <w:r w:rsidRPr="009967DC">
              <w:rPr>
                <w:b/>
                <w:bCs/>
              </w:rPr>
              <w:lastRenderedPageBreak/>
              <w:t>Contains strategic economic activities</w:t>
            </w:r>
            <w:r>
              <w:t xml:space="preserve"> </w:t>
            </w:r>
          </w:p>
          <w:p w14:paraId="3B29C504" w14:textId="36873B69" w:rsidR="0030728B" w:rsidRDefault="0030728B" w:rsidP="0030728B">
            <w:r>
              <w:t>• Has significant economic activities taking place (or planned to take place) that are of strategic benefit to Ontario</w:t>
            </w:r>
          </w:p>
        </w:tc>
        <w:tc>
          <w:tcPr>
            <w:tcW w:w="6210" w:type="dxa"/>
          </w:tcPr>
          <w:p w14:paraId="4C77FF32" w14:textId="74AD33B9" w:rsidR="0030728B" w:rsidRDefault="0030728B" w:rsidP="0030728B">
            <w:r>
              <w:t xml:space="preserve">The </w:t>
            </w:r>
            <w:proofErr w:type="gramStart"/>
            <w:r>
              <w:t>Province</w:t>
            </w:r>
            <w:proofErr w:type="gramEnd"/>
            <w:r>
              <w:t xml:space="preserve"> will need to further define what is meant “</w:t>
            </w:r>
            <w:r w:rsidRPr="000E0553">
              <w:rPr>
                <w:i/>
                <w:iCs/>
              </w:rPr>
              <w:t>by significant economic activities that are of strategic benefit to Ontario</w:t>
            </w:r>
            <w:r>
              <w:t>.”</w:t>
            </w:r>
          </w:p>
        </w:tc>
        <w:tc>
          <w:tcPr>
            <w:tcW w:w="4860" w:type="dxa"/>
          </w:tcPr>
          <w:p w14:paraId="32860BB7" w14:textId="77777777" w:rsidR="0030728B" w:rsidRDefault="0030728B" w:rsidP="0030728B"/>
        </w:tc>
      </w:tr>
      <w:tr w:rsidR="0030728B" w14:paraId="5999A8B4" w14:textId="77777777" w:rsidTr="005A15EB">
        <w:trPr>
          <w:trHeight w:val="98"/>
        </w:trPr>
        <w:tc>
          <w:tcPr>
            <w:tcW w:w="6930" w:type="dxa"/>
          </w:tcPr>
          <w:p w14:paraId="3AF5515A" w14:textId="29CD22AB" w:rsidR="0030728B" w:rsidRDefault="0030728B" w:rsidP="0030728B">
            <w:r w:rsidRPr="009967DC">
              <w:rPr>
                <w:b/>
                <w:bCs/>
              </w:rPr>
              <w:t xml:space="preserve">Duty to Consult and, where Appropriate, </w:t>
            </w:r>
            <w:proofErr w:type="gramStart"/>
            <w:r w:rsidRPr="009967DC">
              <w:rPr>
                <w:b/>
                <w:bCs/>
              </w:rPr>
              <w:t>Accommodate</w:t>
            </w:r>
            <w:proofErr w:type="gramEnd"/>
            <w:r>
              <w:t xml:space="preserve"> • Designations will be made in a manner consistent with the recognition and affirmation of existing Aboriginal and treaty rights in section 35 of the Constitution Act, 1982, including the duty to consult and, where appropriate, accommodate.</w:t>
            </w:r>
          </w:p>
        </w:tc>
        <w:tc>
          <w:tcPr>
            <w:tcW w:w="6210" w:type="dxa"/>
          </w:tcPr>
          <w:p w14:paraId="703EBEE3" w14:textId="25110F43" w:rsidR="0030728B" w:rsidRDefault="0030728B" w:rsidP="0030728B">
            <w:r>
              <w:t xml:space="preserve">Concerned that this requirement could stall a project of significance. Perhaps the government should consider early negotiations with Indigenous groups especially when a proponent has been identified. These negotiations take time and effort and the purpose of this SEZ is to speed up development and cut red tape. </w:t>
            </w:r>
          </w:p>
        </w:tc>
        <w:tc>
          <w:tcPr>
            <w:tcW w:w="4860" w:type="dxa"/>
          </w:tcPr>
          <w:p w14:paraId="322DF876" w14:textId="77777777" w:rsidR="0030728B" w:rsidRDefault="0030728B" w:rsidP="0030728B"/>
        </w:tc>
      </w:tr>
      <w:tr w:rsidR="0030728B" w14:paraId="25A0AE1F" w14:textId="77777777" w:rsidTr="005A15EB">
        <w:trPr>
          <w:trHeight w:val="98"/>
        </w:trPr>
        <w:tc>
          <w:tcPr>
            <w:tcW w:w="6930" w:type="dxa"/>
            <w:shd w:val="clear" w:color="auto" w:fill="BFBFBF" w:themeFill="background1" w:themeFillShade="BF"/>
          </w:tcPr>
          <w:p w14:paraId="76E9E7AA" w14:textId="7B23106E" w:rsidR="0030728B" w:rsidRPr="009967DC" w:rsidRDefault="0030728B" w:rsidP="0030728B">
            <w:pPr>
              <w:rPr>
                <w:b/>
                <w:bCs/>
                <w:highlight w:val="lightGray"/>
              </w:rPr>
            </w:pPr>
            <w:r w:rsidRPr="009967DC">
              <w:rPr>
                <w:b/>
                <w:bCs/>
                <w:highlight w:val="lightGray"/>
              </w:rPr>
              <w:t>Discussion Questions – Special Economic Zones Act, 2025</w:t>
            </w:r>
          </w:p>
        </w:tc>
        <w:tc>
          <w:tcPr>
            <w:tcW w:w="6210" w:type="dxa"/>
          </w:tcPr>
          <w:p w14:paraId="066962A4" w14:textId="77777777" w:rsidR="0030728B" w:rsidRDefault="0030728B" w:rsidP="0030728B"/>
        </w:tc>
        <w:tc>
          <w:tcPr>
            <w:tcW w:w="4860" w:type="dxa"/>
          </w:tcPr>
          <w:p w14:paraId="13F9E70D" w14:textId="77777777" w:rsidR="0030728B" w:rsidRDefault="0030728B" w:rsidP="0030728B"/>
        </w:tc>
      </w:tr>
      <w:tr w:rsidR="0030728B" w14:paraId="5A69D6EC" w14:textId="77777777" w:rsidTr="005A15EB">
        <w:trPr>
          <w:trHeight w:val="98"/>
        </w:trPr>
        <w:tc>
          <w:tcPr>
            <w:tcW w:w="6930" w:type="dxa"/>
          </w:tcPr>
          <w:p w14:paraId="2044A12C" w14:textId="4D7E7678" w:rsidR="0030728B" w:rsidRPr="009967DC" w:rsidRDefault="0030728B" w:rsidP="0030728B">
            <w:pPr>
              <w:rPr>
                <w:b/>
                <w:bCs/>
              </w:rPr>
            </w:pPr>
            <w:r w:rsidRPr="009967DC">
              <w:rPr>
                <w:b/>
                <w:bCs/>
              </w:rPr>
              <w:t>Project Criteria</w:t>
            </w:r>
          </w:p>
        </w:tc>
        <w:tc>
          <w:tcPr>
            <w:tcW w:w="6210" w:type="dxa"/>
          </w:tcPr>
          <w:p w14:paraId="03E7DA86" w14:textId="77777777" w:rsidR="0030728B" w:rsidRDefault="0030728B" w:rsidP="0030728B"/>
        </w:tc>
        <w:tc>
          <w:tcPr>
            <w:tcW w:w="4860" w:type="dxa"/>
          </w:tcPr>
          <w:p w14:paraId="70B6E95E" w14:textId="77777777" w:rsidR="0030728B" w:rsidRDefault="0030728B" w:rsidP="0030728B"/>
        </w:tc>
      </w:tr>
      <w:tr w:rsidR="0030728B" w14:paraId="6F3A41CC" w14:textId="77777777" w:rsidTr="005A15EB">
        <w:trPr>
          <w:trHeight w:val="98"/>
        </w:trPr>
        <w:tc>
          <w:tcPr>
            <w:tcW w:w="6930" w:type="dxa"/>
          </w:tcPr>
          <w:p w14:paraId="1B5E2358" w14:textId="77777777" w:rsidR="0030728B" w:rsidRDefault="0030728B" w:rsidP="0030728B">
            <w:pPr>
              <w:pStyle w:val="ListParagraph"/>
              <w:numPr>
                <w:ilvl w:val="0"/>
                <w:numId w:val="2"/>
              </w:numPr>
            </w:pPr>
            <w:r>
              <w:t>Creating a new Special Economic Zone is meant to be used only for a narrow set of circumstances when it is of the utmost importance to Ontario’s economy and/or security. What criteria could be considered to ensure designation is only used in the most appropriate cases?</w:t>
            </w:r>
          </w:p>
          <w:p w14:paraId="152AF2F5" w14:textId="77777777" w:rsidR="0030728B" w:rsidRDefault="0030728B" w:rsidP="0030728B">
            <w:pPr>
              <w:pStyle w:val="ListParagraph"/>
              <w:numPr>
                <w:ilvl w:val="0"/>
                <w:numId w:val="2"/>
              </w:numPr>
            </w:pPr>
            <w:r>
              <w:t xml:space="preserve">The importance of a zone or project is not always measured only in size or dollar value. How else should the impact of a zone or project be considered? </w:t>
            </w:r>
          </w:p>
          <w:p w14:paraId="13CD7085" w14:textId="33A3BF2F" w:rsidR="0030728B" w:rsidRDefault="0030728B" w:rsidP="0030728B">
            <w:pPr>
              <w:pStyle w:val="ListParagraph"/>
              <w:numPr>
                <w:ilvl w:val="0"/>
                <w:numId w:val="2"/>
              </w:numPr>
            </w:pPr>
            <w:r>
              <w:t>Should potentially important ‘moon-shot’ projects be put forward if they could have enormous impact, even if they have a low likelihood of success?</w:t>
            </w:r>
          </w:p>
          <w:p w14:paraId="1050C91E" w14:textId="77777777" w:rsidR="0030728B" w:rsidRDefault="0030728B" w:rsidP="0030728B">
            <w:pPr>
              <w:pStyle w:val="ListParagraph"/>
              <w:numPr>
                <w:ilvl w:val="0"/>
                <w:numId w:val="2"/>
              </w:numPr>
            </w:pPr>
            <w:r>
              <w:t>Which should be weighted more heavily when considering benefits – the benefit to the province as a whole or the benefit to local communities? Or should they be treated as equally important and essential?</w:t>
            </w:r>
          </w:p>
          <w:p w14:paraId="2F84AEF6" w14:textId="77777777" w:rsidR="0030728B" w:rsidRDefault="0030728B" w:rsidP="0030728B">
            <w:pPr>
              <w:pStyle w:val="ListParagraph"/>
              <w:numPr>
                <w:ilvl w:val="0"/>
                <w:numId w:val="2"/>
              </w:numPr>
            </w:pPr>
            <w:r>
              <w:t xml:space="preserve">Designating a zone, project, and proponent requires specific new regulations. Furthermore, any regulatory modifications or exemptions that may be made for projects and proponents in a designated zone will also require a new regulation. Normal regulatory processes will be followed, including posting on the ERO and Regulatory Registry. What else could be considered to provide greater transparency? </w:t>
            </w:r>
          </w:p>
          <w:p w14:paraId="2966F0B4" w14:textId="72332475" w:rsidR="0030728B" w:rsidRDefault="0030728B" w:rsidP="0030728B">
            <w:pPr>
              <w:pStyle w:val="ListParagraph"/>
              <w:numPr>
                <w:ilvl w:val="0"/>
                <w:numId w:val="2"/>
              </w:numPr>
            </w:pPr>
            <w:r>
              <w:t xml:space="preserve">Are any criteria missing? Should </w:t>
            </w:r>
            <w:proofErr w:type="gramStart"/>
            <w:r>
              <w:t>any</w:t>
            </w:r>
            <w:proofErr w:type="gramEnd"/>
            <w:r>
              <w:t xml:space="preserve"> be added, removed or modified?</w:t>
            </w:r>
          </w:p>
        </w:tc>
        <w:tc>
          <w:tcPr>
            <w:tcW w:w="6210" w:type="dxa"/>
          </w:tcPr>
          <w:p w14:paraId="7555F86F" w14:textId="77777777" w:rsidR="0030728B" w:rsidRDefault="0030728B" w:rsidP="0030728B"/>
          <w:p w14:paraId="7C887334" w14:textId="77777777" w:rsidR="0030728B" w:rsidRDefault="0030728B" w:rsidP="0030728B"/>
          <w:p w14:paraId="55821A3A" w14:textId="77777777" w:rsidR="0030728B" w:rsidRDefault="0030728B" w:rsidP="0030728B"/>
          <w:p w14:paraId="3DEDC4C1" w14:textId="77777777" w:rsidR="0030728B" w:rsidRDefault="0030728B" w:rsidP="0030728B"/>
          <w:p w14:paraId="0ED43BC9" w14:textId="77777777" w:rsidR="0030728B" w:rsidRDefault="0030728B" w:rsidP="0030728B"/>
          <w:p w14:paraId="2FA96430" w14:textId="77777777" w:rsidR="0030728B" w:rsidRDefault="0030728B" w:rsidP="0030728B"/>
          <w:p w14:paraId="0748ED9F" w14:textId="77777777" w:rsidR="0030728B" w:rsidRDefault="0030728B" w:rsidP="0030728B">
            <w:pPr>
              <w:ind w:left="76"/>
            </w:pPr>
            <w:bookmarkStart w:id="0" w:name="_Hlk212013086"/>
            <w:r>
              <w:t xml:space="preserve">If the proposed project is deserving of a SEZ designation will the </w:t>
            </w:r>
            <w:proofErr w:type="gramStart"/>
            <w:r>
              <w:t>Province</w:t>
            </w:r>
            <w:proofErr w:type="gramEnd"/>
            <w:r>
              <w:t xml:space="preserve"> provide the necessary critical infrastructure improvements that may be needed to bring the project to market?</w:t>
            </w:r>
          </w:p>
          <w:p w14:paraId="3FEC1884" w14:textId="77777777" w:rsidR="001846F5" w:rsidRDefault="001846F5" w:rsidP="0030728B">
            <w:pPr>
              <w:ind w:left="76"/>
            </w:pPr>
          </w:p>
          <w:bookmarkEnd w:id="0"/>
          <w:p w14:paraId="13D09E38" w14:textId="4BFF8484" w:rsidR="0030728B" w:rsidRDefault="0030728B" w:rsidP="005A15EB">
            <w:r>
              <w:t xml:space="preserve">Moon shot projects can be put </w:t>
            </w:r>
            <w:proofErr w:type="gramStart"/>
            <w:r>
              <w:t>forward</w:t>
            </w:r>
            <w:proofErr w:type="gramEnd"/>
            <w:r>
              <w:t xml:space="preserve"> however, should only be considered after those that meet the criteria are considered or advanced.</w:t>
            </w:r>
          </w:p>
          <w:p w14:paraId="7F179804" w14:textId="77777777" w:rsidR="0030728B" w:rsidRDefault="0030728B" w:rsidP="0030728B">
            <w:pPr>
              <w:ind w:left="166"/>
            </w:pPr>
          </w:p>
          <w:p w14:paraId="09C69448" w14:textId="1A7D303F" w:rsidR="0030728B" w:rsidRDefault="0030728B" w:rsidP="0030728B">
            <w:r>
              <w:t xml:space="preserve">Benefit to the Province should be weighted more heavily but some weight should still be allocated for benefits to the local or </w:t>
            </w:r>
            <w:proofErr w:type="gramStart"/>
            <w:r>
              <w:t>Regional</w:t>
            </w:r>
            <w:proofErr w:type="gramEnd"/>
            <w:r>
              <w:t xml:space="preserve"> areas.    </w:t>
            </w:r>
          </w:p>
          <w:p w14:paraId="3475AC4B" w14:textId="77777777" w:rsidR="00B751CE" w:rsidRDefault="00B751CE" w:rsidP="0030728B"/>
          <w:p w14:paraId="1ABFD006" w14:textId="77777777" w:rsidR="0030728B" w:rsidRDefault="0030728B" w:rsidP="0030728B">
            <w:r>
              <w:t>There should be added criteria:</w:t>
            </w:r>
          </w:p>
          <w:p w14:paraId="744C6428" w14:textId="77777777" w:rsidR="0030728B" w:rsidRDefault="0030728B" w:rsidP="0030728B"/>
          <w:p w14:paraId="50F6D4BB" w14:textId="02388234" w:rsidR="0030728B" w:rsidRDefault="0030728B" w:rsidP="0030728B">
            <w:pPr>
              <w:pStyle w:val="ListParagraph"/>
              <w:numPr>
                <w:ilvl w:val="0"/>
                <w:numId w:val="7"/>
              </w:numPr>
            </w:pPr>
            <w:r>
              <w:t>Along or near major transportation corridors, facilities or waterways; or</w:t>
            </w:r>
          </w:p>
          <w:p w14:paraId="56A9872F" w14:textId="30755DD5" w:rsidR="0030728B" w:rsidRDefault="0030728B" w:rsidP="0030728B">
            <w:pPr>
              <w:pStyle w:val="ListParagraph"/>
              <w:numPr>
                <w:ilvl w:val="0"/>
                <w:numId w:val="7"/>
              </w:numPr>
            </w:pPr>
            <w:r>
              <w:t>Near critical minerals or resources; or</w:t>
            </w:r>
          </w:p>
          <w:p w14:paraId="617B957D" w14:textId="296A3AC2" w:rsidR="00872A0C" w:rsidRDefault="0030728B" w:rsidP="00872A0C">
            <w:pPr>
              <w:pStyle w:val="ListParagraph"/>
              <w:numPr>
                <w:ilvl w:val="0"/>
                <w:numId w:val="7"/>
              </w:numPr>
            </w:pPr>
            <w:r>
              <w:t>Near and support major tourist destinations;</w:t>
            </w:r>
            <w:r w:rsidR="00872A0C">
              <w:t xml:space="preserve"> or</w:t>
            </w:r>
          </w:p>
          <w:p w14:paraId="32ABB714" w14:textId="1A8347BF" w:rsidR="0030728B" w:rsidRDefault="00872A0C" w:rsidP="00133FE7">
            <w:pPr>
              <w:pStyle w:val="ListParagraph"/>
              <w:numPr>
                <w:ilvl w:val="0"/>
                <w:numId w:val="7"/>
              </w:numPr>
            </w:pPr>
            <w:r>
              <w:t>Near border crossings.</w:t>
            </w:r>
          </w:p>
          <w:p w14:paraId="6D2D027A" w14:textId="77777777" w:rsidR="0030728B" w:rsidRDefault="0030728B" w:rsidP="0030728B"/>
        </w:tc>
        <w:tc>
          <w:tcPr>
            <w:tcW w:w="4860" w:type="dxa"/>
          </w:tcPr>
          <w:p w14:paraId="70559175" w14:textId="77777777" w:rsidR="0030728B" w:rsidRDefault="0030728B" w:rsidP="0030728B">
            <w:r>
              <w:t xml:space="preserve">The relevance of a strategic project to an established or growing local industry cluster should be considered. For instance, tourism and hospitality in the Niagara Falls context has a disproportionate economic impact on local employment, tax revenues, business counts, etc.  </w:t>
            </w:r>
          </w:p>
          <w:p w14:paraId="09862B21" w14:textId="77777777" w:rsidR="0030728B" w:rsidRDefault="0030728B" w:rsidP="0030728B"/>
          <w:p w14:paraId="72C50165" w14:textId="6B65E693" w:rsidR="0030728B" w:rsidRDefault="0030728B" w:rsidP="0030728B">
            <w:proofErr w:type="gramStart"/>
            <w:r>
              <w:t>In the event that</w:t>
            </w:r>
            <w:proofErr w:type="gramEnd"/>
            <w:r>
              <w:t xml:space="preserve"> a moon-shot project is approved for a proponent that does not move forward with the investment, the new SEZ regulations should remain in effect for a new proponent to implement a project.</w:t>
            </w:r>
          </w:p>
        </w:tc>
      </w:tr>
      <w:tr w:rsidR="0030728B" w14:paraId="13B4AA4C" w14:textId="77777777" w:rsidTr="005A15EB">
        <w:trPr>
          <w:trHeight w:val="98"/>
        </w:trPr>
        <w:tc>
          <w:tcPr>
            <w:tcW w:w="6930" w:type="dxa"/>
            <w:shd w:val="clear" w:color="auto" w:fill="BFBFBF" w:themeFill="background1" w:themeFillShade="BF"/>
          </w:tcPr>
          <w:p w14:paraId="2B1F7E0E" w14:textId="761C9EB4" w:rsidR="0030728B" w:rsidRPr="00BB610B" w:rsidRDefault="0030728B" w:rsidP="0030728B">
            <w:pPr>
              <w:rPr>
                <w:b/>
                <w:bCs/>
                <w:highlight w:val="lightGray"/>
              </w:rPr>
            </w:pPr>
            <w:r w:rsidRPr="00BB610B">
              <w:rPr>
                <w:b/>
                <w:bCs/>
                <w:highlight w:val="lightGray"/>
              </w:rPr>
              <w:t>Proponent Criteria</w:t>
            </w:r>
          </w:p>
        </w:tc>
        <w:tc>
          <w:tcPr>
            <w:tcW w:w="6210" w:type="dxa"/>
          </w:tcPr>
          <w:p w14:paraId="7233A4FE" w14:textId="77777777" w:rsidR="0030728B" w:rsidRDefault="0030728B" w:rsidP="0030728B"/>
        </w:tc>
        <w:tc>
          <w:tcPr>
            <w:tcW w:w="4860" w:type="dxa"/>
          </w:tcPr>
          <w:p w14:paraId="424D902C" w14:textId="77777777" w:rsidR="0030728B" w:rsidRDefault="0030728B" w:rsidP="0030728B"/>
        </w:tc>
      </w:tr>
      <w:tr w:rsidR="0030728B" w14:paraId="11784341" w14:textId="77777777" w:rsidTr="005A15EB">
        <w:trPr>
          <w:trHeight w:val="98"/>
        </w:trPr>
        <w:tc>
          <w:tcPr>
            <w:tcW w:w="6930" w:type="dxa"/>
          </w:tcPr>
          <w:p w14:paraId="7756870C" w14:textId="77777777" w:rsidR="0030728B" w:rsidRDefault="0030728B" w:rsidP="0030728B">
            <w:pPr>
              <w:pStyle w:val="ListParagraph"/>
              <w:numPr>
                <w:ilvl w:val="0"/>
                <w:numId w:val="3"/>
              </w:numPr>
            </w:pPr>
            <w:r>
              <w:t xml:space="preserve">What should be used to determine whether compliance standards are met? Which compliance records from Ontario, Canada, or internationally should be provided as evidence? </w:t>
            </w:r>
          </w:p>
          <w:p w14:paraId="6BD64A21" w14:textId="77777777" w:rsidR="0030728B" w:rsidRDefault="0030728B" w:rsidP="0030728B">
            <w:pPr>
              <w:pStyle w:val="ListParagraph"/>
              <w:numPr>
                <w:ilvl w:val="0"/>
                <w:numId w:val="3"/>
              </w:numPr>
            </w:pPr>
            <w:proofErr w:type="gramStart"/>
            <w:r>
              <w:t>Over what</w:t>
            </w:r>
            <w:proofErr w:type="gramEnd"/>
            <w:r>
              <w:t xml:space="preserve"> </w:t>
            </w:r>
            <w:proofErr w:type="gramStart"/>
            <w:r>
              <w:t>time period</w:t>
            </w:r>
            <w:proofErr w:type="gramEnd"/>
            <w:r>
              <w:t xml:space="preserve">? What other requirements should there be for proponents? </w:t>
            </w:r>
          </w:p>
          <w:p w14:paraId="2CFA7511" w14:textId="1F69EB70" w:rsidR="0030728B" w:rsidRDefault="0030728B" w:rsidP="0030728B">
            <w:pPr>
              <w:pStyle w:val="ListParagraph"/>
              <w:numPr>
                <w:ilvl w:val="0"/>
                <w:numId w:val="3"/>
              </w:numPr>
            </w:pPr>
            <w:r>
              <w:t xml:space="preserve"> What, if any, special considerations should be given to whether companies from other jurisdictions can be designated as trusted? </w:t>
            </w:r>
          </w:p>
          <w:p w14:paraId="14F5DB09" w14:textId="3D79EE7F" w:rsidR="0030728B" w:rsidRDefault="0030728B" w:rsidP="0030728B">
            <w:pPr>
              <w:pStyle w:val="ListParagraph"/>
              <w:numPr>
                <w:ilvl w:val="0"/>
                <w:numId w:val="3"/>
              </w:numPr>
            </w:pPr>
            <w:r>
              <w:t xml:space="preserve"> Are any criteria missing? Should </w:t>
            </w:r>
            <w:proofErr w:type="gramStart"/>
            <w:r>
              <w:t>any</w:t>
            </w:r>
            <w:proofErr w:type="gramEnd"/>
            <w:r>
              <w:t xml:space="preserve"> be added, removed or modified?</w:t>
            </w:r>
          </w:p>
        </w:tc>
        <w:tc>
          <w:tcPr>
            <w:tcW w:w="6210" w:type="dxa"/>
          </w:tcPr>
          <w:p w14:paraId="60A74858" w14:textId="77777777" w:rsidR="0030728B" w:rsidRDefault="0030728B" w:rsidP="0030728B"/>
          <w:p w14:paraId="36E0AF4D" w14:textId="26A7C0F4" w:rsidR="0030728B" w:rsidRDefault="0030728B" w:rsidP="0030728B"/>
        </w:tc>
        <w:tc>
          <w:tcPr>
            <w:tcW w:w="4860" w:type="dxa"/>
          </w:tcPr>
          <w:p w14:paraId="64B1FE4D" w14:textId="31A8B549" w:rsidR="0030728B" w:rsidRDefault="0030728B" w:rsidP="0030728B">
            <w:r>
              <w:t>Regarding team composition, the proponent should demonstrate that they have engaged a qualified team of necessary consultants (i.e. architects, engineers, etc.) to support project readiness.</w:t>
            </w:r>
          </w:p>
        </w:tc>
      </w:tr>
      <w:tr w:rsidR="0030728B" w14:paraId="31F47DDD" w14:textId="77777777" w:rsidTr="005A15EB">
        <w:trPr>
          <w:trHeight w:val="98"/>
        </w:trPr>
        <w:tc>
          <w:tcPr>
            <w:tcW w:w="6930" w:type="dxa"/>
            <w:shd w:val="clear" w:color="auto" w:fill="BFBFBF" w:themeFill="background1" w:themeFillShade="BF"/>
          </w:tcPr>
          <w:p w14:paraId="28FB250C" w14:textId="0D40D56F" w:rsidR="0030728B" w:rsidRPr="00EC3307" w:rsidRDefault="0030728B" w:rsidP="0030728B">
            <w:pPr>
              <w:rPr>
                <w:b/>
                <w:bCs/>
              </w:rPr>
            </w:pPr>
            <w:r w:rsidRPr="00EC3307">
              <w:rPr>
                <w:b/>
                <w:bCs/>
              </w:rPr>
              <w:t>Zone Criteria</w:t>
            </w:r>
          </w:p>
        </w:tc>
        <w:tc>
          <w:tcPr>
            <w:tcW w:w="6210" w:type="dxa"/>
          </w:tcPr>
          <w:p w14:paraId="45C9139A" w14:textId="77777777" w:rsidR="0030728B" w:rsidRDefault="0030728B" w:rsidP="0030728B"/>
        </w:tc>
        <w:tc>
          <w:tcPr>
            <w:tcW w:w="4860" w:type="dxa"/>
          </w:tcPr>
          <w:p w14:paraId="4E01D768" w14:textId="77777777" w:rsidR="0030728B" w:rsidRDefault="0030728B" w:rsidP="0030728B"/>
        </w:tc>
      </w:tr>
      <w:tr w:rsidR="0030728B" w14:paraId="638AB557" w14:textId="77777777" w:rsidTr="005A15EB">
        <w:trPr>
          <w:trHeight w:val="98"/>
        </w:trPr>
        <w:tc>
          <w:tcPr>
            <w:tcW w:w="6930" w:type="dxa"/>
          </w:tcPr>
          <w:p w14:paraId="4C30C7D6" w14:textId="05851FC1" w:rsidR="0030728B" w:rsidRDefault="0030728B" w:rsidP="0030728B">
            <w:pPr>
              <w:pStyle w:val="ListParagraph"/>
              <w:numPr>
                <w:ilvl w:val="0"/>
                <w:numId w:val="4"/>
              </w:numPr>
            </w:pPr>
            <w:r>
              <w:t xml:space="preserve">Are any criteria missing? Should </w:t>
            </w:r>
            <w:proofErr w:type="gramStart"/>
            <w:r>
              <w:t>any</w:t>
            </w:r>
            <w:proofErr w:type="gramEnd"/>
            <w:r>
              <w:t xml:space="preserve"> be added, removed or modified?</w:t>
            </w:r>
          </w:p>
        </w:tc>
        <w:tc>
          <w:tcPr>
            <w:tcW w:w="6210" w:type="dxa"/>
          </w:tcPr>
          <w:p w14:paraId="1ABA88D1" w14:textId="2A2BB938" w:rsidR="0030728B" w:rsidRDefault="0030728B" w:rsidP="0030728B">
            <w:r w:rsidRPr="004A7414">
              <w:t xml:space="preserve">Another </w:t>
            </w:r>
            <w:r>
              <w:t xml:space="preserve">potential </w:t>
            </w:r>
            <w:proofErr w:type="gramStart"/>
            <w:r w:rsidRPr="004A7414">
              <w:t>criteria</w:t>
            </w:r>
            <w:proofErr w:type="gramEnd"/>
            <w:r w:rsidRPr="004A7414">
              <w:t xml:space="preserve"> is that the proposed SEZ </w:t>
            </w:r>
            <w:r>
              <w:t xml:space="preserve">to be requested </w:t>
            </w:r>
            <w:r w:rsidRPr="004A7414">
              <w:t>take</w:t>
            </w:r>
            <w:r>
              <w:t>s</w:t>
            </w:r>
            <w:r w:rsidRPr="004A7414">
              <w:t xml:space="preserve"> advantage of existing transportation infrastructure</w:t>
            </w:r>
            <w:r>
              <w:t xml:space="preserve"> thereby, maximizing existing infrastructure investments and requiring no capital transportation investments.</w:t>
            </w:r>
          </w:p>
          <w:p w14:paraId="066F3CCE" w14:textId="77777777" w:rsidR="0030728B" w:rsidRDefault="0030728B" w:rsidP="0030728B"/>
        </w:tc>
        <w:tc>
          <w:tcPr>
            <w:tcW w:w="4860" w:type="dxa"/>
          </w:tcPr>
          <w:p w14:paraId="4A56E75D" w14:textId="77777777" w:rsidR="0030728B" w:rsidRDefault="0030728B" w:rsidP="0030728B">
            <w:r>
              <w:t>The draft policy currently indicates that “all three elements (zone, project, and proponent) should be in place in order to make regulatory modifications or exemptions.”</w:t>
            </w:r>
          </w:p>
          <w:p w14:paraId="4E84A3E6" w14:textId="77777777" w:rsidR="0030728B" w:rsidRDefault="0030728B" w:rsidP="0030728B"/>
          <w:p w14:paraId="747C5910" w14:textId="0272F490" w:rsidR="0030728B" w:rsidRDefault="0030728B" w:rsidP="0030728B">
            <w:r>
              <w:t xml:space="preserve">This may unnecessarily limit the effectiveness of Special Economic Zones for investment attraction. </w:t>
            </w:r>
            <w:proofErr w:type="gramStart"/>
            <w:r>
              <w:t>In the event that</w:t>
            </w:r>
            <w:proofErr w:type="gramEnd"/>
            <w:r>
              <w:t xml:space="preserve"> a proponent and/or project has not yet been identified but a defined zone exists, it would still be valuable to achieve some degree of preliminary regulatory exemption/modification within the zone to promote the site as a unique investment opportunity. </w:t>
            </w:r>
          </w:p>
        </w:tc>
      </w:tr>
    </w:tbl>
    <w:p w14:paraId="63367F67" w14:textId="77777777" w:rsidR="00171CEB" w:rsidRDefault="00171CEB"/>
    <w:sectPr w:rsidR="00171CEB" w:rsidSect="004E514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BBAA" w14:textId="77777777" w:rsidR="002D7CB8" w:rsidRDefault="002D7CB8" w:rsidP="002D7CB8">
      <w:pPr>
        <w:spacing w:after="0" w:line="240" w:lineRule="auto"/>
      </w:pPr>
      <w:r>
        <w:separator/>
      </w:r>
    </w:p>
  </w:endnote>
  <w:endnote w:type="continuationSeparator" w:id="0">
    <w:p w14:paraId="057A4480" w14:textId="77777777" w:rsidR="002D7CB8" w:rsidRDefault="002D7CB8" w:rsidP="002D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33A4" w14:textId="77777777" w:rsidR="002D7CB8" w:rsidRDefault="002D7CB8" w:rsidP="002D7CB8">
      <w:pPr>
        <w:spacing w:after="0" w:line="240" w:lineRule="auto"/>
      </w:pPr>
      <w:r>
        <w:separator/>
      </w:r>
    </w:p>
  </w:footnote>
  <w:footnote w:type="continuationSeparator" w:id="0">
    <w:p w14:paraId="2E9C5DB6" w14:textId="77777777" w:rsidR="002D7CB8" w:rsidRDefault="002D7CB8" w:rsidP="002D7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90"/>
    <w:multiLevelType w:val="hybridMultilevel"/>
    <w:tmpl w:val="D294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D59A2"/>
    <w:multiLevelType w:val="hybridMultilevel"/>
    <w:tmpl w:val="D9924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B7CED"/>
    <w:multiLevelType w:val="hybridMultilevel"/>
    <w:tmpl w:val="DF96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E325D1"/>
    <w:multiLevelType w:val="hybridMultilevel"/>
    <w:tmpl w:val="1CD6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4554B"/>
    <w:multiLevelType w:val="hybridMultilevel"/>
    <w:tmpl w:val="848ED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91A05"/>
    <w:multiLevelType w:val="hybridMultilevel"/>
    <w:tmpl w:val="D20463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870924"/>
    <w:multiLevelType w:val="hybridMultilevel"/>
    <w:tmpl w:val="A0D4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101540">
    <w:abstractNumId w:val="1"/>
  </w:num>
  <w:num w:numId="2" w16cid:durableId="973408166">
    <w:abstractNumId w:val="2"/>
  </w:num>
  <w:num w:numId="3" w16cid:durableId="1395465207">
    <w:abstractNumId w:val="6"/>
  </w:num>
  <w:num w:numId="4" w16cid:durableId="878206520">
    <w:abstractNumId w:val="3"/>
  </w:num>
  <w:num w:numId="5" w16cid:durableId="560874155">
    <w:abstractNumId w:val="5"/>
  </w:num>
  <w:num w:numId="6" w16cid:durableId="718018087">
    <w:abstractNumId w:val="0"/>
  </w:num>
  <w:num w:numId="7" w16cid:durableId="1490631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EB"/>
    <w:rsid w:val="00052552"/>
    <w:rsid w:val="00094FB2"/>
    <w:rsid w:val="000F01FF"/>
    <w:rsid w:val="000F109A"/>
    <w:rsid w:val="0012433A"/>
    <w:rsid w:val="00133FE7"/>
    <w:rsid w:val="00140722"/>
    <w:rsid w:val="001461B1"/>
    <w:rsid w:val="00171CEB"/>
    <w:rsid w:val="001846F5"/>
    <w:rsid w:val="001C0C3C"/>
    <w:rsid w:val="001D38C4"/>
    <w:rsid w:val="0021333A"/>
    <w:rsid w:val="00270BB2"/>
    <w:rsid w:val="002D7CB8"/>
    <w:rsid w:val="0030728B"/>
    <w:rsid w:val="003E1CA9"/>
    <w:rsid w:val="00406471"/>
    <w:rsid w:val="00484DB6"/>
    <w:rsid w:val="00494C06"/>
    <w:rsid w:val="004A3116"/>
    <w:rsid w:val="004E5144"/>
    <w:rsid w:val="005220E9"/>
    <w:rsid w:val="00532BF7"/>
    <w:rsid w:val="00557109"/>
    <w:rsid w:val="005670DE"/>
    <w:rsid w:val="00591104"/>
    <w:rsid w:val="00597E9F"/>
    <w:rsid w:val="005A0180"/>
    <w:rsid w:val="005A15EB"/>
    <w:rsid w:val="005D40B5"/>
    <w:rsid w:val="005E5AF1"/>
    <w:rsid w:val="00664340"/>
    <w:rsid w:val="006A62E1"/>
    <w:rsid w:val="0073757C"/>
    <w:rsid w:val="00790079"/>
    <w:rsid w:val="00827D90"/>
    <w:rsid w:val="00872A0C"/>
    <w:rsid w:val="00882A2F"/>
    <w:rsid w:val="008C7746"/>
    <w:rsid w:val="00916C7B"/>
    <w:rsid w:val="009967DC"/>
    <w:rsid w:val="009B18D4"/>
    <w:rsid w:val="00A13379"/>
    <w:rsid w:val="00A34A61"/>
    <w:rsid w:val="00A45E15"/>
    <w:rsid w:val="00AA5E7C"/>
    <w:rsid w:val="00AB0FC4"/>
    <w:rsid w:val="00B02E79"/>
    <w:rsid w:val="00B751CE"/>
    <w:rsid w:val="00B927A9"/>
    <w:rsid w:val="00BB184B"/>
    <w:rsid w:val="00BB610B"/>
    <w:rsid w:val="00C17A45"/>
    <w:rsid w:val="00C37F03"/>
    <w:rsid w:val="00C81508"/>
    <w:rsid w:val="00CC0E51"/>
    <w:rsid w:val="00CE635F"/>
    <w:rsid w:val="00CE7718"/>
    <w:rsid w:val="00D07076"/>
    <w:rsid w:val="00D42652"/>
    <w:rsid w:val="00DC1C02"/>
    <w:rsid w:val="00DC351B"/>
    <w:rsid w:val="00E10BD7"/>
    <w:rsid w:val="00E237A1"/>
    <w:rsid w:val="00EC3307"/>
    <w:rsid w:val="00F75D45"/>
    <w:rsid w:val="00FC4C6A"/>
    <w:rsid w:val="00FE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486C"/>
  <w15:chartTrackingRefBased/>
  <w15:docId w15:val="{D50AB5B9-4001-4C52-992A-53DEC461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CEB"/>
  </w:style>
  <w:style w:type="paragraph" w:styleId="Heading1">
    <w:name w:val="heading 1"/>
    <w:basedOn w:val="Normal"/>
    <w:next w:val="Normal"/>
    <w:link w:val="Heading1Char"/>
    <w:uiPriority w:val="9"/>
    <w:qFormat/>
    <w:rsid w:val="00171C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71C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71CE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71CE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71CE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71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CE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71C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71CE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71CE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71CE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71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CEB"/>
    <w:rPr>
      <w:rFonts w:eastAsiaTheme="majorEastAsia" w:cstheme="majorBidi"/>
      <w:color w:val="272727" w:themeColor="text1" w:themeTint="D8"/>
    </w:rPr>
  </w:style>
  <w:style w:type="paragraph" w:styleId="Title">
    <w:name w:val="Title"/>
    <w:basedOn w:val="Normal"/>
    <w:next w:val="Normal"/>
    <w:link w:val="TitleChar"/>
    <w:uiPriority w:val="10"/>
    <w:qFormat/>
    <w:rsid w:val="00171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CEB"/>
    <w:pPr>
      <w:spacing w:before="160"/>
      <w:jc w:val="center"/>
    </w:pPr>
    <w:rPr>
      <w:i/>
      <w:iCs/>
      <w:color w:val="404040" w:themeColor="text1" w:themeTint="BF"/>
    </w:rPr>
  </w:style>
  <w:style w:type="character" w:customStyle="1" w:styleId="QuoteChar">
    <w:name w:val="Quote Char"/>
    <w:basedOn w:val="DefaultParagraphFont"/>
    <w:link w:val="Quote"/>
    <w:uiPriority w:val="29"/>
    <w:rsid w:val="00171CEB"/>
    <w:rPr>
      <w:i/>
      <w:iCs/>
      <w:color w:val="404040" w:themeColor="text1" w:themeTint="BF"/>
    </w:rPr>
  </w:style>
  <w:style w:type="paragraph" w:styleId="ListParagraph">
    <w:name w:val="List Paragraph"/>
    <w:basedOn w:val="Normal"/>
    <w:uiPriority w:val="34"/>
    <w:qFormat/>
    <w:rsid w:val="00171CEB"/>
    <w:pPr>
      <w:ind w:left="720"/>
      <w:contextualSpacing/>
    </w:pPr>
  </w:style>
  <w:style w:type="character" w:styleId="IntenseEmphasis">
    <w:name w:val="Intense Emphasis"/>
    <w:basedOn w:val="DefaultParagraphFont"/>
    <w:uiPriority w:val="21"/>
    <w:qFormat/>
    <w:rsid w:val="00171CEB"/>
    <w:rPr>
      <w:i/>
      <w:iCs/>
      <w:color w:val="2E74B5" w:themeColor="accent1" w:themeShade="BF"/>
    </w:rPr>
  </w:style>
  <w:style w:type="paragraph" w:styleId="IntenseQuote">
    <w:name w:val="Intense Quote"/>
    <w:basedOn w:val="Normal"/>
    <w:next w:val="Normal"/>
    <w:link w:val="IntenseQuoteChar"/>
    <w:uiPriority w:val="30"/>
    <w:qFormat/>
    <w:rsid w:val="00171C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71CEB"/>
    <w:rPr>
      <w:i/>
      <w:iCs/>
      <w:color w:val="2E74B5" w:themeColor="accent1" w:themeShade="BF"/>
    </w:rPr>
  </w:style>
  <w:style w:type="character" w:styleId="IntenseReference">
    <w:name w:val="Intense Reference"/>
    <w:basedOn w:val="DefaultParagraphFont"/>
    <w:uiPriority w:val="32"/>
    <w:qFormat/>
    <w:rsid w:val="00171CEB"/>
    <w:rPr>
      <w:b/>
      <w:bCs/>
      <w:smallCaps/>
      <w:color w:val="2E74B5" w:themeColor="accent1" w:themeShade="BF"/>
      <w:spacing w:val="5"/>
    </w:rPr>
  </w:style>
  <w:style w:type="table" w:styleId="TableGrid">
    <w:name w:val="Table Grid"/>
    <w:basedOn w:val="TableNormal"/>
    <w:uiPriority w:val="39"/>
    <w:rsid w:val="00171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2BF7"/>
    <w:pPr>
      <w:spacing w:after="0" w:line="240" w:lineRule="auto"/>
    </w:pPr>
  </w:style>
  <w:style w:type="paragraph" w:styleId="Header">
    <w:name w:val="header"/>
    <w:basedOn w:val="Normal"/>
    <w:link w:val="HeaderChar"/>
    <w:uiPriority w:val="99"/>
    <w:unhideWhenUsed/>
    <w:rsid w:val="002D7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CB8"/>
  </w:style>
  <w:style w:type="paragraph" w:styleId="Footer">
    <w:name w:val="footer"/>
    <w:basedOn w:val="Normal"/>
    <w:link w:val="FooterChar"/>
    <w:uiPriority w:val="99"/>
    <w:unhideWhenUsed/>
    <w:rsid w:val="002D7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5073-2A0F-41BC-9036-2D02D404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Dick</dc:creator>
  <cp:keywords/>
  <dc:description/>
  <cp:lastModifiedBy>Brian Dick</cp:lastModifiedBy>
  <cp:revision>2</cp:revision>
  <cp:lastPrinted>2025-11-13T16:28:00Z</cp:lastPrinted>
  <dcterms:created xsi:type="dcterms:W3CDTF">2025-11-16T20:38:00Z</dcterms:created>
  <dcterms:modified xsi:type="dcterms:W3CDTF">2025-11-16T20:38:00Z</dcterms:modified>
</cp:coreProperties>
</file>