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19E6C" w14:textId="77777777" w:rsidR="00A37C7F" w:rsidRPr="0057673F" w:rsidRDefault="00A37C7F" w:rsidP="007E3E20">
      <w:pPr>
        <w:rPr>
          <w:rFonts w:cs="Arial"/>
        </w:rPr>
        <w:sectPr w:rsidR="00A37C7F" w:rsidRPr="0057673F" w:rsidSect="00492557">
          <w:headerReference w:type="default" r:id="rId10"/>
          <w:footerReference w:type="default" r:id="rId11"/>
          <w:pgSz w:w="12240" w:h="15840"/>
          <w:pgMar w:top="1685" w:right="1080" w:bottom="1440" w:left="1080" w:header="708" w:footer="708" w:gutter="0"/>
          <w:cols w:num="2" w:space="3168"/>
          <w:docGrid w:linePitch="360"/>
        </w:sectPr>
      </w:pPr>
    </w:p>
    <w:p w14:paraId="3953481D" w14:textId="7DB6EC94" w:rsidR="00715520" w:rsidRPr="008B7B2D" w:rsidRDefault="001A7149" w:rsidP="008B7B2D">
      <w:pPr>
        <w:pStyle w:val="Heading1"/>
      </w:pPr>
      <w:r>
        <w:t>Comment Submission</w:t>
      </w:r>
    </w:p>
    <w:tbl>
      <w:tblPr>
        <w:tblStyle w:val="TableGrid"/>
        <w:tblW w:w="103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4"/>
        <w:gridCol w:w="4313"/>
        <w:gridCol w:w="4299"/>
      </w:tblGrid>
      <w:tr w:rsidR="007F6333" w14:paraId="6AAA1933" w14:textId="77777777" w:rsidTr="007F6333">
        <w:trPr>
          <w:gridAfter w:val="1"/>
          <w:wAfter w:w="4299" w:type="dxa"/>
          <w:trHeight w:val="527"/>
        </w:trPr>
        <w:tc>
          <w:tcPr>
            <w:tcW w:w="1724" w:type="dxa"/>
          </w:tcPr>
          <w:p w14:paraId="7C67CCF0" w14:textId="2D3BADFB" w:rsidR="007F6333" w:rsidRPr="008B7B2D" w:rsidRDefault="007F6333" w:rsidP="00AE7A7D">
            <w:r>
              <w:rPr>
                <w:rStyle w:val="Heading2Char"/>
                <w:rFonts w:cs="Arial"/>
                <w:sz w:val="22"/>
                <w:szCs w:val="22"/>
              </w:rPr>
              <w:t>To</w:t>
            </w:r>
            <w:r w:rsidRPr="008B7B2D">
              <w:rPr>
                <w:rStyle w:val="Heading2Char"/>
                <w:rFonts w:cs="Arial"/>
                <w:sz w:val="22"/>
                <w:szCs w:val="22"/>
              </w:rPr>
              <w:t>:</w:t>
            </w:r>
          </w:p>
        </w:tc>
        <w:tc>
          <w:tcPr>
            <w:tcW w:w="4313" w:type="dxa"/>
          </w:tcPr>
          <w:p w14:paraId="352E04EE" w14:textId="6E21B71E" w:rsidR="007F6333" w:rsidRPr="008B7B2D" w:rsidRDefault="007F6333" w:rsidP="00AE7A7D">
            <w:r>
              <w:rPr>
                <w:rFonts w:ascii="Arial" w:hAnsi="Arial" w:cs="Arial"/>
              </w:rPr>
              <w:t>The Ministry of Municipal Affairs and Housing</w:t>
            </w:r>
          </w:p>
        </w:tc>
      </w:tr>
      <w:tr w:rsidR="007F6333" w14:paraId="524130EC" w14:textId="77777777" w:rsidTr="007F6333">
        <w:trPr>
          <w:gridAfter w:val="1"/>
          <w:wAfter w:w="4299" w:type="dxa"/>
          <w:trHeight w:val="314"/>
        </w:trPr>
        <w:tc>
          <w:tcPr>
            <w:tcW w:w="1724" w:type="dxa"/>
          </w:tcPr>
          <w:p w14:paraId="1A95A188" w14:textId="4FE09603" w:rsidR="007F6333" w:rsidRPr="008B7B2D" w:rsidRDefault="007F6333" w:rsidP="00AE7A7D">
            <w:r>
              <w:rPr>
                <w:rStyle w:val="Heading2Char"/>
                <w:rFonts w:cs="Arial"/>
                <w:sz w:val="22"/>
                <w:szCs w:val="22"/>
              </w:rPr>
              <w:t>From</w:t>
            </w:r>
            <w:r w:rsidRPr="008B7B2D">
              <w:rPr>
                <w:rStyle w:val="Heading2Char"/>
                <w:rFonts w:cs="Arial"/>
                <w:sz w:val="22"/>
                <w:szCs w:val="22"/>
              </w:rPr>
              <w:t>:</w:t>
            </w:r>
          </w:p>
        </w:tc>
        <w:tc>
          <w:tcPr>
            <w:tcW w:w="4313" w:type="dxa"/>
          </w:tcPr>
          <w:p w14:paraId="79629660" w14:textId="6C4B738F" w:rsidR="007F6333" w:rsidRPr="008B7B2D" w:rsidRDefault="007F6333" w:rsidP="008B7B2D">
            <w:sdt>
              <w:sdtPr>
                <w:rPr>
                  <w:rFonts w:ascii="Arial" w:hAnsi="Arial" w:cs="Arial"/>
                </w:rPr>
                <w:alias w:val="Name, Title"/>
                <w:tag w:val="Name, Title"/>
                <w:id w:val="-581987173"/>
                <w:placeholder>
                  <w:docPart w:val="0255A214A2AC4491BE0EF6EBC897DFC3"/>
                </w:placeholder>
              </w:sdtPr>
              <w:sdtContent>
                <w:r>
                  <w:rPr>
                    <w:rFonts w:ascii="Arial" w:hAnsi="Arial" w:cs="Arial"/>
                  </w:rPr>
                  <w:t>The Corporation of the County of Brant</w:t>
                </w:r>
              </w:sdtContent>
            </w:sdt>
          </w:p>
        </w:tc>
      </w:tr>
      <w:tr w:rsidR="007F6333" w14:paraId="4FE83FE2" w14:textId="77777777" w:rsidTr="007F6333">
        <w:trPr>
          <w:gridAfter w:val="1"/>
          <w:wAfter w:w="4299" w:type="dxa"/>
          <w:trHeight w:val="314"/>
        </w:trPr>
        <w:tc>
          <w:tcPr>
            <w:tcW w:w="1724" w:type="dxa"/>
          </w:tcPr>
          <w:p w14:paraId="085DFE44" w14:textId="776BCB12" w:rsidR="007F6333" w:rsidRDefault="007F6333" w:rsidP="007F6333">
            <w:pPr>
              <w:rPr>
                <w:rStyle w:val="Heading2Char"/>
                <w:rFonts w:cs="Arial"/>
                <w:sz w:val="22"/>
                <w:szCs w:val="22"/>
              </w:rPr>
            </w:pPr>
            <w:r w:rsidRPr="008B7B2D">
              <w:rPr>
                <w:rStyle w:val="Heading2Char"/>
                <w:rFonts w:cs="Arial"/>
                <w:sz w:val="22"/>
                <w:szCs w:val="22"/>
              </w:rPr>
              <w:t>Date:</w:t>
            </w:r>
          </w:p>
        </w:tc>
        <w:tc>
          <w:tcPr>
            <w:tcW w:w="4313" w:type="dxa"/>
          </w:tcPr>
          <w:p w14:paraId="18F025D6" w14:textId="0D9594A0" w:rsidR="007F6333" w:rsidRDefault="007F6333" w:rsidP="007F6333">
            <w:pPr>
              <w:rPr>
                <w:rFonts w:ascii="Arial" w:hAnsi="Arial" w:cs="Arial"/>
              </w:rPr>
            </w:pPr>
            <w:sdt>
              <w:sdtPr>
                <w:rPr>
                  <w:rFonts w:ascii="Arial" w:hAnsi="Arial" w:cs="Arial"/>
                </w:rPr>
                <w:alias w:val="Date"/>
                <w:tag w:val="Date"/>
                <w:id w:val="-401063525"/>
                <w:placeholder>
                  <w:docPart w:val="89559BCA040343F59C9A3209C12D2E83"/>
                </w:placeholder>
                <w:date w:fullDate="2025-11-22T00:00:00Z">
                  <w:dateFormat w:val="MMMM dd, yyyy"/>
                  <w:lid w:val="en-CA"/>
                  <w:storeMappedDataAs w:val="dateTime"/>
                  <w:calendar w:val="gregorian"/>
                </w:date>
              </w:sdtPr>
              <w:sdtContent>
                <w:r>
                  <w:rPr>
                    <w:rFonts w:ascii="Arial" w:hAnsi="Arial" w:cs="Arial"/>
                  </w:rPr>
                  <w:t>November 2</w:t>
                </w:r>
                <w:r>
                  <w:rPr>
                    <w:rFonts w:ascii="Arial" w:hAnsi="Arial" w:cs="Arial"/>
                  </w:rPr>
                  <w:t>2</w:t>
                </w:r>
                <w:r>
                  <w:rPr>
                    <w:rFonts w:ascii="Arial" w:hAnsi="Arial" w:cs="Arial"/>
                  </w:rPr>
                  <w:t>, 2025</w:t>
                </w:r>
              </w:sdtContent>
            </w:sdt>
          </w:p>
        </w:tc>
      </w:tr>
      <w:tr w:rsidR="001A7149" w14:paraId="4F638AE6" w14:textId="77777777" w:rsidTr="007F6333">
        <w:trPr>
          <w:trHeight w:val="964"/>
        </w:trPr>
        <w:tc>
          <w:tcPr>
            <w:tcW w:w="1724" w:type="dxa"/>
          </w:tcPr>
          <w:p w14:paraId="1C246CC4" w14:textId="3676A60A" w:rsidR="001A7149" w:rsidRDefault="001A7149" w:rsidP="00AE7A7D">
            <w:pPr>
              <w:rPr>
                <w:rStyle w:val="Heading2Char"/>
                <w:rFonts w:cs="Arial"/>
                <w:sz w:val="22"/>
                <w:szCs w:val="22"/>
              </w:rPr>
            </w:pPr>
            <w:r>
              <w:rPr>
                <w:rStyle w:val="Heading2Char"/>
                <w:rFonts w:cs="Arial"/>
                <w:sz w:val="22"/>
                <w:szCs w:val="22"/>
              </w:rPr>
              <w:t>ERO Posting Numbers:</w:t>
            </w:r>
          </w:p>
        </w:tc>
        <w:tc>
          <w:tcPr>
            <w:tcW w:w="8612" w:type="dxa"/>
            <w:gridSpan w:val="2"/>
          </w:tcPr>
          <w:p w14:paraId="1A4475AF" w14:textId="4499FE13" w:rsidR="001A7149" w:rsidRPr="007F6333" w:rsidRDefault="001A7149" w:rsidP="00AE7A7D">
            <w:pPr>
              <w:rPr>
                <w:rFonts w:ascii="Arial" w:hAnsi="Arial" w:cs="Arial"/>
              </w:rPr>
            </w:pPr>
            <w:bookmarkStart w:id="0" w:name="_Hlk214698243"/>
            <w:r w:rsidRPr="007F6333">
              <w:rPr>
                <w:rFonts w:ascii="Arial" w:hAnsi="Arial" w:cs="Arial"/>
              </w:rPr>
              <w:t>025-1097</w:t>
            </w:r>
            <w:r w:rsidRPr="007F6333">
              <w:rPr>
                <w:rFonts w:ascii="Arial" w:hAnsi="Arial" w:cs="Arial"/>
              </w:rPr>
              <w:t xml:space="preserve"> (Schedule 10 of Bill 60)</w:t>
            </w:r>
            <w:r w:rsidRPr="007F6333">
              <w:rPr>
                <w:rFonts w:ascii="Arial" w:hAnsi="Arial" w:cs="Arial"/>
              </w:rPr>
              <w:br/>
              <w:t>025-1099 (Standardizing Official Plans)</w:t>
            </w:r>
            <w:r w:rsidRPr="007F6333">
              <w:rPr>
                <w:rFonts w:ascii="Arial" w:hAnsi="Arial" w:cs="Arial"/>
              </w:rPr>
              <w:br/>
              <w:t>025-1100 (Minimum Lot Sizes)</w:t>
            </w:r>
            <w:r w:rsidRPr="007F6333">
              <w:rPr>
                <w:rFonts w:ascii="Arial" w:hAnsi="Arial" w:cs="Arial"/>
              </w:rPr>
              <w:br/>
              <w:t>025-1101 (Enhanced Development Standards)</w:t>
            </w:r>
            <w:bookmarkEnd w:id="0"/>
          </w:p>
        </w:tc>
      </w:tr>
    </w:tbl>
    <w:p w14:paraId="0BC02717" w14:textId="77777777" w:rsidR="00270448" w:rsidRPr="00124239" w:rsidRDefault="00270448" w:rsidP="0041060B">
      <w:pPr>
        <w:pBdr>
          <w:top w:val="single" w:sz="18" w:space="1" w:color="auto"/>
        </w:pBdr>
        <w:spacing w:before="120"/>
        <w:rPr>
          <w:rFonts w:ascii="Arial" w:hAnsi="Arial" w:cs="Arial"/>
          <w:sz w:val="24"/>
          <w:szCs w:val="24"/>
        </w:rPr>
      </w:pPr>
    </w:p>
    <w:p w14:paraId="06587F47" w14:textId="720A8A0B" w:rsidR="007F6333" w:rsidRDefault="007F6333" w:rsidP="007F6333">
      <w:pPr>
        <w:rPr>
          <w:rFonts w:ascii="Arial" w:hAnsi="Arial" w:cs="Arial"/>
          <w:sz w:val="24"/>
          <w:szCs w:val="24"/>
        </w:rPr>
      </w:pPr>
      <w:r w:rsidRPr="007F6333">
        <w:rPr>
          <w:rFonts w:ascii="Arial" w:hAnsi="Arial" w:cs="Arial"/>
          <w:sz w:val="24"/>
          <w:szCs w:val="24"/>
        </w:rPr>
        <w:t xml:space="preserve">The Province of Ontario has introduced </w:t>
      </w:r>
      <w:r w:rsidRPr="007F6333">
        <w:rPr>
          <w:rFonts w:ascii="Arial" w:hAnsi="Arial" w:cs="Arial"/>
          <w:b/>
          <w:bCs/>
          <w:sz w:val="24"/>
          <w:szCs w:val="24"/>
        </w:rPr>
        <w:t>Bill 60, Fighting Delays, Building Faster Act, 2025</w:t>
      </w:r>
      <w:r w:rsidRPr="007F6333">
        <w:rPr>
          <w:rFonts w:ascii="Arial" w:hAnsi="Arial" w:cs="Arial"/>
          <w:sz w:val="24"/>
          <w:szCs w:val="24"/>
        </w:rPr>
        <w:t xml:space="preserve">, which proposes amendments to the </w:t>
      </w:r>
      <w:r w:rsidRPr="007F6333">
        <w:rPr>
          <w:rFonts w:ascii="Arial" w:hAnsi="Arial" w:cs="Arial"/>
          <w:b/>
          <w:bCs/>
          <w:sz w:val="24"/>
          <w:szCs w:val="24"/>
        </w:rPr>
        <w:t>Planning Act</w:t>
      </w:r>
      <w:r w:rsidRPr="007F6333">
        <w:rPr>
          <w:rFonts w:ascii="Arial" w:hAnsi="Arial" w:cs="Arial"/>
          <w:sz w:val="24"/>
          <w:szCs w:val="24"/>
        </w:rPr>
        <w:t xml:space="preserve"> and related frameworks. The Bill has proceeded to its third reading and is expected to be passed shortly. In response, staff have prepared formal comments for submission to the </w:t>
      </w:r>
      <w:r w:rsidRPr="007F6333">
        <w:rPr>
          <w:rFonts w:ascii="Arial" w:hAnsi="Arial" w:cs="Arial"/>
          <w:b/>
          <w:bCs/>
          <w:sz w:val="24"/>
          <w:szCs w:val="24"/>
        </w:rPr>
        <w:t>Environmental Registry of Ontario (ERO)</w:t>
      </w:r>
      <w:r w:rsidRPr="007F6333">
        <w:rPr>
          <w:rFonts w:ascii="Arial" w:hAnsi="Arial" w:cs="Arial"/>
          <w:sz w:val="24"/>
          <w:szCs w:val="24"/>
        </w:rPr>
        <w:t xml:space="preserve"> by the November 22 deadline. These</w:t>
      </w:r>
      <w:r>
        <w:rPr>
          <w:rFonts w:ascii="Arial" w:hAnsi="Arial" w:cs="Arial"/>
          <w:sz w:val="24"/>
          <w:szCs w:val="24"/>
        </w:rPr>
        <w:t xml:space="preserve"> following</w:t>
      </w:r>
      <w:r w:rsidRPr="007F6333">
        <w:rPr>
          <w:rFonts w:ascii="Arial" w:hAnsi="Arial" w:cs="Arial"/>
          <w:sz w:val="24"/>
          <w:szCs w:val="24"/>
        </w:rPr>
        <w:t xml:space="preserve"> comments </w:t>
      </w:r>
      <w:r>
        <w:rPr>
          <w:rFonts w:ascii="Arial" w:hAnsi="Arial" w:cs="Arial"/>
          <w:sz w:val="24"/>
          <w:szCs w:val="24"/>
        </w:rPr>
        <w:t xml:space="preserve">are submitted on behalf of the Corporation of the County of Brant. Thank you for the opportunity to provide comments and we look forward to collaborating further. Please feel free to reach out to </w:t>
      </w:r>
      <w:hyperlink r:id="rId12" w:history="1">
        <w:r w:rsidRPr="00A34424">
          <w:rPr>
            <w:rStyle w:val="Hyperlink"/>
            <w:rFonts w:ascii="Arial" w:hAnsi="Arial" w:cs="Arial"/>
            <w:sz w:val="24"/>
            <w:szCs w:val="24"/>
          </w:rPr>
          <w:t>policy@brant.ca</w:t>
        </w:r>
      </w:hyperlink>
      <w:r>
        <w:rPr>
          <w:rFonts w:ascii="Arial" w:hAnsi="Arial" w:cs="Arial"/>
          <w:sz w:val="24"/>
          <w:szCs w:val="24"/>
        </w:rPr>
        <w:t xml:space="preserve"> with any questions. </w:t>
      </w:r>
    </w:p>
    <w:p w14:paraId="0EDB40A9" w14:textId="4E08547D" w:rsidR="003C65CF" w:rsidRPr="007F6333" w:rsidRDefault="003C65CF" w:rsidP="007F6333">
      <w:pPr>
        <w:pStyle w:val="Heading3"/>
        <w:rPr>
          <w:rFonts w:ascii="Arial" w:hAnsi="Arial" w:cs="Arial"/>
          <w:sz w:val="24"/>
          <w:szCs w:val="24"/>
        </w:rPr>
      </w:pPr>
      <w:r w:rsidRPr="003C65CF">
        <w:rPr>
          <w:rFonts w:ascii="Arial" w:hAnsi="Arial" w:cs="Arial"/>
          <w:sz w:val="24"/>
          <w:szCs w:val="24"/>
        </w:rPr>
        <w:t>1. Enhanced Development Standards (</w:t>
      </w:r>
      <w:hyperlink r:id="rId13" w:history="1">
        <w:r w:rsidRPr="003C65CF">
          <w:rPr>
            <w:rStyle w:val="Hyperlink"/>
            <w:rFonts w:ascii="Arial" w:hAnsi="Arial" w:cs="Arial"/>
            <w:sz w:val="24"/>
            <w:szCs w:val="24"/>
          </w:rPr>
          <w:t>ERO 025-1101</w:t>
        </w:r>
      </w:hyperlink>
      <w:r w:rsidRPr="003C65CF">
        <w:rPr>
          <w:rFonts w:ascii="Arial" w:hAnsi="Arial" w:cs="Arial"/>
          <w:sz w:val="24"/>
          <w:szCs w:val="24"/>
        </w:rPr>
        <w:t>)</w:t>
      </w:r>
    </w:p>
    <w:p w14:paraId="0C4C453A" w14:textId="77777777" w:rsidR="003C65CF" w:rsidRPr="003C65CF" w:rsidRDefault="003C65CF" w:rsidP="003C65CF">
      <w:pPr>
        <w:numPr>
          <w:ilvl w:val="0"/>
          <w:numId w:val="24"/>
        </w:numPr>
        <w:rPr>
          <w:rFonts w:ascii="Arial" w:hAnsi="Arial" w:cs="Arial"/>
          <w:sz w:val="24"/>
          <w:szCs w:val="24"/>
        </w:rPr>
      </w:pPr>
      <w:r w:rsidRPr="003C65CF">
        <w:rPr>
          <w:rFonts w:ascii="Arial" w:hAnsi="Arial" w:cs="Arial"/>
          <w:sz w:val="24"/>
          <w:szCs w:val="24"/>
        </w:rPr>
        <w:t xml:space="preserve">While the Planning Act and PPS 2024 do not define “enhanced development standards,” the </w:t>
      </w:r>
      <w:proofErr w:type="gramStart"/>
      <w:r w:rsidRPr="003C65CF">
        <w:rPr>
          <w:rFonts w:ascii="Arial" w:hAnsi="Arial" w:cs="Arial"/>
          <w:sz w:val="24"/>
          <w:szCs w:val="24"/>
        </w:rPr>
        <w:t>Province</w:t>
      </w:r>
      <w:proofErr w:type="gramEnd"/>
      <w:r w:rsidRPr="003C65CF">
        <w:rPr>
          <w:rFonts w:ascii="Arial" w:hAnsi="Arial" w:cs="Arial"/>
          <w:sz w:val="24"/>
          <w:szCs w:val="24"/>
        </w:rPr>
        <w:t xml:space="preserve"> has indicated that these often include features such as bioswales, permeable pavement, native tree planting, soil volume requirements, and bicycle parking. The County of Brant applies lot-level standards through conditions applied to site plan and subdivision approvals, but only to manage technical issues like grading, stormwater, utilities, and improvements to the interface with the public realm (e.g. entrances, pedestrian connections etc.). </w:t>
      </w:r>
    </w:p>
    <w:p w14:paraId="65086D87" w14:textId="77777777" w:rsidR="003C65CF" w:rsidRPr="003C65CF" w:rsidRDefault="003C65CF" w:rsidP="003C65CF">
      <w:pPr>
        <w:numPr>
          <w:ilvl w:val="0"/>
          <w:numId w:val="24"/>
        </w:numPr>
        <w:rPr>
          <w:rFonts w:ascii="Arial" w:hAnsi="Arial" w:cs="Arial"/>
          <w:sz w:val="24"/>
          <w:szCs w:val="24"/>
        </w:rPr>
      </w:pPr>
      <w:r w:rsidRPr="003C65CF">
        <w:rPr>
          <w:rFonts w:ascii="Arial" w:hAnsi="Arial" w:cs="Arial"/>
          <w:sz w:val="24"/>
          <w:szCs w:val="24"/>
        </w:rPr>
        <w:t>Application of enhanced development standards appears to vary widely. Some municipalities prescribe vegetative elements and green infrastructure, while others do not (e.g. Brant) but may encourage.</w:t>
      </w:r>
    </w:p>
    <w:p w14:paraId="0F5EBB5F" w14:textId="77777777" w:rsidR="003C65CF" w:rsidRPr="003C65CF" w:rsidRDefault="003C65CF" w:rsidP="003C65CF">
      <w:pPr>
        <w:numPr>
          <w:ilvl w:val="0"/>
          <w:numId w:val="24"/>
        </w:numPr>
        <w:rPr>
          <w:rFonts w:ascii="Arial" w:hAnsi="Arial" w:cs="Arial"/>
          <w:sz w:val="24"/>
          <w:szCs w:val="24"/>
        </w:rPr>
      </w:pPr>
      <w:r w:rsidRPr="003C65CF">
        <w:rPr>
          <w:rFonts w:ascii="Arial" w:hAnsi="Arial" w:cs="Arial"/>
          <w:sz w:val="24"/>
          <w:szCs w:val="24"/>
        </w:rPr>
        <w:t xml:space="preserve">Standards like bioswales, permeable pavement, and tree planting improve stormwater management, reduce flooding risk, and enhance air quality and shade, ultimately supporting public health and safety. Rather than prohibiting these, consider how they can be standardized and supported and clarify how they can be used appropriately and effectively. </w:t>
      </w:r>
    </w:p>
    <w:p w14:paraId="4046F17F" w14:textId="77777777" w:rsidR="003C65CF" w:rsidRPr="003C65CF" w:rsidRDefault="003C65CF" w:rsidP="003C65CF">
      <w:pPr>
        <w:numPr>
          <w:ilvl w:val="0"/>
          <w:numId w:val="24"/>
        </w:numPr>
        <w:rPr>
          <w:rFonts w:ascii="Arial" w:hAnsi="Arial" w:cs="Arial"/>
          <w:sz w:val="24"/>
          <w:szCs w:val="24"/>
        </w:rPr>
      </w:pPr>
      <w:r w:rsidRPr="003C65CF">
        <w:rPr>
          <w:rFonts w:ascii="Arial" w:hAnsi="Arial" w:cs="Arial"/>
          <w:sz w:val="24"/>
          <w:szCs w:val="24"/>
        </w:rPr>
        <w:t xml:space="preserve">Costs of enhanced development standards will vary by feature and scale. The County of Brant has not researched this further. </w:t>
      </w:r>
    </w:p>
    <w:p w14:paraId="7CAB61A3" w14:textId="77777777" w:rsidR="003C65CF" w:rsidRPr="003C65CF" w:rsidRDefault="003C65CF" w:rsidP="003C65CF">
      <w:pPr>
        <w:numPr>
          <w:ilvl w:val="0"/>
          <w:numId w:val="24"/>
        </w:numPr>
        <w:rPr>
          <w:rFonts w:ascii="Arial" w:hAnsi="Arial" w:cs="Arial"/>
          <w:sz w:val="24"/>
          <w:szCs w:val="24"/>
        </w:rPr>
      </w:pPr>
      <w:r w:rsidRPr="003C65CF">
        <w:rPr>
          <w:rFonts w:ascii="Arial" w:hAnsi="Arial" w:cs="Arial"/>
          <w:sz w:val="24"/>
          <w:szCs w:val="24"/>
        </w:rPr>
        <w:lastRenderedPageBreak/>
        <w:t xml:space="preserve">Enhanced standards should remain discretionary, but the </w:t>
      </w:r>
      <w:proofErr w:type="gramStart"/>
      <w:r w:rsidRPr="003C65CF">
        <w:rPr>
          <w:rFonts w:ascii="Arial" w:hAnsi="Arial" w:cs="Arial"/>
          <w:sz w:val="24"/>
          <w:szCs w:val="24"/>
        </w:rPr>
        <w:t>Province</w:t>
      </w:r>
      <w:proofErr w:type="gramEnd"/>
      <w:r w:rsidRPr="003C65CF">
        <w:rPr>
          <w:rFonts w:ascii="Arial" w:hAnsi="Arial" w:cs="Arial"/>
          <w:sz w:val="24"/>
          <w:szCs w:val="24"/>
        </w:rPr>
        <w:t xml:space="preserve"> can provide clearer parameters on when these are appropriate. These standards provide local flexibility to avoid unintended risks and ensure alignment with housing and climate goals. Recommendations include:</w:t>
      </w:r>
    </w:p>
    <w:p w14:paraId="55CD9583" w14:textId="77777777" w:rsidR="003C65CF" w:rsidRPr="007A0452" w:rsidRDefault="003C65CF" w:rsidP="007A0452">
      <w:pPr>
        <w:pStyle w:val="ListParagraph"/>
        <w:numPr>
          <w:ilvl w:val="0"/>
          <w:numId w:val="29"/>
        </w:numPr>
        <w:rPr>
          <w:rFonts w:ascii="Arial" w:hAnsi="Arial" w:cs="Arial"/>
          <w:lang w:val="en-US"/>
        </w:rPr>
      </w:pPr>
      <w:r w:rsidRPr="007A0452">
        <w:rPr>
          <w:rFonts w:ascii="Arial" w:hAnsi="Arial" w:cs="Arial"/>
          <w:lang w:val="en-US"/>
        </w:rPr>
        <w:t xml:space="preserve">Define 'enhanced development standards' vs ‘standard development standards’ to clearly distinguish what can be required vs. what is not part of this scope.  </w:t>
      </w:r>
    </w:p>
    <w:p w14:paraId="4AEDA0A0" w14:textId="2AD27BB3" w:rsidR="003C65CF" w:rsidRPr="007A0452" w:rsidRDefault="003C65CF" w:rsidP="007A0452">
      <w:pPr>
        <w:pStyle w:val="ListParagraph"/>
        <w:numPr>
          <w:ilvl w:val="0"/>
          <w:numId w:val="29"/>
        </w:numPr>
        <w:rPr>
          <w:rFonts w:ascii="Arial" w:hAnsi="Arial" w:cs="Arial"/>
          <w:lang w:val="en-US"/>
        </w:rPr>
      </w:pPr>
      <w:r w:rsidRPr="007A0452">
        <w:rPr>
          <w:rFonts w:ascii="Arial" w:hAnsi="Arial" w:cs="Arial"/>
          <w:lang w:val="en-US"/>
        </w:rPr>
        <w:t>Consider municipal flexibility for localized enhancements where a measurable public benefit can be demonstrated. (Consider a cost-benefit analysis template or similar)</w:t>
      </w:r>
      <w:r w:rsidR="00C06BB7">
        <w:rPr>
          <w:rFonts w:ascii="Arial" w:hAnsi="Arial" w:cs="Arial"/>
          <w:lang w:val="en-US"/>
        </w:rPr>
        <w:br/>
      </w:r>
    </w:p>
    <w:p w14:paraId="1937F265" w14:textId="77777777" w:rsidR="003C65CF" w:rsidRPr="003C65CF" w:rsidRDefault="003C65CF" w:rsidP="007F6333">
      <w:pPr>
        <w:pStyle w:val="Heading3"/>
        <w:rPr>
          <w:rFonts w:ascii="Arial" w:hAnsi="Arial" w:cs="Arial"/>
          <w:sz w:val="24"/>
          <w:szCs w:val="24"/>
        </w:rPr>
      </w:pPr>
      <w:r w:rsidRPr="003C65CF">
        <w:rPr>
          <w:rFonts w:ascii="Arial" w:hAnsi="Arial" w:cs="Arial"/>
          <w:sz w:val="24"/>
          <w:szCs w:val="24"/>
        </w:rPr>
        <w:t>2. Minimum Lot Sizes (</w:t>
      </w:r>
      <w:hyperlink r:id="rId14" w:history="1">
        <w:r w:rsidRPr="003C65CF">
          <w:rPr>
            <w:rStyle w:val="Hyperlink"/>
            <w:rFonts w:ascii="Arial" w:hAnsi="Arial" w:cs="Arial"/>
            <w:sz w:val="24"/>
            <w:szCs w:val="24"/>
          </w:rPr>
          <w:t>ERO 025-1100</w:t>
        </w:r>
      </w:hyperlink>
      <w:r w:rsidRPr="003C65CF">
        <w:rPr>
          <w:rFonts w:ascii="Arial" w:hAnsi="Arial" w:cs="Arial"/>
          <w:sz w:val="24"/>
          <w:szCs w:val="24"/>
        </w:rPr>
        <w:t>)</w:t>
      </w:r>
    </w:p>
    <w:p w14:paraId="125ABF1F" w14:textId="77777777" w:rsidR="003C65CF" w:rsidRPr="003C65CF" w:rsidRDefault="003C65CF" w:rsidP="003C65CF">
      <w:pPr>
        <w:numPr>
          <w:ilvl w:val="0"/>
          <w:numId w:val="25"/>
        </w:numPr>
        <w:rPr>
          <w:rFonts w:ascii="Arial" w:hAnsi="Arial" w:cs="Arial"/>
          <w:sz w:val="24"/>
          <w:szCs w:val="24"/>
        </w:rPr>
      </w:pPr>
      <w:r w:rsidRPr="003C65CF">
        <w:rPr>
          <w:rFonts w:ascii="Arial" w:hAnsi="Arial" w:cs="Arial"/>
          <w:sz w:val="24"/>
          <w:szCs w:val="24"/>
        </w:rPr>
        <w:t>Reducing minimum lot sizes can help deliver gentle density and housing supply but safeguards are needed to ensure each property can still support infrastructure connections and stormwater management needs. A shift from fixed dimensions to focus on functional requirements evaluated at a broader planning level would help avoid cumulative negative impacts that occur on a lot-by-lot basis. This approach would ensure each lot considers essential elements for livability and functionality. Along with items like servicing capacity, emergency access, waste and snow collection, functional requirements that have impacted the County of Brant in considering lot size reductions include:</w:t>
      </w:r>
    </w:p>
    <w:p w14:paraId="3E62C51B" w14:textId="77777777" w:rsidR="003C65CF" w:rsidRPr="003C65CF" w:rsidRDefault="003C65CF" w:rsidP="003C65CF">
      <w:pPr>
        <w:numPr>
          <w:ilvl w:val="0"/>
          <w:numId w:val="26"/>
        </w:numPr>
        <w:rPr>
          <w:rFonts w:ascii="Arial" w:hAnsi="Arial" w:cs="Arial"/>
          <w:sz w:val="24"/>
          <w:szCs w:val="24"/>
        </w:rPr>
      </w:pPr>
      <w:r w:rsidRPr="003C65CF">
        <w:rPr>
          <w:rFonts w:ascii="Arial" w:hAnsi="Arial" w:cs="Arial"/>
          <w:sz w:val="24"/>
          <w:szCs w:val="24"/>
        </w:rPr>
        <w:t>Frontage to support parking in areas with limited or no transit – Prevent spillover parking and congestion by ensuring lot size and frontage supports on-street or private parking.</w:t>
      </w:r>
    </w:p>
    <w:p w14:paraId="6E30632A" w14:textId="77777777" w:rsidR="003C65CF" w:rsidRPr="003C65CF" w:rsidRDefault="003C65CF" w:rsidP="003C65CF">
      <w:pPr>
        <w:numPr>
          <w:ilvl w:val="0"/>
          <w:numId w:val="26"/>
        </w:numPr>
        <w:rPr>
          <w:rFonts w:ascii="Arial" w:hAnsi="Arial" w:cs="Arial"/>
          <w:sz w:val="24"/>
          <w:szCs w:val="24"/>
        </w:rPr>
      </w:pPr>
      <w:r w:rsidRPr="003C65CF">
        <w:rPr>
          <w:rFonts w:ascii="Arial" w:hAnsi="Arial" w:cs="Arial"/>
          <w:sz w:val="24"/>
          <w:szCs w:val="24"/>
        </w:rPr>
        <w:t>Access alternatives to reduce driveways on busy streets – Require laneways, shared easements, or condo roads to maintain traffic flow and safety.</w:t>
      </w:r>
    </w:p>
    <w:p w14:paraId="5159319A" w14:textId="77777777" w:rsidR="003C65CF" w:rsidRPr="003C65CF" w:rsidRDefault="003C65CF" w:rsidP="003C65CF">
      <w:pPr>
        <w:numPr>
          <w:ilvl w:val="0"/>
          <w:numId w:val="26"/>
        </w:numPr>
        <w:rPr>
          <w:rFonts w:ascii="Arial" w:hAnsi="Arial" w:cs="Arial"/>
          <w:sz w:val="24"/>
          <w:szCs w:val="24"/>
        </w:rPr>
      </w:pPr>
      <w:r w:rsidRPr="003C65CF">
        <w:rPr>
          <w:rFonts w:ascii="Arial" w:hAnsi="Arial" w:cs="Arial"/>
          <w:sz w:val="24"/>
          <w:szCs w:val="24"/>
        </w:rPr>
        <w:t>Green space to protect canopy and manage stormwater</w:t>
      </w:r>
      <w:r w:rsidRPr="003C65CF">
        <w:rPr>
          <w:rFonts w:ascii="Arial" w:hAnsi="Arial" w:cs="Arial"/>
          <w:b/>
          <w:bCs/>
          <w:sz w:val="24"/>
          <w:szCs w:val="24"/>
        </w:rPr>
        <w:t xml:space="preserve"> – </w:t>
      </w:r>
      <w:r w:rsidRPr="003C65CF">
        <w:rPr>
          <w:rFonts w:ascii="Arial" w:hAnsi="Arial" w:cs="Arial"/>
          <w:sz w:val="24"/>
          <w:szCs w:val="24"/>
        </w:rPr>
        <w:t xml:space="preserve">Avoid full lot coverage and cumulative impacts by requiring permeable areas for trees and infiltration. </w:t>
      </w:r>
    </w:p>
    <w:p w14:paraId="65D0B7C9" w14:textId="77777777" w:rsidR="003C65CF" w:rsidRPr="003C65CF" w:rsidRDefault="003C65CF" w:rsidP="003C65CF">
      <w:pPr>
        <w:numPr>
          <w:ilvl w:val="0"/>
          <w:numId w:val="25"/>
        </w:numPr>
        <w:rPr>
          <w:rFonts w:ascii="Arial" w:hAnsi="Arial" w:cs="Arial"/>
          <w:sz w:val="24"/>
          <w:szCs w:val="24"/>
        </w:rPr>
      </w:pPr>
      <w:r w:rsidRPr="003C65CF">
        <w:rPr>
          <w:rFonts w:ascii="Arial" w:hAnsi="Arial" w:cs="Arial"/>
          <w:sz w:val="24"/>
          <w:szCs w:val="24"/>
        </w:rPr>
        <w:t>Lot-size reforms appear to work best in urbanized areas with servicing infrastructure, transit, and nearby amenities. Avoid prescriptive directions in partially or privately serviced areas, or those that lack urban amenities.</w:t>
      </w:r>
    </w:p>
    <w:p w14:paraId="132787DE" w14:textId="77777777" w:rsidR="003C65CF" w:rsidRPr="003C65CF" w:rsidRDefault="003C65CF" w:rsidP="003C65CF">
      <w:pPr>
        <w:numPr>
          <w:ilvl w:val="0"/>
          <w:numId w:val="25"/>
        </w:numPr>
        <w:rPr>
          <w:rFonts w:ascii="Arial" w:hAnsi="Arial" w:cs="Arial"/>
          <w:sz w:val="24"/>
          <w:szCs w:val="24"/>
        </w:rPr>
      </w:pPr>
      <w:r w:rsidRPr="003C65CF">
        <w:rPr>
          <w:rFonts w:ascii="Arial" w:hAnsi="Arial" w:cs="Arial"/>
          <w:sz w:val="24"/>
          <w:szCs w:val="24"/>
        </w:rPr>
        <w:t xml:space="preserve">Ensure that reforms only apply to urban serviced areas. Minimum lot size requirements in areas serviced by private wells and septic systems should still require larger, and local minimums reflecting the local conditions to align with the Provinces D-5-4 and D-5-5 guidelines based on (soils </w:t>
      </w:r>
      <w:proofErr w:type="spellStart"/>
      <w:r w:rsidRPr="003C65CF">
        <w:rPr>
          <w:rFonts w:ascii="Arial" w:hAnsi="Arial" w:cs="Arial"/>
          <w:sz w:val="24"/>
          <w:szCs w:val="24"/>
        </w:rPr>
        <w:t>etc</w:t>
      </w:r>
      <w:proofErr w:type="spellEnd"/>
      <w:r w:rsidRPr="003C65CF">
        <w:rPr>
          <w:rFonts w:ascii="Arial" w:hAnsi="Arial" w:cs="Arial"/>
          <w:sz w:val="24"/>
          <w:szCs w:val="24"/>
        </w:rPr>
        <w:t>).</w:t>
      </w:r>
    </w:p>
    <w:p w14:paraId="6E940E10" w14:textId="77777777" w:rsidR="003C65CF" w:rsidRPr="003C65CF" w:rsidRDefault="003C65CF" w:rsidP="003C65CF">
      <w:pPr>
        <w:numPr>
          <w:ilvl w:val="0"/>
          <w:numId w:val="25"/>
        </w:numPr>
        <w:rPr>
          <w:rFonts w:ascii="Arial" w:hAnsi="Arial" w:cs="Arial"/>
          <w:sz w:val="24"/>
          <w:szCs w:val="24"/>
        </w:rPr>
      </w:pPr>
      <w:r w:rsidRPr="003C65CF">
        <w:rPr>
          <w:rFonts w:ascii="Arial" w:hAnsi="Arial" w:cs="Arial"/>
          <w:sz w:val="24"/>
          <w:szCs w:val="24"/>
        </w:rPr>
        <w:t xml:space="preserve">Rather than prescribing one standard minimum or maximum standard across the </w:t>
      </w:r>
      <w:proofErr w:type="gramStart"/>
      <w:r w:rsidRPr="003C65CF">
        <w:rPr>
          <w:rFonts w:ascii="Arial" w:hAnsi="Arial" w:cs="Arial"/>
          <w:sz w:val="24"/>
          <w:szCs w:val="24"/>
        </w:rPr>
        <w:t>Province</w:t>
      </w:r>
      <w:proofErr w:type="gramEnd"/>
      <w:r w:rsidRPr="003C65CF">
        <w:rPr>
          <w:rFonts w:ascii="Arial" w:hAnsi="Arial" w:cs="Arial"/>
          <w:sz w:val="24"/>
          <w:szCs w:val="24"/>
        </w:rPr>
        <w:t>, consider applying a range. Allow municipalities to justify lot sizes within this range based on localized considerations, such as servicing capacity, on-street parking, access, and green-to-hard surface ratios. As an example, the County of Brant relies on private and on-street parking as important pieces of our transportation system because public transportation opportunities are currently limited. Justification for changes to lot size and frontage in Brant requires consideration of this, but greater variations may be warranted in an area where public transit is readily available. When considering variations within the prescribed range, clarify when they may be appropriately supplemented to support more compact development, for example:</w:t>
      </w:r>
    </w:p>
    <w:p w14:paraId="40EC616A" w14:textId="77777777" w:rsidR="003C65CF" w:rsidRPr="003C65CF" w:rsidRDefault="003C65CF" w:rsidP="007A0452">
      <w:pPr>
        <w:numPr>
          <w:ilvl w:val="1"/>
          <w:numId w:val="30"/>
        </w:numPr>
        <w:rPr>
          <w:rFonts w:ascii="Arial" w:hAnsi="Arial" w:cs="Arial"/>
          <w:sz w:val="24"/>
          <w:szCs w:val="24"/>
        </w:rPr>
      </w:pPr>
      <w:r w:rsidRPr="003C65CF">
        <w:rPr>
          <w:rFonts w:ascii="Arial" w:hAnsi="Arial" w:cs="Arial"/>
          <w:sz w:val="24"/>
          <w:szCs w:val="24"/>
        </w:rPr>
        <w:lastRenderedPageBreak/>
        <w:t>accepting cash in lieu of tree-planting, parkland or similar</w:t>
      </w:r>
    </w:p>
    <w:p w14:paraId="47620509" w14:textId="77777777" w:rsidR="003C65CF" w:rsidRPr="003C65CF" w:rsidRDefault="003C65CF" w:rsidP="007A0452">
      <w:pPr>
        <w:numPr>
          <w:ilvl w:val="1"/>
          <w:numId w:val="30"/>
        </w:numPr>
        <w:rPr>
          <w:rFonts w:ascii="Arial" w:hAnsi="Arial" w:cs="Arial"/>
          <w:sz w:val="24"/>
          <w:szCs w:val="24"/>
        </w:rPr>
      </w:pPr>
      <w:r w:rsidRPr="003C65CF">
        <w:rPr>
          <w:rFonts w:ascii="Arial" w:hAnsi="Arial" w:cs="Arial"/>
          <w:sz w:val="24"/>
          <w:szCs w:val="24"/>
        </w:rPr>
        <w:t>requiring community benefit charges to support shared amenities</w:t>
      </w:r>
    </w:p>
    <w:p w14:paraId="166808D5" w14:textId="77777777" w:rsidR="003C65CF" w:rsidRPr="003C65CF" w:rsidRDefault="003C65CF" w:rsidP="007A0452">
      <w:pPr>
        <w:numPr>
          <w:ilvl w:val="1"/>
          <w:numId w:val="30"/>
        </w:numPr>
        <w:rPr>
          <w:rFonts w:ascii="Arial" w:hAnsi="Arial" w:cs="Arial"/>
          <w:sz w:val="24"/>
          <w:szCs w:val="24"/>
        </w:rPr>
      </w:pPr>
      <w:r w:rsidRPr="003C65CF">
        <w:rPr>
          <w:rFonts w:ascii="Arial" w:hAnsi="Arial" w:cs="Arial"/>
          <w:sz w:val="24"/>
          <w:szCs w:val="24"/>
        </w:rPr>
        <w:t>requiring land acquisition for municipal laneways rather than relying on private access easement.</w:t>
      </w:r>
    </w:p>
    <w:p w14:paraId="30278FB3" w14:textId="77777777" w:rsidR="003C65CF" w:rsidRPr="003C65CF" w:rsidRDefault="003C65CF" w:rsidP="003C65CF">
      <w:pPr>
        <w:numPr>
          <w:ilvl w:val="0"/>
          <w:numId w:val="25"/>
        </w:numPr>
        <w:rPr>
          <w:rFonts w:ascii="Arial" w:hAnsi="Arial" w:cs="Arial"/>
          <w:sz w:val="24"/>
          <w:szCs w:val="24"/>
        </w:rPr>
      </w:pPr>
      <w:r w:rsidRPr="003C65CF">
        <w:rPr>
          <w:rFonts w:ascii="Arial" w:hAnsi="Arial" w:cs="Arial"/>
          <w:sz w:val="24"/>
          <w:szCs w:val="24"/>
        </w:rPr>
        <w:t xml:space="preserve"> Reducing minimum lot sizes can support gentle density and housing supply, but safeguards are needed to maintain livability and functionality. Shifting focus from fixed dimensions to performance-based standards will help ensure quality outcomes.</w:t>
      </w:r>
      <w:r w:rsidRPr="003C65CF">
        <w:rPr>
          <w:rFonts w:ascii="Arial" w:hAnsi="Arial" w:cs="Arial"/>
          <w:sz w:val="24"/>
          <w:szCs w:val="24"/>
        </w:rPr>
        <w:br/>
      </w:r>
      <w:r w:rsidRPr="003C65CF">
        <w:rPr>
          <w:rFonts w:ascii="Arial" w:hAnsi="Arial" w:cs="Arial"/>
          <w:bCs/>
          <w:sz w:val="24"/>
          <w:szCs w:val="24"/>
        </w:rPr>
        <w:t>Potential requirements:</w:t>
      </w:r>
    </w:p>
    <w:p w14:paraId="78C081F8" w14:textId="77777777" w:rsidR="003C65CF" w:rsidRPr="003C65CF" w:rsidRDefault="003C65CF" w:rsidP="007A0452">
      <w:pPr>
        <w:numPr>
          <w:ilvl w:val="1"/>
          <w:numId w:val="31"/>
        </w:numPr>
        <w:rPr>
          <w:rFonts w:ascii="Arial" w:hAnsi="Arial" w:cs="Arial"/>
          <w:sz w:val="24"/>
          <w:szCs w:val="24"/>
        </w:rPr>
      </w:pPr>
      <w:r w:rsidRPr="003C65CF">
        <w:rPr>
          <w:rFonts w:ascii="Arial" w:hAnsi="Arial" w:cs="Arial"/>
          <w:b/>
          <w:bCs/>
          <w:sz w:val="24"/>
          <w:szCs w:val="24"/>
        </w:rPr>
        <w:t>Parking/Frontage:</w:t>
      </w:r>
      <w:r w:rsidRPr="003C65CF">
        <w:rPr>
          <w:rFonts w:ascii="Arial" w:hAnsi="Arial" w:cs="Arial"/>
          <w:sz w:val="24"/>
          <w:szCs w:val="24"/>
        </w:rPr>
        <w:t xml:space="preserve"> Ensure adequate frontage for </w:t>
      </w:r>
      <w:proofErr w:type="gramStart"/>
      <w:r w:rsidRPr="003C65CF">
        <w:rPr>
          <w:rFonts w:ascii="Arial" w:hAnsi="Arial" w:cs="Arial"/>
          <w:sz w:val="24"/>
          <w:szCs w:val="24"/>
        </w:rPr>
        <w:t>on-street</w:t>
      </w:r>
      <w:proofErr w:type="gramEnd"/>
      <w:r w:rsidRPr="003C65CF">
        <w:rPr>
          <w:rFonts w:ascii="Arial" w:hAnsi="Arial" w:cs="Arial"/>
          <w:sz w:val="24"/>
          <w:szCs w:val="24"/>
        </w:rPr>
        <w:t xml:space="preserve"> or shared parking.</w:t>
      </w:r>
    </w:p>
    <w:p w14:paraId="0C46ECED" w14:textId="77777777" w:rsidR="003C65CF" w:rsidRPr="003C65CF" w:rsidRDefault="003C65CF" w:rsidP="007A0452">
      <w:pPr>
        <w:numPr>
          <w:ilvl w:val="1"/>
          <w:numId w:val="31"/>
        </w:numPr>
        <w:rPr>
          <w:rFonts w:ascii="Arial" w:hAnsi="Arial" w:cs="Arial"/>
          <w:sz w:val="24"/>
          <w:szCs w:val="24"/>
        </w:rPr>
      </w:pPr>
      <w:r w:rsidRPr="003C65CF">
        <w:rPr>
          <w:rFonts w:ascii="Arial" w:hAnsi="Arial" w:cs="Arial"/>
          <w:b/>
          <w:bCs/>
          <w:sz w:val="24"/>
          <w:szCs w:val="24"/>
        </w:rPr>
        <w:t>Amenity Space:</w:t>
      </w:r>
      <w:r w:rsidRPr="003C65CF">
        <w:rPr>
          <w:rFonts w:ascii="Arial" w:hAnsi="Arial" w:cs="Arial"/>
          <w:sz w:val="24"/>
          <w:szCs w:val="24"/>
        </w:rPr>
        <w:t xml:space="preserve"> Provide adequate private or communal amenity areas (or access within a certain walking distance).</w:t>
      </w:r>
    </w:p>
    <w:p w14:paraId="17FBEDE2" w14:textId="77777777" w:rsidR="003C65CF" w:rsidRPr="003C65CF" w:rsidRDefault="003C65CF" w:rsidP="007A0452">
      <w:pPr>
        <w:numPr>
          <w:ilvl w:val="1"/>
          <w:numId w:val="31"/>
        </w:numPr>
        <w:rPr>
          <w:rFonts w:ascii="Arial" w:hAnsi="Arial" w:cs="Arial"/>
          <w:sz w:val="24"/>
          <w:szCs w:val="24"/>
        </w:rPr>
      </w:pPr>
      <w:r w:rsidRPr="003C65CF">
        <w:rPr>
          <w:rFonts w:ascii="Arial" w:hAnsi="Arial" w:cs="Arial"/>
          <w:b/>
          <w:bCs/>
          <w:sz w:val="24"/>
          <w:szCs w:val="24"/>
        </w:rPr>
        <w:t>Access:</w:t>
      </w:r>
      <w:r w:rsidRPr="003C65CF">
        <w:rPr>
          <w:rFonts w:ascii="Arial" w:hAnsi="Arial" w:cs="Arial"/>
          <w:sz w:val="24"/>
          <w:szCs w:val="24"/>
        </w:rPr>
        <w:t xml:space="preserve"> Require safe and practical arrangements such as municipal laneways, shared easements, or condo roads.</w:t>
      </w:r>
    </w:p>
    <w:p w14:paraId="36E1A9E7" w14:textId="77777777" w:rsidR="003C65CF" w:rsidRPr="003C65CF" w:rsidRDefault="003C65CF" w:rsidP="007A0452">
      <w:pPr>
        <w:numPr>
          <w:ilvl w:val="1"/>
          <w:numId w:val="31"/>
        </w:numPr>
        <w:rPr>
          <w:rFonts w:ascii="Arial" w:hAnsi="Arial" w:cs="Arial"/>
          <w:sz w:val="24"/>
          <w:szCs w:val="24"/>
        </w:rPr>
      </w:pPr>
      <w:r w:rsidRPr="003C65CF">
        <w:rPr>
          <w:rFonts w:ascii="Arial" w:hAnsi="Arial" w:cs="Arial"/>
          <w:b/>
          <w:bCs/>
          <w:sz w:val="24"/>
          <w:szCs w:val="24"/>
        </w:rPr>
        <w:t>Green Infrastructure:</w:t>
      </w:r>
      <w:r w:rsidRPr="003C65CF">
        <w:rPr>
          <w:rFonts w:ascii="Arial" w:hAnsi="Arial" w:cs="Arial"/>
          <w:sz w:val="24"/>
          <w:szCs w:val="24"/>
        </w:rPr>
        <w:t xml:space="preserve"> Maintain and enhance tree canopy and manage stormwater through defined green space requirements.</w:t>
      </w:r>
    </w:p>
    <w:p w14:paraId="0A3FE29B" w14:textId="20064003" w:rsidR="003C65CF" w:rsidRPr="003C65CF" w:rsidRDefault="003C65CF" w:rsidP="007A0452">
      <w:pPr>
        <w:numPr>
          <w:ilvl w:val="1"/>
          <w:numId w:val="31"/>
        </w:numPr>
        <w:rPr>
          <w:rFonts w:ascii="Arial" w:hAnsi="Arial" w:cs="Arial"/>
          <w:sz w:val="24"/>
          <w:szCs w:val="24"/>
        </w:rPr>
      </w:pPr>
      <w:r w:rsidRPr="003C65CF">
        <w:rPr>
          <w:rFonts w:ascii="Arial" w:hAnsi="Arial" w:cs="Arial"/>
          <w:b/>
          <w:bCs/>
          <w:sz w:val="24"/>
          <w:szCs w:val="24"/>
        </w:rPr>
        <w:t>Additional Standards:</w:t>
      </w:r>
      <w:r w:rsidRPr="003C65CF">
        <w:rPr>
          <w:rFonts w:ascii="Arial" w:hAnsi="Arial" w:cs="Arial"/>
          <w:sz w:val="24"/>
          <w:szCs w:val="24"/>
        </w:rPr>
        <w:t xml:space="preserve"> Lot coverage, height, and density controls are needed to prevent overbuilding and preserve neighborhood character.</w:t>
      </w:r>
      <w:r w:rsidR="00C06BB7">
        <w:rPr>
          <w:rFonts w:ascii="Arial" w:hAnsi="Arial" w:cs="Arial"/>
          <w:sz w:val="24"/>
          <w:szCs w:val="24"/>
        </w:rPr>
        <w:br/>
      </w:r>
      <w:r w:rsidR="007A0452">
        <w:rPr>
          <w:rFonts w:ascii="Arial" w:hAnsi="Arial" w:cs="Arial"/>
          <w:sz w:val="24"/>
          <w:szCs w:val="24"/>
        </w:rPr>
        <w:br/>
      </w:r>
    </w:p>
    <w:p w14:paraId="4FE5060F" w14:textId="77777777" w:rsidR="003C65CF" w:rsidRPr="007F6333" w:rsidRDefault="003C65CF" w:rsidP="007F6333">
      <w:pPr>
        <w:pStyle w:val="Heading3"/>
        <w:rPr>
          <w:rFonts w:ascii="Arial" w:hAnsi="Arial" w:cs="Arial"/>
          <w:sz w:val="24"/>
          <w:szCs w:val="24"/>
        </w:rPr>
      </w:pPr>
      <w:r w:rsidRPr="007F6333">
        <w:rPr>
          <w:rFonts w:ascii="Arial" w:hAnsi="Arial" w:cs="Arial"/>
          <w:sz w:val="24"/>
          <w:szCs w:val="24"/>
        </w:rPr>
        <w:t>3. Simplifying and Standardizing Official Plans (</w:t>
      </w:r>
      <w:hyperlink r:id="rId15" w:history="1">
        <w:r w:rsidRPr="007F6333">
          <w:rPr>
            <w:rStyle w:val="Hyperlink"/>
            <w:rFonts w:ascii="Arial" w:hAnsi="Arial" w:cs="Arial"/>
            <w:sz w:val="24"/>
            <w:szCs w:val="24"/>
          </w:rPr>
          <w:t>ERO 025-1099</w:t>
        </w:r>
      </w:hyperlink>
      <w:r w:rsidRPr="007F6333">
        <w:rPr>
          <w:rFonts w:ascii="Arial" w:hAnsi="Arial" w:cs="Arial"/>
          <w:sz w:val="24"/>
          <w:szCs w:val="24"/>
        </w:rPr>
        <w:t>)</w:t>
      </w:r>
    </w:p>
    <w:p w14:paraId="20265EAB" w14:textId="77777777" w:rsidR="003C65CF" w:rsidRPr="003C65CF" w:rsidRDefault="003C65CF" w:rsidP="003C65CF">
      <w:pPr>
        <w:rPr>
          <w:rFonts w:ascii="Arial" w:hAnsi="Arial" w:cs="Arial"/>
          <w:b/>
          <w:bCs/>
          <w:sz w:val="24"/>
          <w:szCs w:val="24"/>
        </w:rPr>
      </w:pPr>
      <w:r w:rsidRPr="003C65CF">
        <w:rPr>
          <w:rFonts w:ascii="Arial" w:hAnsi="Arial" w:cs="Arial"/>
          <w:b/>
          <w:bCs/>
          <w:sz w:val="24"/>
          <w:szCs w:val="24"/>
        </w:rPr>
        <w:t>Perspective on Simplifying and Standardizing Official Plans</w:t>
      </w:r>
    </w:p>
    <w:p w14:paraId="5E8B35DC" w14:textId="79738223" w:rsidR="003C65CF" w:rsidRPr="003C65CF" w:rsidRDefault="003C65CF" w:rsidP="003C65CF">
      <w:pPr>
        <w:rPr>
          <w:rFonts w:ascii="Arial" w:hAnsi="Arial" w:cs="Arial"/>
          <w:sz w:val="24"/>
          <w:szCs w:val="24"/>
        </w:rPr>
      </w:pPr>
      <w:r w:rsidRPr="003C65CF">
        <w:rPr>
          <w:rFonts w:ascii="Arial" w:hAnsi="Arial" w:cs="Arial"/>
          <w:sz w:val="24"/>
          <w:szCs w:val="24"/>
        </w:rPr>
        <w:t>Standardizing Official Plans could improve clarity and consistency, but flexibility is still needed to reflect local context. Official Plans should focus on regional growth, servicing, environmental systems, and land use while recognizing local priorities.</w:t>
      </w:r>
    </w:p>
    <w:p w14:paraId="1D9E2F63" w14:textId="77777777" w:rsidR="003C65CF" w:rsidRPr="003C65CF" w:rsidRDefault="003C65CF" w:rsidP="003C65CF">
      <w:pPr>
        <w:rPr>
          <w:rFonts w:ascii="Arial" w:hAnsi="Arial" w:cs="Arial"/>
          <w:b/>
          <w:bCs/>
          <w:sz w:val="24"/>
          <w:szCs w:val="24"/>
        </w:rPr>
      </w:pPr>
      <w:r w:rsidRPr="003C65CF">
        <w:rPr>
          <w:rFonts w:ascii="Arial" w:hAnsi="Arial" w:cs="Arial"/>
          <w:b/>
          <w:bCs/>
          <w:sz w:val="24"/>
          <w:szCs w:val="24"/>
        </w:rPr>
        <w:t>Distinctions Between Upper- and Lower-Tier Plans</w:t>
      </w:r>
    </w:p>
    <w:p w14:paraId="588CA31C" w14:textId="77777777" w:rsidR="003C65CF" w:rsidRPr="003C65CF" w:rsidRDefault="003C65CF" w:rsidP="003C65CF">
      <w:pPr>
        <w:rPr>
          <w:rFonts w:ascii="Arial" w:hAnsi="Arial" w:cs="Arial"/>
          <w:sz w:val="24"/>
          <w:szCs w:val="24"/>
        </w:rPr>
      </w:pPr>
      <w:r w:rsidRPr="003C65CF">
        <w:rPr>
          <w:rFonts w:ascii="Arial" w:hAnsi="Arial" w:cs="Arial"/>
          <w:sz w:val="24"/>
          <w:szCs w:val="24"/>
        </w:rPr>
        <w:t xml:space="preserve">Provide flexible templates for schedules and data, while still allowing visualization opportunities for localized additions (e.g., cultural heritage, climate resilience, airport overlays, regional transit connections, MTO permitting areas, archaeological mapping). </w:t>
      </w:r>
    </w:p>
    <w:p w14:paraId="265A4137" w14:textId="77777777" w:rsidR="003C65CF" w:rsidRPr="003C65CF" w:rsidRDefault="003C65CF" w:rsidP="003C65CF">
      <w:pPr>
        <w:rPr>
          <w:rFonts w:ascii="Arial" w:hAnsi="Arial" w:cs="Arial"/>
          <w:b/>
          <w:bCs/>
          <w:sz w:val="24"/>
          <w:szCs w:val="24"/>
        </w:rPr>
      </w:pPr>
      <w:r w:rsidRPr="003C65CF">
        <w:rPr>
          <w:rFonts w:ascii="Arial" w:hAnsi="Arial" w:cs="Arial"/>
          <w:b/>
          <w:bCs/>
          <w:sz w:val="24"/>
          <w:szCs w:val="24"/>
        </w:rPr>
        <w:t>Development Standards in Official Plans</w:t>
      </w:r>
    </w:p>
    <w:p w14:paraId="6F849EDD" w14:textId="77777777" w:rsidR="003C65CF" w:rsidRPr="003C65CF" w:rsidRDefault="003C65CF" w:rsidP="003C65CF">
      <w:pPr>
        <w:rPr>
          <w:rFonts w:ascii="Arial" w:hAnsi="Arial" w:cs="Arial"/>
          <w:sz w:val="24"/>
          <w:szCs w:val="24"/>
        </w:rPr>
      </w:pPr>
      <w:r w:rsidRPr="003C65CF">
        <w:rPr>
          <w:rFonts w:ascii="Arial" w:hAnsi="Arial" w:cs="Arial"/>
          <w:sz w:val="24"/>
          <w:szCs w:val="24"/>
        </w:rPr>
        <w:t>The Planning Act requires goals, objectives, and policies and allows measures and procedures to achieve them. It does not clearly define whether prescriptive development standards belong in Official Plans. To avoid duplication, development standards should remain in implementing by-laws, with Official Plans providing overarching policy direction.</w:t>
      </w:r>
    </w:p>
    <w:p w14:paraId="4DCF73DA" w14:textId="77777777" w:rsidR="003C65CF" w:rsidRPr="003C65CF" w:rsidRDefault="003C65CF" w:rsidP="003C65CF">
      <w:pPr>
        <w:rPr>
          <w:rFonts w:ascii="Arial" w:hAnsi="Arial" w:cs="Arial"/>
          <w:sz w:val="24"/>
          <w:szCs w:val="24"/>
        </w:rPr>
      </w:pPr>
      <w:r w:rsidRPr="003C65CF">
        <w:rPr>
          <w:rFonts w:ascii="Arial" w:hAnsi="Arial" w:cs="Arial"/>
          <w:sz w:val="24"/>
          <w:szCs w:val="24"/>
        </w:rPr>
        <w:t>Including “measures and procedures” can be important because they offer detailed guidance for local objectives. For example, permanent protection of natural heritage systems often requires steps beyond broad policy statements, such as buffer areas, restoration requirements, and monitoring protocols. These measures help translate objectives into actionable steps without overloading Official Plans with prescriptive standards. Provide clarification on the difference between “development standards” and “measures and procedures”</w:t>
      </w:r>
    </w:p>
    <w:p w14:paraId="2A9C5DDE" w14:textId="77777777" w:rsidR="003C65CF" w:rsidRPr="003C65CF" w:rsidRDefault="003C65CF" w:rsidP="003C65CF">
      <w:pPr>
        <w:rPr>
          <w:rFonts w:ascii="Arial" w:hAnsi="Arial" w:cs="Arial"/>
          <w:b/>
          <w:bCs/>
          <w:sz w:val="24"/>
          <w:szCs w:val="24"/>
        </w:rPr>
      </w:pPr>
      <w:r w:rsidRPr="003C65CF">
        <w:rPr>
          <w:rFonts w:ascii="Arial" w:hAnsi="Arial" w:cs="Arial"/>
          <w:b/>
          <w:bCs/>
          <w:sz w:val="24"/>
          <w:szCs w:val="24"/>
        </w:rPr>
        <w:lastRenderedPageBreak/>
        <w:t>Secondary Plans and Site-Specific Policies</w:t>
      </w:r>
    </w:p>
    <w:p w14:paraId="4BC9E829" w14:textId="77777777" w:rsidR="003C65CF" w:rsidRPr="003C65CF" w:rsidRDefault="003C65CF" w:rsidP="003C65CF">
      <w:pPr>
        <w:rPr>
          <w:rFonts w:ascii="Arial" w:hAnsi="Arial" w:cs="Arial"/>
          <w:sz w:val="24"/>
          <w:szCs w:val="24"/>
        </w:rPr>
      </w:pPr>
      <w:r w:rsidRPr="003C65CF">
        <w:rPr>
          <w:rFonts w:ascii="Arial" w:hAnsi="Arial" w:cs="Arial"/>
          <w:sz w:val="24"/>
          <w:szCs w:val="24"/>
        </w:rPr>
        <w:t>Retain the opportunity for site-specific policies for strategic growth areas, clarifying that secondary planning is intended to be an integrated planning exercise to provide detail at a more localized level.</w:t>
      </w:r>
    </w:p>
    <w:p w14:paraId="1BDC56EC" w14:textId="77777777" w:rsidR="003C65CF" w:rsidRPr="003C65CF" w:rsidRDefault="003C65CF" w:rsidP="003C65CF">
      <w:pPr>
        <w:rPr>
          <w:rFonts w:ascii="Arial" w:hAnsi="Arial" w:cs="Arial"/>
          <w:b/>
          <w:bCs/>
          <w:sz w:val="24"/>
          <w:szCs w:val="24"/>
        </w:rPr>
      </w:pPr>
      <w:r w:rsidRPr="003C65CF">
        <w:rPr>
          <w:rFonts w:ascii="Arial" w:hAnsi="Arial" w:cs="Arial"/>
          <w:b/>
          <w:bCs/>
          <w:sz w:val="24"/>
          <w:szCs w:val="24"/>
        </w:rPr>
        <w:t>Schedules, Overlays, and Data</w:t>
      </w:r>
    </w:p>
    <w:p w14:paraId="6EFF5008" w14:textId="77777777" w:rsidR="003C65CF" w:rsidRDefault="003C65CF" w:rsidP="003C65CF">
      <w:pPr>
        <w:rPr>
          <w:rFonts w:ascii="Arial" w:hAnsi="Arial" w:cs="Arial"/>
          <w:sz w:val="24"/>
          <w:szCs w:val="24"/>
        </w:rPr>
      </w:pPr>
      <w:r w:rsidRPr="003C65CF">
        <w:rPr>
          <w:rFonts w:ascii="Arial" w:hAnsi="Arial" w:cs="Arial"/>
          <w:sz w:val="24"/>
          <w:szCs w:val="24"/>
        </w:rPr>
        <w:t>Provide flexible templates for schedules and data while allowing localized additions. Avoid rigid requirements that ignore unique municipal contexts.</w:t>
      </w:r>
    </w:p>
    <w:p w14:paraId="53AE3ADE" w14:textId="77777777" w:rsidR="003C65CF" w:rsidRPr="003C65CF" w:rsidRDefault="003C65CF" w:rsidP="003C65CF">
      <w:pPr>
        <w:rPr>
          <w:rFonts w:ascii="Arial" w:hAnsi="Arial" w:cs="Arial"/>
          <w:b/>
          <w:bCs/>
          <w:sz w:val="24"/>
          <w:szCs w:val="24"/>
        </w:rPr>
      </w:pPr>
      <w:r w:rsidRPr="003C65CF">
        <w:rPr>
          <w:rFonts w:ascii="Arial" w:hAnsi="Arial" w:cs="Arial"/>
          <w:b/>
          <w:bCs/>
          <w:sz w:val="24"/>
          <w:szCs w:val="24"/>
        </w:rPr>
        <w:t>Limiting Length of Official Plans</w:t>
      </w:r>
    </w:p>
    <w:p w14:paraId="5E152925" w14:textId="77777777" w:rsidR="003C65CF" w:rsidRPr="003C65CF" w:rsidRDefault="003C65CF" w:rsidP="003C65CF">
      <w:pPr>
        <w:rPr>
          <w:rFonts w:ascii="Arial" w:hAnsi="Arial" w:cs="Arial"/>
          <w:sz w:val="24"/>
          <w:szCs w:val="24"/>
        </w:rPr>
      </w:pPr>
      <w:r w:rsidRPr="003C65CF">
        <w:rPr>
          <w:rFonts w:ascii="Arial" w:hAnsi="Arial" w:cs="Arial"/>
          <w:sz w:val="24"/>
          <w:szCs w:val="24"/>
        </w:rPr>
        <w:t>Avoid rigid page limits; consider tiered limits based on factors like municipal size (area/ population) and growth projections.</w:t>
      </w:r>
    </w:p>
    <w:p w14:paraId="6CD849C1" w14:textId="77777777" w:rsidR="003C65CF" w:rsidRPr="003C65CF" w:rsidRDefault="003C65CF" w:rsidP="003C65CF">
      <w:pPr>
        <w:rPr>
          <w:rFonts w:ascii="Arial" w:hAnsi="Arial" w:cs="Arial"/>
          <w:b/>
          <w:bCs/>
          <w:sz w:val="24"/>
          <w:szCs w:val="24"/>
        </w:rPr>
      </w:pPr>
      <w:r w:rsidRPr="003C65CF">
        <w:rPr>
          <w:rFonts w:ascii="Arial" w:hAnsi="Arial" w:cs="Arial"/>
          <w:b/>
          <w:bCs/>
          <w:sz w:val="24"/>
          <w:szCs w:val="24"/>
        </w:rPr>
        <w:t>Standardizing Land Use Designations</w:t>
      </w:r>
    </w:p>
    <w:p w14:paraId="40925EBC" w14:textId="77777777" w:rsidR="003C65CF" w:rsidRPr="003C65CF" w:rsidRDefault="003C65CF" w:rsidP="003C65CF">
      <w:pPr>
        <w:rPr>
          <w:rFonts w:ascii="Arial" w:hAnsi="Arial" w:cs="Arial"/>
          <w:sz w:val="24"/>
          <w:szCs w:val="24"/>
        </w:rPr>
      </w:pPr>
      <w:r w:rsidRPr="003C65CF">
        <w:rPr>
          <w:rFonts w:ascii="Arial" w:hAnsi="Arial" w:cs="Arial"/>
          <w:sz w:val="24"/>
          <w:szCs w:val="24"/>
        </w:rPr>
        <w:t>The County of Brant would support streamlining land use designations by combining similar categories and using plain language, while retaining flexibility to provide additional details beyond the general designations through the zones created in implementing by-laws.</w:t>
      </w:r>
    </w:p>
    <w:p w14:paraId="4A49223F" w14:textId="77777777" w:rsidR="003C65CF" w:rsidRPr="003C65CF" w:rsidRDefault="003C65CF" w:rsidP="003C65CF">
      <w:pPr>
        <w:rPr>
          <w:rFonts w:ascii="Arial" w:hAnsi="Arial" w:cs="Arial"/>
          <w:b/>
          <w:bCs/>
          <w:sz w:val="24"/>
          <w:szCs w:val="24"/>
        </w:rPr>
      </w:pPr>
      <w:r w:rsidRPr="003C65CF">
        <w:rPr>
          <w:rFonts w:ascii="Arial" w:hAnsi="Arial" w:cs="Arial"/>
          <w:b/>
          <w:bCs/>
          <w:sz w:val="24"/>
          <w:szCs w:val="24"/>
        </w:rPr>
        <w:t>Transition to a Standardized Framework</w:t>
      </w:r>
    </w:p>
    <w:p w14:paraId="72B39D74" w14:textId="77777777" w:rsidR="003C65CF" w:rsidRPr="003C65CF" w:rsidRDefault="003C65CF" w:rsidP="003C65CF">
      <w:pPr>
        <w:rPr>
          <w:rFonts w:ascii="Arial" w:hAnsi="Arial" w:cs="Arial"/>
          <w:sz w:val="24"/>
          <w:szCs w:val="24"/>
        </w:rPr>
      </w:pPr>
      <w:r w:rsidRPr="003C65CF">
        <w:rPr>
          <w:rFonts w:ascii="Arial" w:hAnsi="Arial" w:cs="Arial"/>
          <w:sz w:val="24"/>
          <w:szCs w:val="24"/>
        </w:rPr>
        <w:t xml:space="preserve">Pilot standardization with a large, medium, and small municipalities before full implementation. However, consider that many municipalities are in the process of updating or have recently updated their Official Plans, which is a significant undertaking with impacts on staff resources and costs. Ensure that a transition to the standardized framework is well supported by the </w:t>
      </w:r>
      <w:proofErr w:type="gramStart"/>
      <w:r w:rsidRPr="003C65CF">
        <w:rPr>
          <w:rFonts w:ascii="Arial" w:hAnsi="Arial" w:cs="Arial"/>
          <w:sz w:val="24"/>
          <w:szCs w:val="24"/>
        </w:rPr>
        <w:t>Province</w:t>
      </w:r>
      <w:proofErr w:type="gramEnd"/>
      <w:r w:rsidRPr="003C65CF">
        <w:rPr>
          <w:rFonts w:ascii="Arial" w:hAnsi="Arial" w:cs="Arial"/>
          <w:sz w:val="24"/>
          <w:szCs w:val="24"/>
        </w:rPr>
        <w:t xml:space="preserve"> by applying an appropriate timeframe, such as the next 5- or 10-year review. </w:t>
      </w:r>
    </w:p>
    <w:p w14:paraId="6FAC71C9" w14:textId="77777777" w:rsidR="003C65CF" w:rsidRPr="003C65CF" w:rsidRDefault="003C65CF" w:rsidP="003C65CF">
      <w:pPr>
        <w:rPr>
          <w:rFonts w:ascii="Arial" w:hAnsi="Arial" w:cs="Arial"/>
          <w:b/>
          <w:bCs/>
          <w:sz w:val="24"/>
          <w:szCs w:val="24"/>
        </w:rPr>
      </w:pPr>
      <w:r w:rsidRPr="003C65CF">
        <w:rPr>
          <w:rFonts w:ascii="Arial" w:hAnsi="Arial" w:cs="Arial"/>
          <w:b/>
          <w:bCs/>
          <w:sz w:val="24"/>
          <w:szCs w:val="24"/>
        </w:rPr>
        <w:t>Implementation Timeline, Provincial Support &amp; Online Submission Portal</w:t>
      </w:r>
    </w:p>
    <w:p w14:paraId="45961598" w14:textId="77777777" w:rsidR="003C65CF" w:rsidRPr="003C65CF" w:rsidRDefault="003C65CF" w:rsidP="003C65CF">
      <w:pPr>
        <w:rPr>
          <w:rFonts w:ascii="Arial" w:hAnsi="Arial" w:cs="Arial"/>
          <w:sz w:val="24"/>
          <w:szCs w:val="24"/>
        </w:rPr>
      </w:pPr>
      <w:r w:rsidRPr="003C65CF">
        <w:rPr>
          <w:rFonts w:ascii="Arial" w:hAnsi="Arial" w:cs="Arial"/>
          <w:sz w:val="24"/>
          <w:szCs w:val="24"/>
        </w:rPr>
        <w:t>The Provincial review of the County of Brant’s Official Plan took approximately 490 days. Given how often municipal planning instruments require updates because of the Provincial changes, the provincial review process and timelines need improvement. An online submission portal could improve efficiency, but it may also reduce the personal relationships that municipalities, including Brant, have with local MSO staff. These relationships are essential, and timely support must remain available to assist municipalities throughout the process.</w:t>
      </w:r>
    </w:p>
    <w:p w14:paraId="29C73F83" w14:textId="77777777" w:rsidR="003C65CF" w:rsidRPr="003C65CF" w:rsidRDefault="003C65CF" w:rsidP="003C65CF">
      <w:pPr>
        <w:rPr>
          <w:rFonts w:ascii="Arial" w:hAnsi="Arial" w:cs="Arial"/>
          <w:b/>
          <w:bCs/>
          <w:sz w:val="24"/>
          <w:szCs w:val="24"/>
        </w:rPr>
      </w:pPr>
      <w:r w:rsidRPr="003C65CF">
        <w:rPr>
          <w:rFonts w:ascii="Arial" w:hAnsi="Arial" w:cs="Arial"/>
          <w:b/>
          <w:bCs/>
          <w:sz w:val="24"/>
          <w:szCs w:val="24"/>
        </w:rPr>
        <w:t>Recommendations:</w:t>
      </w:r>
    </w:p>
    <w:p w14:paraId="5BDC4F84" w14:textId="070820DF" w:rsidR="003C65CF" w:rsidRPr="007A0452" w:rsidRDefault="003C65CF" w:rsidP="007A0452">
      <w:pPr>
        <w:pStyle w:val="ListParagraph"/>
        <w:numPr>
          <w:ilvl w:val="0"/>
          <w:numId w:val="32"/>
        </w:numPr>
        <w:rPr>
          <w:rFonts w:ascii="Arial" w:hAnsi="Arial" w:cs="Arial"/>
        </w:rPr>
      </w:pPr>
      <w:r w:rsidRPr="007A0452">
        <w:rPr>
          <w:rFonts w:ascii="Arial" w:hAnsi="Arial" w:cs="Arial"/>
        </w:rPr>
        <w:t xml:space="preserve">Pilot standardization with a variety of municipalities (small, medium, large) before full rollout. </w:t>
      </w:r>
    </w:p>
    <w:p w14:paraId="2DE36D5F" w14:textId="36364B87" w:rsidR="003C65CF" w:rsidRPr="007A0452" w:rsidRDefault="003C65CF" w:rsidP="007A0452">
      <w:pPr>
        <w:pStyle w:val="ListParagraph"/>
        <w:numPr>
          <w:ilvl w:val="0"/>
          <w:numId w:val="32"/>
        </w:numPr>
        <w:rPr>
          <w:rFonts w:ascii="Arial" w:hAnsi="Arial" w:cs="Arial"/>
        </w:rPr>
      </w:pPr>
      <w:r w:rsidRPr="007A0452">
        <w:rPr>
          <w:rFonts w:ascii="Arial" w:hAnsi="Arial" w:cs="Arial"/>
        </w:rPr>
        <w:t xml:space="preserve">Clarify differentiation between “detailed standards” and high-level “measures and procedures.” </w:t>
      </w:r>
    </w:p>
    <w:p w14:paraId="08E79701" w14:textId="761765B7" w:rsidR="003C65CF" w:rsidRPr="007A0452" w:rsidRDefault="003C65CF" w:rsidP="007A0452">
      <w:pPr>
        <w:pStyle w:val="ListParagraph"/>
        <w:numPr>
          <w:ilvl w:val="0"/>
          <w:numId w:val="32"/>
        </w:numPr>
        <w:rPr>
          <w:rFonts w:ascii="Arial" w:hAnsi="Arial" w:cs="Arial"/>
        </w:rPr>
      </w:pPr>
      <w:r w:rsidRPr="007A0452">
        <w:rPr>
          <w:rFonts w:ascii="Arial" w:hAnsi="Arial" w:cs="Arial"/>
        </w:rPr>
        <w:t>Retain site-specific policy opportunities for strategic growth areas at a minimum</w:t>
      </w:r>
    </w:p>
    <w:p w14:paraId="3798AB66" w14:textId="51B3B58F" w:rsidR="003C65CF" w:rsidRPr="007A0452" w:rsidRDefault="003C65CF" w:rsidP="007A0452">
      <w:pPr>
        <w:pStyle w:val="ListParagraph"/>
        <w:numPr>
          <w:ilvl w:val="0"/>
          <w:numId w:val="32"/>
        </w:numPr>
        <w:rPr>
          <w:rFonts w:ascii="Arial" w:hAnsi="Arial" w:cs="Arial"/>
        </w:rPr>
      </w:pPr>
      <w:r w:rsidRPr="007A0452">
        <w:rPr>
          <w:rFonts w:ascii="Arial" w:hAnsi="Arial" w:cs="Arial"/>
        </w:rPr>
        <w:t xml:space="preserve">Provide flexible templates for schedules and data. </w:t>
      </w:r>
    </w:p>
    <w:p w14:paraId="76F43E12" w14:textId="6CBA69D8" w:rsidR="003C65CF" w:rsidRPr="007A0452" w:rsidRDefault="003C65CF" w:rsidP="007A0452">
      <w:pPr>
        <w:pStyle w:val="ListParagraph"/>
        <w:numPr>
          <w:ilvl w:val="0"/>
          <w:numId w:val="32"/>
        </w:numPr>
        <w:rPr>
          <w:rFonts w:ascii="Arial" w:hAnsi="Arial" w:cs="Arial"/>
        </w:rPr>
      </w:pPr>
      <w:r w:rsidRPr="007A0452">
        <w:rPr>
          <w:rFonts w:ascii="Arial" w:hAnsi="Arial" w:cs="Arial"/>
        </w:rPr>
        <w:t xml:space="preserve">Avoid rigid page limits; consider tiered limits. </w:t>
      </w:r>
    </w:p>
    <w:p w14:paraId="12FE2676" w14:textId="07DF589F" w:rsidR="003C65CF" w:rsidRPr="007A0452" w:rsidRDefault="003C65CF" w:rsidP="007A0452">
      <w:pPr>
        <w:pStyle w:val="ListParagraph"/>
        <w:numPr>
          <w:ilvl w:val="0"/>
          <w:numId w:val="32"/>
        </w:numPr>
        <w:rPr>
          <w:rFonts w:ascii="Arial" w:hAnsi="Arial" w:cs="Arial"/>
        </w:rPr>
      </w:pPr>
      <w:r w:rsidRPr="007A0452">
        <w:rPr>
          <w:rFonts w:ascii="Arial" w:hAnsi="Arial" w:cs="Arial"/>
        </w:rPr>
        <w:t xml:space="preserve">Streamline land use designations using plain language. </w:t>
      </w:r>
    </w:p>
    <w:p w14:paraId="3B164254" w14:textId="4E9CDB80" w:rsidR="003C65CF" w:rsidRPr="007A0452" w:rsidRDefault="003C65CF" w:rsidP="007A0452">
      <w:pPr>
        <w:pStyle w:val="ListParagraph"/>
        <w:numPr>
          <w:ilvl w:val="0"/>
          <w:numId w:val="32"/>
        </w:numPr>
        <w:rPr>
          <w:rFonts w:ascii="Arial" w:hAnsi="Arial" w:cs="Arial"/>
        </w:rPr>
      </w:pPr>
      <w:r w:rsidRPr="007A0452">
        <w:rPr>
          <w:rFonts w:ascii="Arial" w:hAnsi="Arial" w:cs="Arial"/>
        </w:rPr>
        <w:t>Improve provincial review timelines while maintaining local relationships.</w:t>
      </w:r>
      <w:r w:rsidR="00C06BB7">
        <w:rPr>
          <w:rFonts w:ascii="Arial" w:hAnsi="Arial" w:cs="Arial"/>
        </w:rPr>
        <w:br/>
      </w:r>
    </w:p>
    <w:p w14:paraId="5FFB529A" w14:textId="77777777" w:rsidR="003C65CF" w:rsidRPr="003C65CF" w:rsidRDefault="003C65CF" w:rsidP="007F6333">
      <w:pPr>
        <w:pStyle w:val="Heading3"/>
        <w:rPr>
          <w:rFonts w:ascii="Arial" w:hAnsi="Arial" w:cs="Arial"/>
          <w:sz w:val="24"/>
          <w:szCs w:val="24"/>
        </w:rPr>
      </w:pPr>
      <w:r w:rsidRPr="003C65CF">
        <w:rPr>
          <w:rFonts w:ascii="Arial" w:hAnsi="Arial" w:cs="Arial"/>
          <w:sz w:val="24"/>
          <w:szCs w:val="24"/>
        </w:rPr>
        <w:lastRenderedPageBreak/>
        <w:t>4. Planning Act Changes through Bill 60 (</w:t>
      </w:r>
      <w:hyperlink r:id="rId16" w:history="1">
        <w:r w:rsidRPr="003C65CF">
          <w:rPr>
            <w:rStyle w:val="Hyperlink"/>
            <w:rFonts w:ascii="Arial" w:hAnsi="Arial" w:cs="Arial"/>
            <w:sz w:val="24"/>
            <w:szCs w:val="24"/>
          </w:rPr>
          <w:t>ERO 025-1097</w:t>
        </w:r>
      </w:hyperlink>
      <w:r w:rsidRPr="003C65CF">
        <w:rPr>
          <w:rFonts w:ascii="Arial" w:hAnsi="Arial" w:cs="Arial"/>
          <w:sz w:val="24"/>
          <w:szCs w:val="24"/>
        </w:rPr>
        <w:t>)</w:t>
      </w:r>
    </w:p>
    <w:p w14:paraId="479CBFBA" w14:textId="77777777" w:rsidR="003C65CF" w:rsidRPr="003C65CF" w:rsidRDefault="003C65CF" w:rsidP="003C65CF">
      <w:pPr>
        <w:rPr>
          <w:rFonts w:ascii="Arial" w:hAnsi="Arial" w:cs="Arial"/>
          <w:sz w:val="24"/>
          <w:szCs w:val="24"/>
        </w:rPr>
      </w:pPr>
      <w:r w:rsidRPr="003C65CF">
        <w:rPr>
          <w:rFonts w:ascii="Arial" w:hAnsi="Arial" w:cs="Arial"/>
          <w:sz w:val="24"/>
          <w:szCs w:val="24"/>
        </w:rPr>
        <w:t xml:space="preserve">Streamlining approvals for strategic projects is important, but exemptions should not undermine long-term planning objectives. Rather than removing PPS applicability for Ministerial decisions, best practice would suggest that the PPS should be updated to reflect the </w:t>
      </w:r>
      <w:proofErr w:type="gramStart"/>
      <w:r w:rsidRPr="003C65CF">
        <w:rPr>
          <w:rFonts w:ascii="Arial" w:hAnsi="Arial" w:cs="Arial"/>
          <w:sz w:val="24"/>
          <w:szCs w:val="24"/>
        </w:rPr>
        <w:t>Province’s</w:t>
      </w:r>
      <w:proofErr w:type="gramEnd"/>
      <w:r w:rsidRPr="003C65CF">
        <w:rPr>
          <w:rFonts w:ascii="Arial" w:hAnsi="Arial" w:cs="Arial"/>
          <w:sz w:val="24"/>
          <w:szCs w:val="24"/>
        </w:rPr>
        <w:t xml:space="preserve"> flexibility with priorities. Providing clarity on these priorities in the PPS will also provide municipalities with direction on how to achieve them, fostering transparency rather than bypassing established policy frameworks.</w:t>
      </w:r>
    </w:p>
    <w:p w14:paraId="63741DFB" w14:textId="77777777" w:rsidR="003C65CF" w:rsidRPr="003C65CF" w:rsidRDefault="003C65CF" w:rsidP="003C65CF">
      <w:pPr>
        <w:rPr>
          <w:rFonts w:ascii="Arial" w:hAnsi="Arial" w:cs="Arial"/>
          <w:sz w:val="24"/>
          <w:szCs w:val="24"/>
        </w:rPr>
      </w:pPr>
      <w:r w:rsidRPr="003C65CF">
        <w:rPr>
          <w:rFonts w:ascii="Arial" w:hAnsi="Arial" w:cs="Arial"/>
          <w:sz w:val="24"/>
          <w:szCs w:val="24"/>
        </w:rPr>
        <w:t>Because of the size and nature of an Official Plan and the many changes have been made to provincial planning legislation, many of these planning instruments are becoming outdated more quickly. This makes it very difficult for municipalities to quickly make changes and respond in a realistic manner. The original justification for certain policies and standards is now being lost as development trends and community needs continue to evolve. Outdated policies also create inconsistencies and inefficiencies in applying standards today. Requiring and supporting municipalities to revisit and clearly document the rationale for their planning instruments, linking them to current provincial objectives, will help restore transparency, ensure relevance, and support modernization efforts.</w:t>
      </w:r>
    </w:p>
    <w:p w14:paraId="19716610" w14:textId="77777777" w:rsidR="003C65CF" w:rsidRPr="003C65CF" w:rsidRDefault="003C65CF" w:rsidP="003C65CF">
      <w:pPr>
        <w:rPr>
          <w:rFonts w:ascii="Arial" w:hAnsi="Arial" w:cs="Arial"/>
          <w:b/>
          <w:bCs/>
          <w:sz w:val="24"/>
          <w:szCs w:val="24"/>
        </w:rPr>
      </w:pPr>
      <w:r w:rsidRPr="003C65CF">
        <w:rPr>
          <w:rFonts w:ascii="Arial" w:hAnsi="Arial" w:cs="Arial"/>
          <w:b/>
          <w:bCs/>
          <w:sz w:val="24"/>
          <w:szCs w:val="24"/>
        </w:rPr>
        <w:t>Recommendation:</w:t>
      </w:r>
    </w:p>
    <w:p w14:paraId="2E6529FD" w14:textId="77777777" w:rsidR="003C65CF" w:rsidRPr="003C65CF" w:rsidRDefault="003C65CF" w:rsidP="003C65CF">
      <w:pPr>
        <w:numPr>
          <w:ilvl w:val="0"/>
          <w:numId w:val="27"/>
        </w:numPr>
        <w:rPr>
          <w:rFonts w:ascii="Arial" w:hAnsi="Arial" w:cs="Arial"/>
          <w:sz w:val="24"/>
          <w:szCs w:val="24"/>
        </w:rPr>
      </w:pPr>
      <w:r w:rsidRPr="003C65CF">
        <w:rPr>
          <w:rFonts w:ascii="Arial" w:hAnsi="Arial" w:cs="Arial"/>
          <w:sz w:val="24"/>
          <w:szCs w:val="24"/>
        </w:rPr>
        <w:t>Maintain PPS alignment for Ministerial decisions, adjusting PPS to reflect provincial priorities rather than bypassing it.</w:t>
      </w:r>
    </w:p>
    <w:p w14:paraId="7A088EE5" w14:textId="77777777" w:rsidR="003C65CF" w:rsidRPr="003C65CF" w:rsidRDefault="003C65CF" w:rsidP="003C65CF">
      <w:pPr>
        <w:numPr>
          <w:ilvl w:val="0"/>
          <w:numId w:val="27"/>
        </w:numPr>
        <w:rPr>
          <w:rFonts w:ascii="Arial" w:hAnsi="Arial" w:cs="Arial"/>
          <w:sz w:val="24"/>
          <w:szCs w:val="24"/>
        </w:rPr>
      </w:pPr>
      <w:r w:rsidRPr="003C65CF">
        <w:rPr>
          <w:rFonts w:ascii="Arial" w:hAnsi="Arial" w:cs="Arial"/>
          <w:sz w:val="24"/>
          <w:szCs w:val="24"/>
        </w:rPr>
        <w:t>In supporting as-of-right variances:</w:t>
      </w:r>
    </w:p>
    <w:p w14:paraId="355EEC0A" w14:textId="77777777" w:rsidR="003C65CF" w:rsidRPr="003C65CF" w:rsidRDefault="003C65CF" w:rsidP="003C65CF">
      <w:pPr>
        <w:numPr>
          <w:ilvl w:val="1"/>
          <w:numId w:val="27"/>
        </w:numPr>
        <w:rPr>
          <w:rFonts w:ascii="Arial" w:hAnsi="Arial" w:cs="Arial"/>
          <w:sz w:val="24"/>
          <w:szCs w:val="24"/>
        </w:rPr>
      </w:pPr>
      <w:r w:rsidRPr="003C65CF">
        <w:rPr>
          <w:rFonts w:ascii="Arial" w:hAnsi="Arial" w:cs="Arial"/>
          <w:sz w:val="24"/>
          <w:szCs w:val="24"/>
        </w:rPr>
        <w:t>Encourage adoption of Community Planning Permit Systems to provide flexibility and streamline approvals</w:t>
      </w:r>
    </w:p>
    <w:p w14:paraId="1592176C" w14:textId="77777777" w:rsidR="003C65CF" w:rsidRPr="003C65CF" w:rsidRDefault="003C65CF" w:rsidP="003C65CF">
      <w:pPr>
        <w:numPr>
          <w:ilvl w:val="1"/>
          <w:numId w:val="27"/>
        </w:numPr>
        <w:rPr>
          <w:rFonts w:ascii="Arial" w:hAnsi="Arial" w:cs="Arial"/>
          <w:sz w:val="24"/>
          <w:szCs w:val="24"/>
        </w:rPr>
      </w:pPr>
      <w:r w:rsidRPr="003C65CF">
        <w:rPr>
          <w:rFonts w:ascii="Arial" w:hAnsi="Arial" w:cs="Arial"/>
          <w:sz w:val="24"/>
          <w:szCs w:val="24"/>
        </w:rPr>
        <w:t>Provide additional support, including training and funding, for municipalities to modernize planning and adapt to new processes.</w:t>
      </w:r>
    </w:p>
    <w:p w14:paraId="20995145" w14:textId="77777777" w:rsidR="003C65CF" w:rsidRPr="003C65CF" w:rsidRDefault="003C65CF" w:rsidP="003C65CF">
      <w:pPr>
        <w:numPr>
          <w:ilvl w:val="0"/>
          <w:numId w:val="27"/>
        </w:numPr>
        <w:rPr>
          <w:rFonts w:ascii="Arial" w:hAnsi="Arial" w:cs="Arial"/>
          <w:sz w:val="24"/>
          <w:szCs w:val="24"/>
        </w:rPr>
      </w:pPr>
      <w:r w:rsidRPr="003C65CF">
        <w:rPr>
          <w:rFonts w:ascii="Arial" w:hAnsi="Arial" w:cs="Arial"/>
          <w:sz w:val="24"/>
          <w:szCs w:val="24"/>
        </w:rPr>
        <w:t xml:space="preserve">The County of Brant is considering as-of-right variations through the development of the Community Planning Permit System. We are exploring variations up to 15%, depending on the standard to be varied and whether the variation will start to undermine the nature of the regulation. </w:t>
      </w:r>
    </w:p>
    <w:p w14:paraId="34CF7F09" w14:textId="77777777" w:rsidR="003C65CF" w:rsidRPr="003C65CF" w:rsidRDefault="003C65CF" w:rsidP="003C65CF">
      <w:pPr>
        <w:numPr>
          <w:ilvl w:val="0"/>
          <w:numId w:val="27"/>
        </w:numPr>
        <w:rPr>
          <w:rFonts w:ascii="Arial" w:hAnsi="Arial" w:cs="Arial"/>
          <w:sz w:val="24"/>
          <w:szCs w:val="24"/>
        </w:rPr>
      </w:pPr>
      <w:r w:rsidRPr="003C65CF">
        <w:rPr>
          <w:rFonts w:ascii="Arial" w:hAnsi="Arial" w:cs="Arial"/>
          <w:sz w:val="24"/>
          <w:szCs w:val="24"/>
        </w:rPr>
        <w:t xml:space="preserve">Develop a standard list of zoning regulations (e.g. setbacks, parking, height, floor area ratio, greenspace etc.) and outline the planning rationale of each. This will help municipalities understand the standards, evaluate their justifications, and would ensure a cohesive approach across the province while still allowing variations for local implementation. </w:t>
      </w:r>
    </w:p>
    <w:p w14:paraId="73E7740D" w14:textId="09F7D5B5" w:rsidR="00C9621D" w:rsidRPr="007F6333" w:rsidRDefault="003C65CF" w:rsidP="00CE663E">
      <w:pPr>
        <w:numPr>
          <w:ilvl w:val="0"/>
          <w:numId w:val="27"/>
        </w:numPr>
        <w:rPr>
          <w:rFonts w:ascii="Arial" w:hAnsi="Arial" w:cs="Arial"/>
          <w:sz w:val="24"/>
          <w:szCs w:val="24"/>
        </w:rPr>
      </w:pPr>
      <w:r w:rsidRPr="003C65CF">
        <w:rPr>
          <w:rFonts w:ascii="Arial" w:hAnsi="Arial" w:cs="Arial"/>
          <w:sz w:val="24"/>
          <w:szCs w:val="24"/>
        </w:rPr>
        <w:t xml:space="preserve">Support municipalities in modernizing their planning instruments, requiring municipalities to clearly document and make available the planning rationale for each standard and link it to provincial objectives. This will promote transparently and consistency while allowing local flexibility. </w:t>
      </w:r>
    </w:p>
    <w:sectPr w:rsidR="00C9621D" w:rsidRPr="007F6333" w:rsidSect="004E34AC">
      <w:headerReference w:type="default" r:id="rId17"/>
      <w:type w:val="continuous"/>
      <w:pgSz w:w="12240" w:h="15840"/>
      <w:pgMar w:top="156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2EF0C0" w14:textId="77777777" w:rsidR="00476631" w:rsidRDefault="00476631" w:rsidP="00BE5BAF">
      <w:pPr>
        <w:spacing w:after="0"/>
      </w:pPr>
      <w:r>
        <w:separator/>
      </w:r>
    </w:p>
  </w:endnote>
  <w:endnote w:type="continuationSeparator" w:id="0">
    <w:p w14:paraId="55AFDC79" w14:textId="77777777" w:rsidR="00476631" w:rsidRDefault="00476631" w:rsidP="00BE5BA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9636016"/>
      <w:docPartObj>
        <w:docPartGallery w:val="Page Numbers (Bottom of Page)"/>
        <w:docPartUnique/>
      </w:docPartObj>
    </w:sdtPr>
    <w:sdtContent>
      <w:sdt>
        <w:sdtPr>
          <w:id w:val="860082579"/>
          <w:docPartObj>
            <w:docPartGallery w:val="Page Numbers (Top of Page)"/>
            <w:docPartUnique/>
          </w:docPartObj>
        </w:sdtPr>
        <w:sdtContent>
          <w:p w14:paraId="7879F457" w14:textId="330A1016" w:rsidR="00BE5BAF" w:rsidRDefault="007F6333">
            <w:pPr>
              <w:pStyle w:val="Footer"/>
              <w:jc w:val="right"/>
            </w:pPr>
            <w:r>
              <w:rPr>
                <w:noProof/>
              </w:rPr>
              <w:drawing>
                <wp:anchor distT="0" distB="0" distL="114300" distR="114300" simplePos="0" relativeHeight="251660288" behindDoc="0" locked="0" layoutInCell="1" allowOverlap="1" wp14:anchorId="20CBE0E4" wp14:editId="4BC09DBE">
                  <wp:simplePos x="0" y="0"/>
                  <wp:positionH relativeFrom="margin">
                    <wp:align>left</wp:align>
                  </wp:positionH>
                  <wp:positionV relativeFrom="topMargin">
                    <wp:posOffset>9296400</wp:posOffset>
                  </wp:positionV>
                  <wp:extent cx="1436406" cy="468630"/>
                  <wp:effectExtent l="0" t="0" r="0" b="7620"/>
                  <wp:wrapNone/>
                  <wp:docPr id="141340820" name="Picture 141340820" descr="County of Bra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descr="County of Brant logo"/>
                          <pic:cNvPicPr/>
                        </pic:nvPicPr>
                        <pic:blipFill>
                          <a:blip r:embed="rId1">
                            <a:extLst>
                              <a:ext uri="{28A0092B-C50C-407E-A947-70E740481C1C}">
                                <a14:useLocalDpi xmlns:a14="http://schemas.microsoft.com/office/drawing/2010/main" val="0"/>
                              </a:ext>
                            </a:extLst>
                          </a:blip>
                          <a:stretch>
                            <a:fillRect/>
                          </a:stretch>
                        </pic:blipFill>
                        <pic:spPr>
                          <a:xfrm>
                            <a:off x="0" y="0"/>
                            <a:ext cx="1436406" cy="468630"/>
                          </a:xfrm>
                          <a:prstGeom prst="rect">
                            <a:avLst/>
                          </a:prstGeom>
                        </pic:spPr>
                      </pic:pic>
                    </a:graphicData>
                  </a:graphic>
                  <wp14:sizeRelH relativeFrom="margin">
                    <wp14:pctWidth>0</wp14:pctWidth>
                  </wp14:sizeRelH>
                  <wp14:sizeRelV relativeFrom="margin">
                    <wp14:pctHeight>0</wp14:pctHeight>
                  </wp14:sizeRelV>
                </wp:anchor>
              </w:drawing>
            </w:r>
            <w:r w:rsidR="00BE5BAF" w:rsidRPr="00BE5BAF">
              <w:rPr>
                <w:sz w:val="20"/>
                <w:szCs w:val="20"/>
              </w:rPr>
              <w:t xml:space="preserve">Page </w:t>
            </w:r>
            <w:r w:rsidR="00BE5BAF" w:rsidRPr="00BE5BAF">
              <w:rPr>
                <w:b/>
                <w:bCs/>
                <w:sz w:val="20"/>
                <w:szCs w:val="20"/>
              </w:rPr>
              <w:fldChar w:fldCharType="begin"/>
            </w:r>
            <w:r w:rsidR="00BE5BAF" w:rsidRPr="00BE5BAF">
              <w:rPr>
                <w:b/>
                <w:bCs/>
                <w:sz w:val="20"/>
                <w:szCs w:val="20"/>
              </w:rPr>
              <w:instrText xml:space="preserve"> PAGE </w:instrText>
            </w:r>
            <w:r w:rsidR="00BE5BAF" w:rsidRPr="00BE5BAF">
              <w:rPr>
                <w:b/>
                <w:bCs/>
                <w:sz w:val="20"/>
                <w:szCs w:val="20"/>
              </w:rPr>
              <w:fldChar w:fldCharType="separate"/>
            </w:r>
            <w:r w:rsidR="00983E6D">
              <w:rPr>
                <w:b/>
                <w:bCs/>
                <w:noProof/>
                <w:sz w:val="20"/>
                <w:szCs w:val="20"/>
              </w:rPr>
              <w:t>1</w:t>
            </w:r>
            <w:r w:rsidR="00BE5BAF" w:rsidRPr="00BE5BAF">
              <w:rPr>
                <w:b/>
                <w:bCs/>
                <w:sz w:val="20"/>
                <w:szCs w:val="20"/>
              </w:rPr>
              <w:fldChar w:fldCharType="end"/>
            </w:r>
            <w:r w:rsidR="00BE5BAF" w:rsidRPr="00BE5BAF">
              <w:rPr>
                <w:sz w:val="20"/>
                <w:szCs w:val="20"/>
              </w:rPr>
              <w:t xml:space="preserve"> of </w:t>
            </w:r>
            <w:r w:rsidR="00BE5BAF" w:rsidRPr="00BE5BAF">
              <w:rPr>
                <w:b/>
                <w:bCs/>
                <w:sz w:val="20"/>
                <w:szCs w:val="20"/>
              </w:rPr>
              <w:fldChar w:fldCharType="begin"/>
            </w:r>
            <w:r w:rsidR="00BE5BAF" w:rsidRPr="00BE5BAF">
              <w:rPr>
                <w:b/>
                <w:bCs/>
                <w:sz w:val="20"/>
                <w:szCs w:val="20"/>
              </w:rPr>
              <w:instrText xml:space="preserve"> NUMPAGES  </w:instrText>
            </w:r>
            <w:r w:rsidR="00BE5BAF" w:rsidRPr="00BE5BAF">
              <w:rPr>
                <w:b/>
                <w:bCs/>
                <w:sz w:val="20"/>
                <w:szCs w:val="20"/>
              </w:rPr>
              <w:fldChar w:fldCharType="separate"/>
            </w:r>
            <w:r w:rsidR="00983E6D">
              <w:rPr>
                <w:b/>
                <w:bCs/>
                <w:noProof/>
                <w:sz w:val="20"/>
                <w:szCs w:val="20"/>
              </w:rPr>
              <w:t>1</w:t>
            </w:r>
            <w:r w:rsidR="00BE5BAF" w:rsidRPr="00BE5BAF">
              <w:rPr>
                <w:b/>
                <w:bCs/>
                <w:sz w:val="20"/>
                <w:szCs w:val="20"/>
              </w:rPr>
              <w:fldChar w:fldCharType="end"/>
            </w:r>
          </w:p>
        </w:sdtContent>
      </w:sdt>
    </w:sdtContent>
  </w:sdt>
  <w:p w14:paraId="799FA93C" w14:textId="7EAC4CC5" w:rsidR="00BE5BAF" w:rsidRDefault="00BE5B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7486D" w14:textId="77777777" w:rsidR="00476631" w:rsidRDefault="00476631" w:rsidP="00BE5BAF">
      <w:pPr>
        <w:spacing w:after="0"/>
      </w:pPr>
      <w:r>
        <w:separator/>
      </w:r>
    </w:p>
  </w:footnote>
  <w:footnote w:type="continuationSeparator" w:id="0">
    <w:p w14:paraId="3F0B09CB" w14:textId="77777777" w:rsidR="00476631" w:rsidRDefault="00476631" w:rsidP="00BE5BA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48832" w14:textId="03F92001" w:rsidR="000743C4" w:rsidRDefault="00121F43" w:rsidP="00F31425">
    <w:pPr>
      <w:pStyle w:val="Header"/>
      <w:jc w:val="center"/>
    </w:pPr>
    <w:r>
      <w:rPr>
        <w:noProof/>
      </w:rPr>
      <w:drawing>
        <wp:anchor distT="0" distB="0" distL="114300" distR="114300" simplePos="0" relativeHeight="251658240" behindDoc="0" locked="0" layoutInCell="1" allowOverlap="1" wp14:anchorId="074D8AB4" wp14:editId="7A145321">
          <wp:simplePos x="2638425" y="333375"/>
          <wp:positionH relativeFrom="page">
            <wp:align>center</wp:align>
          </wp:positionH>
          <wp:positionV relativeFrom="topMargin">
            <wp:posOffset>333375</wp:posOffset>
          </wp:positionV>
          <wp:extent cx="2372400" cy="774000"/>
          <wp:effectExtent l="0" t="0" r="0" b="7620"/>
          <wp:wrapNone/>
          <wp:docPr id="3" name="Picture 3" descr="County of Bra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descr="County of Brant logo"/>
                  <pic:cNvPicPr/>
                </pic:nvPicPr>
                <pic:blipFill>
                  <a:blip r:embed="rId1">
                    <a:extLst>
                      <a:ext uri="{28A0092B-C50C-407E-A947-70E740481C1C}">
                        <a14:useLocalDpi xmlns:a14="http://schemas.microsoft.com/office/drawing/2010/main" val="0"/>
                      </a:ext>
                    </a:extLst>
                  </a:blip>
                  <a:stretch>
                    <a:fillRect/>
                  </a:stretch>
                </pic:blipFill>
                <pic:spPr>
                  <a:xfrm>
                    <a:off x="0" y="0"/>
                    <a:ext cx="2372400" cy="774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FE49E" w14:textId="34196762" w:rsidR="004E34AC" w:rsidRDefault="004E34AC" w:rsidP="00F3142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C7649"/>
    <w:multiLevelType w:val="hybridMultilevel"/>
    <w:tmpl w:val="30E08E8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 w15:restartNumberingAfterBreak="0">
    <w:nsid w:val="08A01D84"/>
    <w:multiLevelType w:val="hybridMultilevel"/>
    <w:tmpl w:val="35D6C15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A6B68A1"/>
    <w:multiLevelType w:val="hybridMultilevel"/>
    <w:tmpl w:val="8AA8E996"/>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F7A7C97"/>
    <w:multiLevelType w:val="hybridMultilevel"/>
    <w:tmpl w:val="F41EA34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0C343D5"/>
    <w:multiLevelType w:val="hybridMultilevel"/>
    <w:tmpl w:val="2808263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14A74BE"/>
    <w:multiLevelType w:val="multilevel"/>
    <w:tmpl w:val="0192B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C005A3"/>
    <w:multiLevelType w:val="hybridMultilevel"/>
    <w:tmpl w:val="C562B3DC"/>
    <w:lvl w:ilvl="0" w:tplc="587025BA">
      <w:start w:val="1"/>
      <w:numFmt w:val="decimal"/>
      <w:lvlText w:val="%1-"/>
      <w:lvlJc w:val="left"/>
      <w:pPr>
        <w:ind w:left="720" w:hanging="360"/>
      </w:pPr>
      <w:rPr>
        <w:rFonts w:asciiTheme="minorHAnsi" w:hAnsiTheme="minorHAnsi" w:cstheme="minorBidi" w:hint="default"/>
        <w:sz w:val="22"/>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19B14690"/>
    <w:multiLevelType w:val="multilevel"/>
    <w:tmpl w:val="A126BF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9E938EC"/>
    <w:multiLevelType w:val="hybridMultilevel"/>
    <w:tmpl w:val="C87CBEC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E6F3466"/>
    <w:multiLevelType w:val="hybridMultilevel"/>
    <w:tmpl w:val="3B92A68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DC5090F"/>
    <w:multiLevelType w:val="hybridMultilevel"/>
    <w:tmpl w:val="57A49A4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1" w15:restartNumberingAfterBreak="0">
    <w:nsid w:val="32D968CA"/>
    <w:multiLevelType w:val="hybridMultilevel"/>
    <w:tmpl w:val="CCBE5178"/>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12" w15:restartNumberingAfterBreak="0">
    <w:nsid w:val="35193676"/>
    <w:multiLevelType w:val="multilevel"/>
    <w:tmpl w:val="F410A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2305FA"/>
    <w:multiLevelType w:val="hybridMultilevel"/>
    <w:tmpl w:val="448E923E"/>
    <w:lvl w:ilvl="0" w:tplc="1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DEA6C4D"/>
    <w:multiLevelType w:val="hybridMultilevel"/>
    <w:tmpl w:val="3274EB7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228328A"/>
    <w:multiLevelType w:val="hybridMultilevel"/>
    <w:tmpl w:val="37ECD3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B8A42B8"/>
    <w:multiLevelType w:val="multilevel"/>
    <w:tmpl w:val="7B503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C87A76"/>
    <w:multiLevelType w:val="hybridMultilevel"/>
    <w:tmpl w:val="986E578C"/>
    <w:lvl w:ilvl="0" w:tplc="FFFFFFFF">
      <w:start w:val="1"/>
      <w:numFmt w:val="decimal"/>
      <w:lvlText w:val="%1."/>
      <w:lvlJc w:val="left"/>
      <w:pPr>
        <w:ind w:left="360" w:hanging="360"/>
      </w:pPr>
    </w:lvl>
    <w:lvl w:ilvl="1" w:tplc="10090001">
      <w:start w:val="1"/>
      <w:numFmt w:val="bullet"/>
      <w:lvlText w:val=""/>
      <w:lvlJc w:val="left"/>
      <w:pPr>
        <w:ind w:left="720" w:hanging="360"/>
      </w:pPr>
      <w:rPr>
        <w:rFonts w:ascii="Symbol" w:hAnsi="Symbol" w:hint="default"/>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8" w15:restartNumberingAfterBreak="0">
    <w:nsid w:val="4BE25FDC"/>
    <w:multiLevelType w:val="hybridMultilevel"/>
    <w:tmpl w:val="81064A5C"/>
    <w:lvl w:ilvl="0" w:tplc="66F2E7BA">
      <w:numFmt w:val="bullet"/>
      <w:lvlText w:val="-"/>
      <w:lvlJc w:val="left"/>
      <w:pPr>
        <w:ind w:left="720" w:hanging="36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4EA716C5"/>
    <w:multiLevelType w:val="hybridMultilevel"/>
    <w:tmpl w:val="7BC82258"/>
    <w:lvl w:ilvl="0" w:tplc="B5ECB8BA">
      <w:numFmt w:val="bullet"/>
      <w:lvlText w:val="-"/>
      <w:lvlJc w:val="left"/>
      <w:pPr>
        <w:ind w:left="720" w:hanging="36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4FAC3E33"/>
    <w:multiLevelType w:val="hybridMultilevel"/>
    <w:tmpl w:val="4D58827A"/>
    <w:lvl w:ilvl="0" w:tplc="1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9457CA8"/>
    <w:multiLevelType w:val="hybridMultilevel"/>
    <w:tmpl w:val="EBD2761A"/>
    <w:lvl w:ilvl="0" w:tplc="D06C5576">
      <w:numFmt w:val="bullet"/>
      <w:lvlText w:val="-"/>
      <w:lvlJc w:val="left"/>
      <w:pPr>
        <w:ind w:left="720" w:hanging="36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5FFC074C"/>
    <w:multiLevelType w:val="multilevel"/>
    <w:tmpl w:val="3C62E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131696F"/>
    <w:multiLevelType w:val="hybridMultilevel"/>
    <w:tmpl w:val="061A5A9A"/>
    <w:lvl w:ilvl="0" w:tplc="FFFFFFFF">
      <w:start w:val="1"/>
      <w:numFmt w:val="decimal"/>
      <w:lvlText w:val="%1."/>
      <w:lvlJc w:val="left"/>
      <w:pPr>
        <w:ind w:left="360" w:hanging="360"/>
      </w:pPr>
    </w:lvl>
    <w:lvl w:ilvl="1" w:tplc="10090001">
      <w:start w:val="1"/>
      <w:numFmt w:val="bullet"/>
      <w:lvlText w:val=""/>
      <w:lvlJc w:val="left"/>
      <w:pPr>
        <w:ind w:left="720" w:hanging="360"/>
      </w:pPr>
      <w:rPr>
        <w:rFonts w:ascii="Symbol" w:hAnsi="Symbol" w:hint="default"/>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4" w15:restartNumberingAfterBreak="0">
    <w:nsid w:val="628C539C"/>
    <w:multiLevelType w:val="hybridMultilevel"/>
    <w:tmpl w:val="11A42C62"/>
    <w:lvl w:ilvl="0" w:tplc="1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3F8612F"/>
    <w:multiLevelType w:val="hybridMultilevel"/>
    <w:tmpl w:val="834426B0"/>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26" w15:restartNumberingAfterBreak="0">
    <w:nsid w:val="66B61031"/>
    <w:multiLevelType w:val="hybridMultilevel"/>
    <w:tmpl w:val="27D808E6"/>
    <w:lvl w:ilvl="0" w:tplc="1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7EB6637"/>
    <w:multiLevelType w:val="hybridMultilevel"/>
    <w:tmpl w:val="61E634AC"/>
    <w:lvl w:ilvl="0" w:tplc="1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BB07C1C"/>
    <w:multiLevelType w:val="hybridMultilevel"/>
    <w:tmpl w:val="658E6F1E"/>
    <w:lvl w:ilvl="0" w:tplc="B5ECB8BA">
      <w:numFmt w:val="bullet"/>
      <w:lvlText w:val="-"/>
      <w:lvlJc w:val="left"/>
      <w:pPr>
        <w:ind w:left="720" w:hanging="36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76920ED2"/>
    <w:multiLevelType w:val="hybridMultilevel"/>
    <w:tmpl w:val="6C381F90"/>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0" w15:restartNumberingAfterBreak="0">
    <w:nsid w:val="7DD06FBE"/>
    <w:multiLevelType w:val="hybridMultilevel"/>
    <w:tmpl w:val="1A72FF4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736824264">
    <w:abstractNumId w:val="9"/>
  </w:num>
  <w:num w:numId="2" w16cid:durableId="462385748">
    <w:abstractNumId w:val="28"/>
  </w:num>
  <w:num w:numId="3" w16cid:durableId="1040933152">
    <w:abstractNumId w:val="19"/>
  </w:num>
  <w:num w:numId="4" w16cid:durableId="1258716135">
    <w:abstractNumId w:val="26"/>
  </w:num>
  <w:num w:numId="5" w16cid:durableId="1597978473">
    <w:abstractNumId w:val="5"/>
  </w:num>
  <w:num w:numId="6" w16cid:durableId="72774984">
    <w:abstractNumId w:val="7"/>
  </w:num>
  <w:num w:numId="7" w16cid:durableId="260379983">
    <w:abstractNumId w:val="6"/>
  </w:num>
  <w:num w:numId="8" w16cid:durableId="1733459718">
    <w:abstractNumId w:val="12"/>
  </w:num>
  <w:num w:numId="9" w16cid:durableId="1741293849">
    <w:abstractNumId w:val="20"/>
  </w:num>
  <w:num w:numId="10" w16cid:durableId="203832745">
    <w:abstractNumId w:val="14"/>
  </w:num>
  <w:num w:numId="11" w16cid:durableId="1801531862">
    <w:abstractNumId w:val="2"/>
  </w:num>
  <w:num w:numId="12" w16cid:durableId="668797636">
    <w:abstractNumId w:val="27"/>
  </w:num>
  <w:num w:numId="13" w16cid:durableId="1054425279">
    <w:abstractNumId w:val="3"/>
  </w:num>
  <w:num w:numId="14" w16cid:durableId="363940221">
    <w:abstractNumId w:val="29"/>
  </w:num>
  <w:num w:numId="15" w16cid:durableId="401829211">
    <w:abstractNumId w:val="8"/>
  </w:num>
  <w:num w:numId="16" w16cid:durableId="172719820">
    <w:abstractNumId w:val="18"/>
  </w:num>
  <w:num w:numId="17" w16cid:durableId="1323460431">
    <w:abstractNumId w:val="24"/>
  </w:num>
  <w:num w:numId="18" w16cid:durableId="784081000">
    <w:abstractNumId w:val="21"/>
  </w:num>
  <w:num w:numId="19" w16cid:durableId="2077898212">
    <w:abstractNumId w:val="13"/>
  </w:num>
  <w:num w:numId="20" w16cid:durableId="481656779">
    <w:abstractNumId w:val="16"/>
  </w:num>
  <w:num w:numId="21" w16cid:durableId="1996252033">
    <w:abstractNumId w:val="22"/>
  </w:num>
  <w:num w:numId="22" w16cid:durableId="2077776189">
    <w:abstractNumId w:val="15"/>
  </w:num>
  <w:num w:numId="23" w16cid:durableId="1042897966">
    <w:abstractNumId w:val="4"/>
  </w:num>
  <w:num w:numId="24" w16cid:durableId="211347560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393446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06790450">
    <w:abstractNumId w:val="10"/>
  </w:num>
  <w:num w:numId="27" w16cid:durableId="1522277884">
    <w:abstractNumId w:val="0"/>
  </w:num>
  <w:num w:numId="28" w16cid:durableId="2125685633">
    <w:abstractNumId w:val="0"/>
  </w:num>
  <w:num w:numId="29" w16cid:durableId="526986282">
    <w:abstractNumId w:val="30"/>
  </w:num>
  <w:num w:numId="30" w16cid:durableId="1481073472">
    <w:abstractNumId w:val="17"/>
  </w:num>
  <w:num w:numId="31" w16cid:durableId="505901620">
    <w:abstractNumId w:val="23"/>
  </w:num>
  <w:num w:numId="32" w16cid:durableId="2791478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3F02"/>
    <w:rsid w:val="00013B29"/>
    <w:rsid w:val="00015905"/>
    <w:rsid w:val="000217FC"/>
    <w:rsid w:val="00036904"/>
    <w:rsid w:val="000475DF"/>
    <w:rsid w:val="00047AF5"/>
    <w:rsid w:val="00066DC7"/>
    <w:rsid w:val="000743C4"/>
    <w:rsid w:val="000749FD"/>
    <w:rsid w:val="00074DDB"/>
    <w:rsid w:val="0008507D"/>
    <w:rsid w:val="00090049"/>
    <w:rsid w:val="00096DC9"/>
    <w:rsid w:val="000A3399"/>
    <w:rsid w:val="000B56B0"/>
    <w:rsid w:val="000C2197"/>
    <w:rsid w:val="001113AB"/>
    <w:rsid w:val="00116522"/>
    <w:rsid w:val="00121F43"/>
    <w:rsid w:val="00122665"/>
    <w:rsid w:val="00123196"/>
    <w:rsid w:val="00124239"/>
    <w:rsid w:val="001253E0"/>
    <w:rsid w:val="001257E1"/>
    <w:rsid w:val="0015186A"/>
    <w:rsid w:val="00153F97"/>
    <w:rsid w:val="00157FC1"/>
    <w:rsid w:val="00176E2A"/>
    <w:rsid w:val="00190166"/>
    <w:rsid w:val="001A7149"/>
    <w:rsid w:val="001B3EC6"/>
    <w:rsid w:val="001B4D82"/>
    <w:rsid w:val="001C22E9"/>
    <w:rsid w:val="00220219"/>
    <w:rsid w:val="00242A05"/>
    <w:rsid w:val="00251836"/>
    <w:rsid w:val="0025574E"/>
    <w:rsid w:val="00270448"/>
    <w:rsid w:val="00275473"/>
    <w:rsid w:val="00282DAE"/>
    <w:rsid w:val="002975FE"/>
    <w:rsid w:val="002B51F6"/>
    <w:rsid w:val="002D23A9"/>
    <w:rsid w:val="002D7BD0"/>
    <w:rsid w:val="002E182B"/>
    <w:rsid w:val="003139DF"/>
    <w:rsid w:val="00320DF1"/>
    <w:rsid w:val="00326376"/>
    <w:rsid w:val="00336710"/>
    <w:rsid w:val="00347491"/>
    <w:rsid w:val="00355776"/>
    <w:rsid w:val="003570A0"/>
    <w:rsid w:val="00374C80"/>
    <w:rsid w:val="00375B1F"/>
    <w:rsid w:val="00377937"/>
    <w:rsid w:val="003848E0"/>
    <w:rsid w:val="0039170C"/>
    <w:rsid w:val="00393F7C"/>
    <w:rsid w:val="003952EB"/>
    <w:rsid w:val="003A1A98"/>
    <w:rsid w:val="003A2970"/>
    <w:rsid w:val="003B03F4"/>
    <w:rsid w:val="003C205F"/>
    <w:rsid w:val="003C3001"/>
    <w:rsid w:val="003C5264"/>
    <w:rsid w:val="003C65CF"/>
    <w:rsid w:val="003D18A0"/>
    <w:rsid w:val="003D263C"/>
    <w:rsid w:val="003E2BFF"/>
    <w:rsid w:val="003E6A95"/>
    <w:rsid w:val="003F36B1"/>
    <w:rsid w:val="0041060B"/>
    <w:rsid w:val="0043437D"/>
    <w:rsid w:val="0044113F"/>
    <w:rsid w:val="004453A3"/>
    <w:rsid w:val="004522B5"/>
    <w:rsid w:val="00453F3E"/>
    <w:rsid w:val="00466627"/>
    <w:rsid w:val="00467B27"/>
    <w:rsid w:val="00476631"/>
    <w:rsid w:val="00492557"/>
    <w:rsid w:val="00494111"/>
    <w:rsid w:val="00495ECD"/>
    <w:rsid w:val="00497729"/>
    <w:rsid w:val="004C360C"/>
    <w:rsid w:val="004D438D"/>
    <w:rsid w:val="004E34AC"/>
    <w:rsid w:val="004E5DBB"/>
    <w:rsid w:val="004F3A5D"/>
    <w:rsid w:val="00500A1C"/>
    <w:rsid w:val="00506E02"/>
    <w:rsid w:val="005163C6"/>
    <w:rsid w:val="00531538"/>
    <w:rsid w:val="005344F2"/>
    <w:rsid w:val="00545578"/>
    <w:rsid w:val="0054567C"/>
    <w:rsid w:val="005547A1"/>
    <w:rsid w:val="00561A1B"/>
    <w:rsid w:val="005716E6"/>
    <w:rsid w:val="0057673F"/>
    <w:rsid w:val="00577983"/>
    <w:rsid w:val="005C233E"/>
    <w:rsid w:val="005F0F3F"/>
    <w:rsid w:val="005F3A34"/>
    <w:rsid w:val="005F6A2F"/>
    <w:rsid w:val="005F6F75"/>
    <w:rsid w:val="00600CA6"/>
    <w:rsid w:val="006015D5"/>
    <w:rsid w:val="00620B4C"/>
    <w:rsid w:val="00623C50"/>
    <w:rsid w:val="00632642"/>
    <w:rsid w:val="006449A2"/>
    <w:rsid w:val="0064726A"/>
    <w:rsid w:val="00653F5F"/>
    <w:rsid w:val="00654E76"/>
    <w:rsid w:val="00657BFE"/>
    <w:rsid w:val="0066061C"/>
    <w:rsid w:val="006678D9"/>
    <w:rsid w:val="00680263"/>
    <w:rsid w:val="0068410F"/>
    <w:rsid w:val="00691A80"/>
    <w:rsid w:val="006B400D"/>
    <w:rsid w:val="006C29B5"/>
    <w:rsid w:val="006C3CC2"/>
    <w:rsid w:val="006D642B"/>
    <w:rsid w:val="006E40AC"/>
    <w:rsid w:val="006E64C9"/>
    <w:rsid w:val="00702020"/>
    <w:rsid w:val="00715520"/>
    <w:rsid w:val="00741EB7"/>
    <w:rsid w:val="007530CB"/>
    <w:rsid w:val="007A0452"/>
    <w:rsid w:val="007B52E6"/>
    <w:rsid w:val="007B5A41"/>
    <w:rsid w:val="007E3E20"/>
    <w:rsid w:val="007E5D4E"/>
    <w:rsid w:val="007F6333"/>
    <w:rsid w:val="008019F6"/>
    <w:rsid w:val="008035A7"/>
    <w:rsid w:val="00805BA5"/>
    <w:rsid w:val="00814013"/>
    <w:rsid w:val="00833D87"/>
    <w:rsid w:val="00836529"/>
    <w:rsid w:val="00836CF3"/>
    <w:rsid w:val="00842DA9"/>
    <w:rsid w:val="00852D2C"/>
    <w:rsid w:val="00862185"/>
    <w:rsid w:val="00895808"/>
    <w:rsid w:val="008B5013"/>
    <w:rsid w:val="008B7B2D"/>
    <w:rsid w:val="008C2AB3"/>
    <w:rsid w:val="008D51FB"/>
    <w:rsid w:val="008D7106"/>
    <w:rsid w:val="008D786E"/>
    <w:rsid w:val="008E1699"/>
    <w:rsid w:val="008E2626"/>
    <w:rsid w:val="008E30C8"/>
    <w:rsid w:val="00905F59"/>
    <w:rsid w:val="00906D27"/>
    <w:rsid w:val="00923DEF"/>
    <w:rsid w:val="00945202"/>
    <w:rsid w:val="00946098"/>
    <w:rsid w:val="00956E38"/>
    <w:rsid w:val="00962B1B"/>
    <w:rsid w:val="00983E6D"/>
    <w:rsid w:val="00987774"/>
    <w:rsid w:val="0099422C"/>
    <w:rsid w:val="009A18BA"/>
    <w:rsid w:val="009A3B5F"/>
    <w:rsid w:val="009B2488"/>
    <w:rsid w:val="009B4CF3"/>
    <w:rsid w:val="009C21E8"/>
    <w:rsid w:val="009D75C1"/>
    <w:rsid w:val="009E4138"/>
    <w:rsid w:val="009E5270"/>
    <w:rsid w:val="009E6E06"/>
    <w:rsid w:val="009F7B96"/>
    <w:rsid w:val="00A07108"/>
    <w:rsid w:val="00A255E6"/>
    <w:rsid w:val="00A37C7F"/>
    <w:rsid w:val="00A4365E"/>
    <w:rsid w:val="00A4466C"/>
    <w:rsid w:val="00A46A7D"/>
    <w:rsid w:val="00A50DF4"/>
    <w:rsid w:val="00A5184F"/>
    <w:rsid w:val="00A55485"/>
    <w:rsid w:val="00A7069D"/>
    <w:rsid w:val="00A73517"/>
    <w:rsid w:val="00A84D66"/>
    <w:rsid w:val="00A8690A"/>
    <w:rsid w:val="00AC0244"/>
    <w:rsid w:val="00AC2039"/>
    <w:rsid w:val="00AD0951"/>
    <w:rsid w:val="00AE331A"/>
    <w:rsid w:val="00AE362B"/>
    <w:rsid w:val="00AE4CA4"/>
    <w:rsid w:val="00AE61B5"/>
    <w:rsid w:val="00AE65B6"/>
    <w:rsid w:val="00AE744B"/>
    <w:rsid w:val="00AE77EB"/>
    <w:rsid w:val="00AE7A7D"/>
    <w:rsid w:val="00B03D60"/>
    <w:rsid w:val="00B17554"/>
    <w:rsid w:val="00B25AAE"/>
    <w:rsid w:val="00B47196"/>
    <w:rsid w:val="00B522EB"/>
    <w:rsid w:val="00B55E6A"/>
    <w:rsid w:val="00B603B5"/>
    <w:rsid w:val="00B61033"/>
    <w:rsid w:val="00B63B40"/>
    <w:rsid w:val="00B90564"/>
    <w:rsid w:val="00B93BD6"/>
    <w:rsid w:val="00B949EE"/>
    <w:rsid w:val="00B977DC"/>
    <w:rsid w:val="00BA0F7C"/>
    <w:rsid w:val="00BB7A69"/>
    <w:rsid w:val="00BC5690"/>
    <w:rsid w:val="00BD53D2"/>
    <w:rsid w:val="00BE0CAF"/>
    <w:rsid w:val="00BE36D7"/>
    <w:rsid w:val="00BE5BAF"/>
    <w:rsid w:val="00BF019A"/>
    <w:rsid w:val="00C020D0"/>
    <w:rsid w:val="00C02466"/>
    <w:rsid w:val="00C04AF3"/>
    <w:rsid w:val="00C04F71"/>
    <w:rsid w:val="00C06BB7"/>
    <w:rsid w:val="00C14BD1"/>
    <w:rsid w:val="00C16B8E"/>
    <w:rsid w:val="00C461DC"/>
    <w:rsid w:val="00C518B3"/>
    <w:rsid w:val="00C66C95"/>
    <w:rsid w:val="00C73D6B"/>
    <w:rsid w:val="00C936E7"/>
    <w:rsid w:val="00C9621D"/>
    <w:rsid w:val="00CA4845"/>
    <w:rsid w:val="00CA68A7"/>
    <w:rsid w:val="00CA735C"/>
    <w:rsid w:val="00CA7E12"/>
    <w:rsid w:val="00CC221E"/>
    <w:rsid w:val="00CD3269"/>
    <w:rsid w:val="00CD57CE"/>
    <w:rsid w:val="00CE0E29"/>
    <w:rsid w:val="00CE663E"/>
    <w:rsid w:val="00CF67F5"/>
    <w:rsid w:val="00D07752"/>
    <w:rsid w:val="00D10142"/>
    <w:rsid w:val="00D15B26"/>
    <w:rsid w:val="00D17F37"/>
    <w:rsid w:val="00D2148B"/>
    <w:rsid w:val="00D24320"/>
    <w:rsid w:val="00D27C75"/>
    <w:rsid w:val="00D34EAE"/>
    <w:rsid w:val="00D42342"/>
    <w:rsid w:val="00D45639"/>
    <w:rsid w:val="00D5316F"/>
    <w:rsid w:val="00D57BFD"/>
    <w:rsid w:val="00D71EBF"/>
    <w:rsid w:val="00D8028F"/>
    <w:rsid w:val="00D80E0F"/>
    <w:rsid w:val="00D84456"/>
    <w:rsid w:val="00D845C6"/>
    <w:rsid w:val="00DA15B8"/>
    <w:rsid w:val="00DA3E8E"/>
    <w:rsid w:val="00DA58A8"/>
    <w:rsid w:val="00DC238A"/>
    <w:rsid w:val="00DC4ABE"/>
    <w:rsid w:val="00DD0FBC"/>
    <w:rsid w:val="00DD28E9"/>
    <w:rsid w:val="00DE6D77"/>
    <w:rsid w:val="00DE6F38"/>
    <w:rsid w:val="00E0379A"/>
    <w:rsid w:val="00E03BBA"/>
    <w:rsid w:val="00E104AA"/>
    <w:rsid w:val="00E214F2"/>
    <w:rsid w:val="00E44896"/>
    <w:rsid w:val="00E56F3D"/>
    <w:rsid w:val="00E64998"/>
    <w:rsid w:val="00E659DC"/>
    <w:rsid w:val="00E90D75"/>
    <w:rsid w:val="00E9334C"/>
    <w:rsid w:val="00EA1FE8"/>
    <w:rsid w:val="00EA5A6F"/>
    <w:rsid w:val="00EB1D01"/>
    <w:rsid w:val="00EB3F02"/>
    <w:rsid w:val="00EC7319"/>
    <w:rsid w:val="00ED40EE"/>
    <w:rsid w:val="00EE5818"/>
    <w:rsid w:val="00EF4980"/>
    <w:rsid w:val="00EF74B9"/>
    <w:rsid w:val="00F018A6"/>
    <w:rsid w:val="00F07AB7"/>
    <w:rsid w:val="00F30C6C"/>
    <w:rsid w:val="00F31425"/>
    <w:rsid w:val="00F3282A"/>
    <w:rsid w:val="00F347A5"/>
    <w:rsid w:val="00F472BF"/>
    <w:rsid w:val="00F65CD8"/>
    <w:rsid w:val="00F664FA"/>
    <w:rsid w:val="00F72CB0"/>
    <w:rsid w:val="00F76D15"/>
    <w:rsid w:val="00F801A4"/>
    <w:rsid w:val="00FA1F2B"/>
    <w:rsid w:val="00FA752E"/>
    <w:rsid w:val="00FB36A7"/>
    <w:rsid w:val="00FB427B"/>
    <w:rsid w:val="00FB71C8"/>
    <w:rsid w:val="00FB7440"/>
    <w:rsid w:val="00FC2D72"/>
    <w:rsid w:val="00FC325C"/>
    <w:rsid w:val="00FC3378"/>
    <w:rsid w:val="00FD4B57"/>
    <w:rsid w:val="00FE45F1"/>
    <w:rsid w:val="00FF1680"/>
    <w:rsid w:val="00FF34B3"/>
    <w:rsid w:val="00FF4455"/>
    <w:rsid w:val="0F4A0796"/>
    <w:rsid w:val="19330B83"/>
    <w:rsid w:val="203F7B8A"/>
    <w:rsid w:val="366A5CF9"/>
    <w:rsid w:val="3A8EEA36"/>
    <w:rsid w:val="481C5ECC"/>
    <w:rsid w:val="55122D3E"/>
    <w:rsid w:val="61332EDE"/>
    <w:rsid w:val="66BBC734"/>
    <w:rsid w:val="69458FE5"/>
    <w:rsid w:val="6A9D871F"/>
    <w:rsid w:val="7057257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FBD52A"/>
  <w15:docId w15:val="{03D64424-E3A3-47CA-9D19-B7E88AFB6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40AC"/>
    <w:pPr>
      <w:spacing w:after="120" w:line="240" w:lineRule="auto"/>
    </w:pPr>
  </w:style>
  <w:style w:type="paragraph" w:styleId="Heading1">
    <w:name w:val="heading 1"/>
    <w:basedOn w:val="Normal"/>
    <w:next w:val="Normal"/>
    <w:link w:val="Heading1Char"/>
    <w:uiPriority w:val="9"/>
    <w:qFormat/>
    <w:rsid w:val="008B7B2D"/>
    <w:pPr>
      <w:keepNext/>
      <w:keepLines/>
      <w:spacing w:after="240"/>
      <w:outlineLvl w:val="0"/>
    </w:pPr>
    <w:rPr>
      <w:rFonts w:ascii="Arial" w:eastAsiaTheme="majorEastAsia" w:hAnsi="Arial" w:cstheme="majorBidi"/>
      <w:bCs/>
      <w:sz w:val="64"/>
      <w:szCs w:val="28"/>
    </w:rPr>
  </w:style>
  <w:style w:type="paragraph" w:styleId="Heading2">
    <w:name w:val="heading 2"/>
    <w:basedOn w:val="Normal"/>
    <w:next w:val="Normal"/>
    <w:link w:val="Heading2Char"/>
    <w:uiPriority w:val="9"/>
    <w:unhideWhenUsed/>
    <w:qFormat/>
    <w:rsid w:val="003B03F4"/>
    <w:pPr>
      <w:keepNext/>
      <w:keepLines/>
      <w:spacing w:before="120"/>
      <w:outlineLvl w:val="1"/>
    </w:pPr>
    <w:rPr>
      <w:rFonts w:ascii="Arial" w:eastAsiaTheme="majorEastAsia" w:hAnsi="Arial" w:cstheme="majorBidi"/>
      <w:bCs/>
      <w:sz w:val="36"/>
      <w:szCs w:val="26"/>
    </w:rPr>
  </w:style>
  <w:style w:type="paragraph" w:styleId="Heading3">
    <w:name w:val="heading 3"/>
    <w:basedOn w:val="Normal"/>
    <w:next w:val="Normal"/>
    <w:link w:val="Heading3Char"/>
    <w:uiPriority w:val="9"/>
    <w:unhideWhenUsed/>
    <w:qFormat/>
    <w:rsid w:val="00B603B5"/>
    <w:pPr>
      <w:keepNext/>
      <w:keepLines/>
      <w:outlineLvl w:val="2"/>
    </w:pPr>
    <w:rPr>
      <w:rFonts w:eastAsiaTheme="majorEastAsia" w:cstheme="majorBidi"/>
      <w:b/>
      <w:bCs/>
    </w:rPr>
  </w:style>
  <w:style w:type="paragraph" w:styleId="Heading4">
    <w:name w:val="heading 4"/>
    <w:basedOn w:val="Normal"/>
    <w:next w:val="Normal"/>
    <w:link w:val="Heading4Char"/>
    <w:uiPriority w:val="9"/>
    <w:unhideWhenUsed/>
    <w:qFormat/>
    <w:rsid w:val="003139DF"/>
    <w:pPr>
      <w:keepNext/>
      <w:keepLines/>
      <w:outlineLvl w:val="3"/>
    </w:pPr>
    <w:rPr>
      <w:rFonts w:eastAsiaTheme="majorEastAsia" w:cstheme="majorBidi"/>
      <w:bCs/>
      <w:iCs/>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B2D"/>
    <w:rPr>
      <w:rFonts w:ascii="Arial" w:eastAsiaTheme="majorEastAsia" w:hAnsi="Arial" w:cstheme="majorBidi"/>
      <w:bCs/>
      <w:sz w:val="64"/>
      <w:szCs w:val="28"/>
    </w:rPr>
  </w:style>
  <w:style w:type="character" w:customStyle="1" w:styleId="Heading2Char">
    <w:name w:val="Heading 2 Char"/>
    <w:basedOn w:val="DefaultParagraphFont"/>
    <w:link w:val="Heading2"/>
    <w:uiPriority w:val="9"/>
    <w:rsid w:val="003B03F4"/>
    <w:rPr>
      <w:rFonts w:ascii="Arial" w:eastAsiaTheme="majorEastAsia" w:hAnsi="Arial" w:cstheme="majorBidi"/>
      <w:bCs/>
      <w:sz w:val="36"/>
      <w:szCs w:val="26"/>
    </w:rPr>
  </w:style>
  <w:style w:type="character" w:customStyle="1" w:styleId="Heading3Char">
    <w:name w:val="Heading 3 Char"/>
    <w:basedOn w:val="DefaultParagraphFont"/>
    <w:link w:val="Heading3"/>
    <w:uiPriority w:val="9"/>
    <w:rsid w:val="00B603B5"/>
    <w:rPr>
      <w:rFonts w:ascii="Arial" w:eastAsiaTheme="majorEastAsia" w:hAnsi="Arial" w:cstheme="majorBidi"/>
      <w:b/>
      <w:bCs/>
      <w:sz w:val="24"/>
    </w:rPr>
  </w:style>
  <w:style w:type="character" w:customStyle="1" w:styleId="Heading4Char">
    <w:name w:val="Heading 4 Char"/>
    <w:basedOn w:val="DefaultParagraphFont"/>
    <w:link w:val="Heading4"/>
    <w:uiPriority w:val="9"/>
    <w:rsid w:val="003139DF"/>
    <w:rPr>
      <w:rFonts w:ascii="Arial" w:eastAsiaTheme="majorEastAsia" w:hAnsi="Arial" w:cstheme="majorBidi"/>
      <w:bCs/>
      <w:iCs/>
      <w:sz w:val="20"/>
    </w:rPr>
  </w:style>
  <w:style w:type="paragraph" w:styleId="BalloonText">
    <w:name w:val="Balloon Text"/>
    <w:basedOn w:val="Normal"/>
    <w:link w:val="BalloonTextChar"/>
    <w:uiPriority w:val="99"/>
    <w:semiHidden/>
    <w:unhideWhenUsed/>
    <w:rsid w:val="007E3E20"/>
    <w:rPr>
      <w:rFonts w:ascii="Tahoma" w:hAnsi="Tahoma" w:cs="Tahoma"/>
      <w:sz w:val="16"/>
      <w:szCs w:val="16"/>
    </w:rPr>
  </w:style>
  <w:style w:type="character" w:customStyle="1" w:styleId="BalloonTextChar">
    <w:name w:val="Balloon Text Char"/>
    <w:basedOn w:val="DefaultParagraphFont"/>
    <w:link w:val="BalloonText"/>
    <w:uiPriority w:val="99"/>
    <w:semiHidden/>
    <w:rsid w:val="007E3E20"/>
    <w:rPr>
      <w:rFonts w:ascii="Tahoma" w:hAnsi="Tahoma" w:cs="Tahoma"/>
      <w:sz w:val="16"/>
      <w:szCs w:val="16"/>
    </w:rPr>
  </w:style>
  <w:style w:type="character" w:styleId="PlaceholderText">
    <w:name w:val="Placeholder Text"/>
    <w:basedOn w:val="DefaultParagraphFont"/>
    <w:uiPriority w:val="99"/>
    <w:semiHidden/>
    <w:rsid w:val="007E3E20"/>
    <w:rPr>
      <w:color w:val="808080"/>
    </w:rPr>
  </w:style>
  <w:style w:type="paragraph" w:styleId="Header">
    <w:name w:val="header"/>
    <w:basedOn w:val="Normal"/>
    <w:link w:val="HeaderChar"/>
    <w:uiPriority w:val="99"/>
    <w:unhideWhenUsed/>
    <w:rsid w:val="00BE5BAF"/>
    <w:pPr>
      <w:tabs>
        <w:tab w:val="center" w:pos="4680"/>
        <w:tab w:val="right" w:pos="9360"/>
      </w:tabs>
      <w:spacing w:after="0"/>
    </w:pPr>
  </w:style>
  <w:style w:type="character" w:customStyle="1" w:styleId="HeaderChar">
    <w:name w:val="Header Char"/>
    <w:basedOn w:val="DefaultParagraphFont"/>
    <w:link w:val="Header"/>
    <w:uiPriority w:val="99"/>
    <w:rsid w:val="00BE5BAF"/>
    <w:rPr>
      <w:rFonts w:ascii="Arial" w:hAnsi="Arial"/>
      <w:sz w:val="24"/>
    </w:rPr>
  </w:style>
  <w:style w:type="paragraph" w:styleId="Footer">
    <w:name w:val="footer"/>
    <w:basedOn w:val="Normal"/>
    <w:link w:val="FooterChar"/>
    <w:uiPriority w:val="99"/>
    <w:unhideWhenUsed/>
    <w:rsid w:val="00BE5BAF"/>
    <w:pPr>
      <w:tabs>
        <w:tab w:val="center" w:pos="4680"/>
        <w:tab w:val="right" w:pos="9360"/>
      </w:tabs>
      <w:spacing w:after="0"/>
    </w:pPr>
  </w:style>
  <w:style w:type="character" w:customStyle="1" w:styleId="FooterChar">
    <w:name w:val="Footer Char"/>
    <w:basedOn w:val="DefaultParagraphFont"/>
    <w:link w:val="Footer"/>
    <w:uiPriority w:val="99"/>
    <w:rsid w:val="00BE5BAF"/>
    <w:rPr>
      <w:rFonts w:ascii="Arial" w:hAnsi="Arial"/>
      <w:sz w:val="24"/>
    </w:rPr>
  </w:style>
  <w:style w:type="table" w:styleId="TableGrid">
    <w:name w:val="Table Grid"/>
    <w:basedOn w:val="TableNormal"/>
    <w:uiPriority w:val="59"/>
    <w:rsid w:val="008B7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C21E8"/>
    <w:pPr>
      <w:spacing w:after="160" w:line="278" w:lineRule="auto"/>
      <w:ind w:left="720"/>
      <w:contextualSpacing/>
    </w:pPr>
    <w:rPr>
      <w:kern w:val="2"/>
      <w:sz w:val="24"/>
      <w:szCs w:val="24"/>
      <w14:ligatures w14:val="standardContextual"/>
    </w:rPr>
  </w:style>
  <w:style w:type="character" w:styleId="Hyperlink">
    <w:name w:val="Hyperlink"/>
    <w:basedOn w:val="DefaultParagraphFont"/>
    <w:uiPriority w:val="99"/>
    <w:unhideWhenUsed/>
    <w:rsid w:val="009C21E8"/>
    <w:rPr>
      <w:color w:val="0000FF" w:themeColor="hyperlink"/>
      <w:u w:val="single"/>
    </w:rPr>
  </w:style>
  <w:style w:type="character" w:styleId="UnresolvedMention">
    <w:name w:val="Unresolved Mention"/>
    <w:basedOn w:val="DefaultParagraphFont"/>
    <w:uiPriority w:val="99"/>
    <w:semiHidden/>
    <w:unhideWhenUsed/>
    <w:rsid w:val="005F0F3F"/>
    <w:rPr>
      <w:color w:val="605E5C"/>
      <w:shd w:val="clear" w:color="auto" w:fill="E1DFDD"/>
    </w:rPr>
  </w:style>
  <w:style w:type="character" w:styleId="CommentReference">
    <w:name w:val="annotation reference"/>
    <w:basedOn w:val="DefaultParagraphFont"/>
    <w:uiPriority w:val="99"/>
    <w:semiHidden/>
    <w:unhideWhenUsed/>
    <w:rsid w:val="004522B5"/>
    <w:rPr>
      <w:sz w:val="16"/>
      <w:szCs w:val="16"/>
    </w:rPr>
  </w:style>
  <w:style w:type="paragraph" w:styleId="CommentText">
    <w:name w:val="annotation text"/>
    <w:basedOn w:val="Normal"/>
    <w:link w:val="CommentTextChar"/>
    <w:uiPriority w:val="99"/>
    <w:unhideWhenUsed/>
    <w:rsid w:val="004522B5"/>
    <w:rPr>
      <w:sz w:val="20"/>
      <w:szCs w:val="20"/>
    </w:rPr>
  </w:style>
  <w:style w:type="character" w:customStyle="1" w:styleId="CommentTextChar">
    <w:name w:val="Comment Text Char"/>
    <w:basedOn w:val="DefaultParagraphFont"/>
    <w:link w:val="CommentText"/>
    <w:uiPriority w:val="99"/>
    <w:rsid w:val="004522B5"/>
    <w:rPr>
      <w:sz w:val="20"/>
      <w:szCs w:val="20"/>
    </w:rPr>
  </w:style>
  <w:style w:type="paragraph" w:styleId="CommentSubject">
    <w:name w:val="annotation subject"/>
    <w:basedOn w:val="CommentText"/>
    <w:next w:val="CommentText"/>
    <w:link w:val="CommentSubjectChar"/>
    <w:uiPriority w:val="99"/>
    <w:semiHidden/>
    <w:unhideWhenUsed/>
    <w:rsid w:val="004522B5"/>
    <w:rPr>
      <w:b/>
      <w:bCs/>
    </w:rPr>
  </w:style>
  <w:style w:type="character" w:customStyle="1" w:styleId="CommentSubjectChar">
    <w:name w:val="Comment Subject Char"/>
    <w:basedOn w:val="CommentTextChar"/>
    <w:link w:val="CommentSubject"/>
    <w:uiPriority w:val="99"/>
    <w:semiHidden/>
    <w:rsid w:val="004522B5"/>
    <w:rPr>
      <w:b/>
      <w:bCs/>
      <w:sz w:val="20"/>
      <w:szCs w:val="20"/>
    </w:rPr>
  </w:style>
  <w:style w:type="paragraph" w:styleId="Revision">
    <w:name w:val="Revision"/>
    <w:hidden/>
    <w:uiPriority w:val="99"/>
    <w:semiHidden/>
    <w:rsid w:val="00497729"/>
    <w:pPr>
      <w:spacing w:after="0" w:line="240" w:lineRule="auto"/>
    </w:pPr>
  </w:style>
  <w:style w:type="paragraph" w:styleId="Title">
    <w:name w:val="Title"/>
    <w:basedOn w:val="Normal"/>
    <w:next w:val="Normal"/>
    <w:link w:val="TitleChar"/>
    <w:uiPriority w:val="10"/>
    <w:qFormat/>
    <w:rsid w:val="003C65CF"/>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65CF"/>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ro.ontario.ca/notice/025-1101"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olicy@brant.ca"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ero.ontario.ca/index.php/notice/025-1097"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ero.ontario.ca/notice/025-1099" TargetMode="External"/><Relationship Id="rId10" Type="http://schemas.openxmlformats.org/officeDocument/2006/relationships/header" Target="header1.xml"/><Relationship Id="rId19"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ro.ontario.ca/index.php/notice/025-1100"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255A214A2AC4491BE0EF6EBC897DFC3"/>
        <w:category>
          <w:name w:val="General"/>
          <w:gallery w:val="placeholder"/>
        </w:category>
        <w:types>
          <w:type w:val="bbPlcHdr"/>
        </w:types>
        <w:behaviors>
          <w:behavior w:val="content"/>
        </w:behaviors>
        <w:guid w:val="{D5D2569F-138F-4C18-82E8-B637E3DFC096}"/>
      </w:docPartPr>
      <w:docPartBody>
        <w:p w:rsidR="00000000" w:rsidRDefault="00636955" w:rsidP="00636955">
          <w:pPr>
            <w:pStyle w:val="0255A214A2AC4491BE0EF6EBC897DFC3"/>
          </w:pPr>
          <w:r w:rsidRPr="005F6F75">
            <w:rPr>
              <w:rStyle w:val="PlaceholderText"/>
              <w:rFonts w:ascii="Arial" w:hAnsi="Arial" w:cs="Arial"/>
            </w:rPr>
            <w:t>Click here to enter text.</w:t>
          </w:r>
        </w:p>
      </w:docPartBody>
    </w:docPart>
    <w:docPart>
      <w:docPartPr>
        <w:name w:val="89559BCA040343F59C9A3209C12D2E83"/>
        <w:category>
          <w:name w:val="General"/>
          <w:gallery w:val="placeholder"/>
        </w:category>
        <w:types>
          <w:type w:val="bbPlcHdr"/>
        </w:types>
        <w:behaviors>
          <w:behavior w:val="content"/>
        </w:behaviors>
        <w:guid w:val="{D78C4E67-31C8-4CDC-80D9-5B4C3C476F74}"/>
      </w:docPartPr>
      <w:docPartBody>
        <w:p w:rsidR="00000000" w:rsidRDefault="00636955" w:rsidP="00636955">
          <w:pPr>
            <w:pStyle w:val="89559BCA040343F59C9A3209C12D2E83"/>
          </w:pPr>
          <w:r w:rsidRPr="008B7B2D">
            <w:rPr>
              <w:rStyle w:val="PlaceholderText"/>
              <w:rFonts w:ascii="Arial" w:hAnsi="Arial" w:cs="Arial"/>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203AE"/>
    <w:rsid w:val="00067393"/>
    <w:rsid w:val="00074DDB"/>
    <w:rsid w:val="00116522"/>
    <w:rsid w:val="00153F97"/>
    <w:rsid w:val="001668FE"/>
    <w:rsid w:val="002D23A9"/>
    <w:rsid w:val="002F562C"/>
    <w:rsid w:val="00377937"/>
    <w:rsid w:val="00447396"/>
    <w:rsid w:val="00453F3E"/>
    <w:rsid w:val="004C360C"/>
    <w:rsid w:val="00561A1B"/>
    <w:rsid w:val="005740A5"/>
    <w:rsid w:val="005D1EC3"/>
    <w:rsid w:val="006015D5"/>
    <w:rsid w:val="00636955"/>
    <w:rsid w:val="00647552"/>
    <w:rsid w:val="006D642B"/>
    <w:rsid w:val="006D79FD"/>
    <w:rsid w:val="00752339"/>
    <w:rsid w:val="00857D93"/>
    <w:rsid w:val="008A160F"/>
    <w:rsid w:val="00960F6B"/>
    <w:rsid w:val="00962B1B"/>
    <w:rsid w:val="00A3521B"/>
    <w:rsid w:val="00AE65B6"/>
    <w:rsid w:val="00B2314B"/>
    <w:rsid w:val="00B522EB"/>
    <w:rsid w:val="00B870D2"/>
    <w:rsid w:val="00C50FE3"/>
    <w:rsid w:val="00CA3932"/>
    <w:rsid w:val="00CC6EDB"/>
    <w:rsid w:val="00D203AE"/>
    <w:rsid w:val="00D27C75"/>
    <w:rsid w:val="00D8028F"/>
    <w:rsid w:val="00E214F2"/>
    <w:rsid w:val="00ED40EE"/>
    <w:rsid w:val="00EE1EA7"/>
    <w:rsid w:val="00F07659"/>
    <w:rsid w:val="00F34BC5"/>
    <w:rsid w:val="00F674D4"/>
    <w:rsid w:val="00F80092"/>
    <w:rsid w:val="00FB7440"/>
    <w:rsid w:val="00FC2D72"/>
    <w:rsid w:val="00FE45F1"/>
    <w:rsid w:val="00FF34B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6955"/>
    <w:rPr>
      <w:color w:val="808080"/>
    </w:rPr>
  </w:style>
  <w:style w:type="paragraph" w:customStyle="1" w:styleId="D5C6A363F89C4DA1868D4D85F9F14B711">
    <w:name w:val="D5C6A363F89C4DA1868D4D85F9F14B711"/>
    <w:rsid w:val="00D8028F"/>
    <w:pPr>
      <w:spacing w:after="120" w:line="240" w:lineRule="auto"/>
    </w:pPr>
    <w:rPr>
      <w:rFonts w:eastAsiaTheme="minorHAnsi"/>
      <w:lang w:eastAsia="en-US"/>
    </w:rPr>
  </w:style>
  <w:style w:type="paragraph" w:customStyle="1" w:styleId="052CB62CDEF541F899FDEE4C21281F241">
    <w:name w:val="052CB62CDEF541F899FDEE4C21281F241"/>
    <w:rsid w:val="00D8028F"/>
    <w:pPr>
      <w:spacing w:after="120" w:line="240" w:lineRule="auto"/>
    </w:pPr>
    <w:rPr>
      <w:rFonts w:eastAsiaTheme="minorHAnsi"/>
      <w:lang w:eastAsia="en-US"/>
    </w:rPr>
  </w:style>
  <w:style w:type="paragraph" w:customStyle="1" w:styleId="685DB83C7C2F4A348FB28908B838B1D31">
    <w:name w:val="685DB83C7C2F4A348FB28908B838B1D31"/>
    <w:rsid w:val="00D8028F"/>
    <w:pPr>
      <w:spacing w:after="120" w:line="240" w:lineRule="auto"/>
    </w:pPr>
    <w:rPr>
      <w:rFonts w:eastAsiaTheme="minorHAnsi"/>
      <w:lang w:eastAsia="en-US"/>
    </w:rPr>
  </w:style>
  <w:style w:type="paragraph" w:customStyle="1" w:styleId="938D0EAA89254BFB9A251789D0CFB640">
    <w:name w:val="938D0EAA89254BFB9A251789D0CFB640"/>
    <w:rsid w:val="00636955"/>
    <w:pPr>
      <w:spacing w:after="160" w:line="278" w:lineRule="auto"/>
    </w:pPr>
    <w:rPr>
      <w:kern w:val="2"/>
      <w:sz w:val="24"/>
      <w:szCs w:val="24"/>
      <w14:ligatures w14:val="standardContextual"/>
    </w:rPr>
  </w:style>
  <w:style w:type="paragraph" w:customStyle="1" w:styleId="6D9C48BF479C4DF39C7B999AB1A74254">
    <w:name w:val="6D9C48BF479C4DF39C7B999AB1A74254"/>
    <w:rsid w:val="00636955"/>
    <w:pPr>
      <w:spacing w:after="160" w:line="278" w:lineRule="auto"/>
    </w:pPr>
    <w:rPr>
      <w:kern w:val="2"/>
      <w:sz w:val="24"/>
      <w:szCs w:val="24"/>
      <w14:ligatures w14:val="standardContextual"/>
    </w:rPr>
  </w:style>
  <w:style w:type="paragraph" w:customStyle="1" w:styleId="19989C43126A4C52A89C4D964BA0E631">
    <w:name w:val="19989C43126A4C52A89C4D964BA0E631"/>
    <w:rsid w:val="00636955"/>
    <w:pPr>
      <w:spacing w:after="160" w:line="278" w:lineRule="auto"/>
    </w:pPr>
    <w:rPr>
      <w:kern w:val="2"/>
      <w:sz w:val="24"/>
      <w:szCs w:val="24"/>
      <w14:ligatures w14:val="standardContextual"/>
    </w:rPr>
  </w:style>
  <w:style w:type="paragraph" w:customStyle="1" w:styleId="87F2F6B990524D14B98294BCD0E7C8D4">
    <w:name w:val="87F2F6B990524D14B98294BCD0E7C8D4"/>
    <w:rsid w:val="00636955"/>
    <w:pPr>
      <w:spacing w:after="160" w:line="278" w:lineRule="auto"/>
    </w:pPr>
    <w:rPr>
      <w:kern w:val="2"/>
      <w:sz w:val="24"/>
      <w:szCs w:val="24"/>
      <w14:ligatures w14:val="standardContextual"/>
    </w:rPr>
  </w:style>
  <w:style w:type="paragraph" w:customStyle="1" w:styleId="9347E64A55BF4F179D48F2B2A2D6420C">
    <w:name w:val="9347E64A55BF4F179D48F2B2A2D6420C"/>
    <w:rsid w:val="00636955"/>
    <w:pPr>
      <w:spacing w:after="160" w:line="278" w:lineRule="auto"/>
    </w:pPr>
    <w:rPr>
      <w:kern w:val="2"/>
      <w:sz w:val="24"/>
      <w:szCs w:val="24"/>
      <w14:ligatures w14:val="standardContextual"/>
    </w:rPr>
  </w:style>
  <w:style w:type="paragraph" w:customStyle="1" w:styleId="856BD542A6D94144A1AD922A2C44F353">
    <w:name w:val="856BD542A6D94144A1AD922A2C44F353"/>
    <w:rsid w:val="00636955"/>
    <w:pPr>
      <w:spacing w:after="160" w:line="278" w:lineRule="auto"/>
    </w:pPr>
    <w:rPr>
      <w:kern w:val="2"/>
      <w:sz w:val="24"/>
      <w:szCs w:val="24"/>
      <w14:ligatures w14:val="standardContextual"/>
    </w:rPr>
  </w:style>
  <w:style w:type="paragraph" w:customStyle="1" w:styleId="B3518AE4156E407DADC9750298BCF33D">
    <w:name w:val="B3518AE4156E407DADC9750298BCF33D"/>
    <w:rsid w:val="00636955"/>
    <w:pPr>
      <w:spacing w:after="160" w:line="278" w:lineRule="auto"/>
    </w:pPr>
    <w:rPr>
      <w:kern w:val="2"/>
      <w:sz w:val="24"/>
      <w:szCs w:val="24"/>
      <w14:ligatures w14:val="standardContextual"/>
    </w:rPr>
  </w:style>
  <w:style w:type="paragraph" w:customStyle="1" w:styleId="4A1C9A63FBE04836BD8A6D90D150F390">
    <w:name w:val="4A1C9A63FBE04836BD8A6D90D150F390"/>
    <w:rsid w:val="00636955"/>
    <w:pPr>
      <w:spacing w:after="160" w:line="278" w:lineRule="auto"/>
    </w:pPr>
    <w:rPr>
      <w:kern w:val="2"/>
      <w:sz w:val="24"/>
      <w:szCs w:val="24"/>
      <w14:ligatures w14:val="standardContextual"/>
    </w:rPr>
  </w:style>
  <w:style w:type="paragraph" w:customStyle="1" w:styleId="0255A214A2AC4491BE0EF6EBC897DFC3">
    <w:name w:val="0255A214A2AC4491BE0EF6EBC897DFC3"/>
    <w:rsid w:val="00636955"/>
    <w:pPr>
      <w:spacing w:after="160" w:line="278" w:lineRule="auto"/>
    </w:pPr>
    <w:rPr>
      <w:kern w:val="2"/>
      <w:sz w:val="24"/>
      <w:szCs w:val="24"/>
      <w14:ligatures w14:val="standardContextual"/>
    </w:rPr>
  </w:style>
  <w:style w:type="paragraph" w:customStyle="1" w:styleId="89559BCA040343F59C9A3209C12D2E83">
    <w:name w:val="89559BCA040343F59C9A3209C12D2E83"/>
    <w:rsid w:val="00636955"/>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E1CA081846D54BA7E40BFF5DC7B993" ma:contentTypeVersion="15" ma:contentTypeDescription="Create a new document." ma:contentTypeScope="" ma:versionID="de1d91fe68f1e7a58a16378c0e03a90d">
  <xsd:schema xmlns:xsd="http://www.w3.org/2001/XMLSchema" xmlns:xs="http://www.w3.org/2001/XMLSchema" xmlns:p="http://schemas.microsoft.com/office/2006/metadata/properties" xmlns:ns2="9dbbd40a-735e-467d-bb5c-bb37781d1d44" xmlns:ns3="b9c3d143-77ba-48d1-9301-e0e9696e24fb" targetNamespace="http://schemas.microsoft.com/office/2006/metadata/properties" ma:root="true" ma:fieldsID="5147cb6834c835695729ceacfb02ad2d" ns2:_="" ns3:_="">
    <xsd:import namespace="9dbbd40a-735e-467d-bb5c-bb37781d1d44"/>
    <xsd:import namespace="b9c3d143-77ba-48d1-9301-e0e9696e24f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bbd40a-735e-467d-bb5c-bb37781d1d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5873b6b-2b56-4194-bdd9-f7c13020fab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9c3d143-77ba-48d1-9301-e0e9696e24f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ec90857-cf79-417f-b499-2b5c35e44453}" ma:internalName="TaxCatchAll" ma:showField="CatchAllData" ma:web="b9c3d143-77ba-48d1-9301-e0e9696e24f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dbbd40a-735e-467d-bb5c-bb37781d1d44">
      <Terms xmlns="http://schemas.microsoft.com/office/infopath/2007/PartnerControls"/>
    </lcf76f155ced4ddcb4097134ff3c332f>
    <TaxCatchAll xmlns="b9c3d143-77ba-48d1-9301-e0e9696e24f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C3D1FC-1D61-4113-B025-D282C676A8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bbd40a-735e-467d-bb5c-bb37781d1d44"/>
    <ds:schemaRef ds:uri="b9c3d143-77ba-48d1-9301-e0e9696e24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5540DC-3D43-4744-8A8D-6DE387EFB0A8}">
  <ds:schemaRefs>
    <ds:schemaRef ds:uri="http://schemas.microsoft.com/office/2006/metadata/properties"/>
    <ds:schemaRef ds:uri="http://schemas.microsoft.com/office/infopath/2007/PartnerControls"/>
    <ds:schemaRef ds:uri="9dbbd40a-735e-467d-bb5c-bb37781d1d44"/>
    <ds:schemaRef ds:uri="b9c3d143-77ba-48d1-9301-e0e9696e24fb"/>
  </ds:schemaRefs>
</ds:datastoreItem>
</file>

<file path=customXml/itemProps3.xml><?xml version="1.0" encoding="utf-8"?>
<ds:datastoreItem xmlns:ds="http://schemas.openxmlformats.org/officeDocument/2006/customXml" ds:itemID="{0B968E3B-4FD3-4F1D-9E45-DE8AC95F87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1866</Words>
  <Characters>11685</Characters>
  <Application>Microsoft Office Word</Application>
  <DocSecurity>0</DocSecurity>
  <Lines>208</Lines>
  <Paragraphs>90</Paragraphs>
  <ScaleCrop>false</ScaleCrop>
  <HeadingPairs>
    <vt:vector size="2" baseType="variant">
      <vt:variant>
        <vt:lpstr>Title</vt:lpstr>
      </vt:variant>
      <vt:variant>
        <vt:i4>1</vt:i4>
      </vt:variant>
    </vt:vector>
  </HeadingPairs>
  <TitlesOfParts>
    <vt:vector size="1" baseType="lpstr">
      <vt:lpstr>Public Works Briefing Note</vt:lpstr>
    </vt:vector>
  </TitlesOfParts>
  <Company>The Corporation of the County of Brant</Company>
  <LinksUpToDate>false</LinksUpToDate>
  <CharactersWithSpaces>13461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Works Briefing Note</dc:title>
  <dc:subject>Briefing Note to Mayor &amp; Council</dc:subject>
  <dc:creator>Taylor Bosveld</dc:creator>
  <cp:keywords>PW, Briefing Note, Mayor, Council</cp:keywords>
  <cp:lastModifiedBy>Brandon Kortleve</cp:lastModifiedBy>
  <cp:revision>2</cp:revision>
  <dcterms:created xsi:type="dcterms:W3CDTF">2025-11-22T15:04:00Z</dcterms:created>
  <dcterms:modified xsi:type="dcterms:W3CDTF">2025-11-22T15:04:00Z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0x01010026E1CA081846D54BA7E40BFF5DC7B993</vt:lpwstr>
  </property>
  <property fmtid="{D5CDD505-2E9C-101B-9397-08002B2CF9AE}" pid="3" name="MediaServiceImageTags">
    <vt:lpwstr/>
  </property>
</Properties>
</file>