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9AEF" w14:textId="7550BBC8" w:rsidR="005E294C" w:rsidRPr="005E294C" w:rsidRDefault="005E294C" w:rsidP="005E294C">
      <w:pPr>
        <w:spacing w:line="360" w:lineRule="auto"/>
        <w:rPr>
          <w:rFonts w:ascii="Times New Roman" w:hAnsi="Times New Roman" w:cs="Times New Roman"/>
          <w:b/>
          <w:bCs/>
        </w:rPr>
      </w:pPr>
      <w:r w:rsidRPr="005E294C">
        <w:rPr>
          <w:rFonts w:ascii="Times New Roman" w:hAnsi="Times New Roman" w:cs="Times New Roman"/>
          <w:b/>
          <w:bCs/>
        </w:rPr>
        <w:t>Comments from Seniors for Climate Action Now! (SCAN!) on the draft Regulation to the Special Economic Zones Act ERO No. 025-1077.</w:t>
      </w:r>
      <w:r>
        <w:rPr>
          <w:rFonts w:ascii="Times New Roman" w:hAnsi="Times New Roman" w:cs="Times New Roman"/>
          <w:b/>
          <w:bCs/>
        </w:rPr>
        <w:t xml:space="preserve"> November 8, 2025</w:t>
      </w:r>
    </w:p>
    <w:p w14:paraId="3201DAF6" w14:textId="200ABDA2" w:rsidR="00F86002" w:rsidRDefault="00F86002" w:rsidP="00AE34C5">
      <w:pPr>
        <w:spacing w:line="360" w:lineRule="auto"/>
        <w:rPr>
          <w:rFonts w:ascii="Times New Roman" w:hAnsi="Times New Roman" w:cs="Times New Roman"/>
        </w:rPr>
      </w:pPr>
    </w:p>
    <w:p w14:paraId="513E42E5" w14:textId="77777777" w:rsidR="005E294C" w:rsidRDefault="005E294C" w:rsidP="00AE34C5">
      <w:pPr>
        <w:spacing w:line="360" w:lineRule="auto"/>
        <w:rPr>
          <w:rFonts w:ascii="Times New Roman" w:hAnsi="Times New Roman" w:cs="Times New Roman"/>
        </w:rPr>
      </w:pPr>
    </w:p>
    <w:p w14:paraId="665394E9" w14:textId="5719BE9A" w:rsidR="00323FE9" w:rsidRDefault="00323FE9" w:rsidP="00AE34C5">
      <w:pPr>
        <w:spacing w:line="360" w:lineRule="auto"/>
        <w:rPr>
          <w:rFonts w:ascii="Times New Roman" w:hAnsi="Times New Roman" w:cs="Times New Roman"/>
        </w:rPr>
      </w:pPr>
      <w:r>
        <w:rPr>
          <w:rFonts w:ascii="Times New Roman" w:hAnsi="Times New Roman" w:cs="Times New Roman"/>
        </w:rPr>
        <w:t xml:space="preserve">Thank you for this opportunity to provide comment on </w:t>
      </w:r>
      <w:r w:rsidR="003C0E92">
        <w:rPr>
          <w:rFonts w:ascii="Times New Roman" w:hAnsi="Times New Roman" w:cs="Times New Roman"/>
        </w:rPr>
        <w:t xml:space="preserve">the Consultation Draft of the regulation and </w:t>
      </w:r>
      <w:r w:rsidR="005E294C">
        <w:rPr>
          <w:rFonts w:ascii="Times New Roman" w:hAnsi="Times New Roman" w:cs="Times New Roman"/>
        </w:rPr>
        <w:t xml:space="preserve">the </w:t>
      </w:r>
      <w:r w:rsidR="003C0E92">
        <w:rPr>
          <w:rFonts w:ascii="Times New Roman" w:hAnsi="Times New Roman" w:cs="Times New Roman"/>
        </w:rPr>
        <w:t xml:space="preserve">Draft Policy Intent for SEZ Criteria under the Special Economic Zones Act, 2025, </w:t>
      </w:r>
    </w:p>
    <w:p w14:paraId="137099D4" w14:textId="77777777" w:rsidR="00323FE9" w:rsidRPr="00AE34C5" w:rsidRDefault="00323FE9" w:rsidP="00AE34C5">
      <w:pPr>
        <w:spacing w:line="360" w:lineRule="auto"/>
        <w:rPr>
          <w:rFonts w:ascii="Times New Roman" w:hAnsi="Times New Roman" w:cs="Times New Roman"/>
        </w:rPr>
      </w:pPr>
    </w:p>
    <w:p w14:paraId="0A0C7192" w14:textId="0A08B3BA" w:rsidR="00E1114B" w:rsidRPr="00AE34C5" w:rsidRDefault="003C0E92" w:rsidP="00AE34C5">
      <w:pPr>
        <w:spacing w:line="360" w:lineRule="auto"/>
        <w:rPr>
          <w:rFonts w:ascii="Times New Roman" w:hAnsi="Times New Roman" w:cs="Times New Roman"/>
        </w:rPr>
      </w:pPr>
      <w:r>
        <w:rPr>
          <w:rFonts w:ascii="Times New Roman" w:hAnsi="Times New Roman" w:cs="Times New Roman"/>
        </w:rPr>
        <w:t>Seniors for Climate Action Now! (</w:t>
      </w:r>
      <w:r w:rsidR="00F86002" w:rsidRPr="00AE34C5">
        <w:rPr>
          <w:rFonts w:ascii="Times New Roman" w:hAnsi="Times New Roman" w:cs="Times New Roman"/>
        </w:rPr>
        <w:t>SCAN!</w:t>
      </w:r>
      <w:r>
        <w:rPr>
          <w:rFonts w:ascii="Times New Roman" w:hAnsi="Times New Roman" w:cs="Times New Roman"/>
        </w:rPr>
        <w:t>)</w:t>
      </w:r>
      <w:r w:rsidR="00F86002" w:rsidRPr="00AE34C5">
        <w:rPr>
          <w:rFonts w:ascii="Times New Roman" w:hAnsi="Times New Roman" w:cs="Times New Roman"/>
        </w:rPr>
        <w:t xml:space="preserve"> represents approximately </w:t>
      </w:r>
      <w:r>
        <w:rPr>
          <w:rFonts w:ascii="Times New Roman" w:hAnsi="Times New Roman" w:cs="Times New Roman"/>
        </w:rPr>
        <w:t>8</w:t>
      </w:r>
      <w:r w:rsidR="00F86002" w:rsidRPr="00AE34C5">
        <w:rPr>
          <w:rFonts w:ascii="Times New Roman" w:hAnsi="Times New Roman" w:cs="Times New Roman"/>
        </w:rPr>
        <w:t xml:space="preserve">00 </w:t>
      </w:r>
      <w:r w:rsidR="00E1114B" w:rsidRPr="00AE34C5">
        <w:rPr>
          <w:rFonts w:ascii="Times New Roman" w:hAnsi="Times New Roman" w:cs="Times New Roman"/>
        </w:rPr>
        <w:t xml:space="preserve">active </w:t>
      </w:r>
      <w:r w:rsidR="00F86002" w:rsidRPr="00AE34C5">
        <w:rPr>
          <w:rFonts w:ascii="Times New Roman" w:hAnsi="Times New Roman" w:cs="Times New Roman"/>
        </w:rPr>
        <w:t xml:space="preserve">senior citizens who have witnessed the severe changes to climate </w:t>
      </w:r>
      <w:r w:rsidR="00935F1C" w:rsidRPr="00AE34C5">
        <w:rPr>
          <w:rFonts w:ascii="Times New Roman" w:hAnsi="Times New Roman" w:cs="Times New Roman"/>
        </w:rPr>
        <w:t>over our lifetime</w:t>
      </w:r>
      <w:r w:rsidR="00E1114B" w:rsidRPr="00AE34C5">
        <w:rPr>
          <w:rFonts w:ascii="Times New Roman" w:hAnsi="Times New Roman" w:cs="Times New Roman"/>
        </w:rPr>
        <w:t xml:space="preserve"> </w:t>
      </w:r>
      <w:r w:rsidR="00935F1C" w:rsidRPr="00AE34C5">
        <w:rPr>
          <w:rFonts w:ascii="Times New Roman" w:hAnsi="Times New Roman" w:cs="Times New Roman"/>
        </w:rPr>
        <w:t xml:space="preserve">and are angry and deeply worried about what this means for </w:t>
      </w:r>
      <w:r w:rsidR="00AE34C5">
        <w:rPr>
          <w:rFonts w:ascii="Times New Roman" w:hAnsi="Times New Roman" w:cs="Times New Roman"/>
        </w:rPr>
        <w:t>ours</w:t>
      </w:r>
      <w:r w:rsidR="00935F1C" w:rsidRPr="00AE34C5">
        <w:rPr>
          <w:rFonts w:ascii="Times New Roman" w:hAnsi="Times New Roman" w:cs="Times New Roman"/>
        </w:rPr>
        <w:t xml:space="preserve"> and future generations. Wanting to build a sustainable, just and caring society, we are alarmed by the implications o</w:t>
      </w:r>
      <w:r w:rsidR="005E294C">
        <w:rPr>
          <w:rFonts w:ascii="Times New Roman" w:hAnsi="Times New Roman" w:cs="Times New Roman"/>
        </w:rPr>
        <w:t>f Bill 5 and their subsequent Acts</w:t>
      </w:r>
      <w:r>
        <w:rPr>
          <w:rFonts w:ascii="Times New Roman" w:hAnsi="Times New Roman" w:cs="Times New Roman"/>
        </w:rPr>
        <w:t xml:space="preserve"> and by the proposed regulations.</w:t>
      </w:r>
    </w:p>
    <w:p w14:paraId="24F5E94A" w14:textId="77777777" w:rsidR="003C0E92" w:rsidRDefault="003C0E92" w:rsidP="003C0E92">
      <w:pPr>
        <w:spacing w:line="360" w:lineRule="auto"/>
        <w:rPr>
          <w:rFonts w:ascii="Times New Roman" w:hAnsi="Times New Roman" w:cs="Times New Roman"/>
        </w:rPr>
      </w:pPr>
    </w:p>
    <w:p w14:paraId="3F737B15" w14:textId="00578EAA" w:rsidR="003C0E92" w:rsidRDefault="003C0E92" w:rsidP="003C0E92">
      <w:pPr>
        <w:spacing w:line="360" w:lineRule="auto"/>
        <w:rPr>
          <w:rFonts w:ascii="Times New Roman" w:hAnsi="Times New Roman" w:cs="Times New Roman"/>
        </w:rPr>
      </w:pPr>
      <w:r>
        <w:rPr>
          <w:rFonts w:ascii="Times New Roman" w:hAnsi="Times New Roman" w:cs="Times New Roman"/>
        </w:rPr>
        <w:t xml:space="preserve">SCAN </w:t>
      </w:r>
      <w:r w:rsidRPr="00AE34C5">
        <w:rPr>
          <w:rFonts w:ascii="Times New Roman" w:hAnsi="Times New Roman" w:cs="Times New Roman"/>
        </w:rPr>
        <w:t>reject</w:t>
      </w:r>
      <w:r>
        <w:rPr>
          <w:rFonts w:ascii="Times New Roman" w:hAnsi="Times New Roman" w:cs="Times New Roman"/>
        </w:rPr>
        <w:t>s</w:t>
      </w:r>
      <w:r w:rsidRPr="00AE34C5">
        <w:rPr>
          <w:rFonts w:ascii="Times New Roman" w:hAnsi="Times New Roman" w:cs="Times New Roman"/>
        </w:rPr>
        <w:t xml:space="preserve"> </w:t>
      </w:r>
      <w:r>
        <w:rPr>
          <w:rFonts w:ascii="Times New Roman" w:hAnsi="Times New Roman" w:cs="Times New Roman"/>
        </w:rPr>
        <w:t>the Special Economic Zones Act</w:t>
      </w:r>
      <w:r w:rsidRPr="00AE34C5">
        <w:rPr>
          <w:rFonts w:ascii="Times New Roman" w:hAnsi="Times New Roman" w:cs="Times New Roman"/>
        </w:rPr>
        <w:t xml:space="preserve"> in its entirety. Although it </w:t>
      </w:r>
      <w:r>
        <w:rPr>
          <w:rFonts w:ascii="Times New Roman" w:hAnsi="Times New Roman" w:cs="Times New Roman"/>
        </w:rPr>
        <w:t>purports</w:t>
      </w:r>
      <w:r w:rsidRPr="00AE34C5">
        <w:rPr>
          <w:rFonts w:ascii="Times New Roman" w:hAnsi="Times New Roman" w:cs="Times New Roman"/>
        </w:rPr>
        <w:t xml:space="preserve"> to speed up the approval of large</w:t>
      </w:r>
      <w:r>
        <w:rPr>
          <w:rFonts w:ascii="Times New Roman" w:hAnsi="Times New Roman" w:cs="Times New Roman"/>
        </w:rPr>
        <w:t>-</w:t>
      </w:r>
      <w:r w:rsidRPr="00AE34C5">
        <w:rPr>
          <w:rFonts w:ascii="Times New Roman" w:hAnsi="Times New Roman" w:cs="Times New Roman"/>
        </w:rPr>
        <w:t>scale development in the province, it will do so at the expense of the irreplaceable ecosystem</w:t>
      </w:r>
      <w:r>
        <w:rPr>
          <w:rFonts w:ascii="Times New Roman" w:hAnsi="Times New Roman" w:cs="Times New Roman"/>
        </w:rPr>
        <w:t>, cultural</w:t>
      </w:r>
      <w:r w:rsidRPr="00AE34C5">
        <w:rPr>
          <w:rFonts w:ascii="Times New Roman" w:hAnsi="Times New Roman" w:cs="Times New Roman"/>
        </w:rPr>
        <w:t xml:space="preserve"> and social bonds on which our lives and the lives of our grandchildren depend. </w:t>
      </w:r>
      <w:r>
        <w:rPr>
          <w:rFonts w:ascii="Times New Roman" w:hAnsi="Times New Roman" w:cs="Times New Roman"/>
        </w:rPr>
        <w:t xml:space="preserve">It is short-sighted and stupid. </w:t>
      </w:r>
    </w:p>
    <w:p w14:paraId="0ACFBABA" w14:textId="77777777" w:rsidR="005E294C" w:rsidRDefault="005E294C" w:rsidP="003C0E92">
      <w:pPr>
        <w:spacing w:line="360" w:lineRule="auto"/>
        <w:rPr>
          <w:rFonts w:ascii="Times New Roman" w:hAnsi="Times New Roman" w:cs="Times New Roman"/>
        </w:rPr>
      </w:pPr>
    </w:p>
    <w:p w14:paraId="1C5142D2" w14:textId="69CBEC8A" w:rsidR="005E294C" w:rsidRPr="00AE34C5" w:rsidRDefault="005E294C" w:rsidP="003C0E92">
      <w:pPr>
        <w:spacing w:line="360" w:lineRule="auto"/>
        <w:rPr>
          <w:rFonts w:ascii="Times New Roman" w:hAnsi="Times New Roman" w:cs="Times New Roman"/>
        </w:rPr>
      </w:pPr>
      <w:r>
        <w:rPr>
          <w:rFonts w:ascii="Times New Roman" w:hAnsi="Times New Roman" w:cs="Times New Roman"/>
        </w:rPr>
        <w:t>The following comments are without prejudice to our position on Bill 5 and the SEZ Act.</w:t>
      </w:r>
    </w:p>
    <w:p w14:paraId="430B729F" w14:textId="77777777" w:rsidR="00E1114B" w:rsidRPr="00AE34C5" w:rsidRDefault="00E1114B" w:rsidP="00AE34C5">
      <w:pPr>
        <w:spacing w:line="360" w:lineRule="auto"/>
        <w:rPr>
          <w:rFonts w:ascii="Times New Roman" w:hAnsi="Times New Roman" w:cs="Times New Roman"/>
        </w:rPr>
      </w:pPr>
    </w:p>
    <w:p w14:paraId="16A1B543" w14:textId="3093A06D" w:rsidR="00C128BE" w:rsidRPr="00DC0772" w:rsidRDefault="00B74852" w:rsidP="005E294C">
      <w:pPr>
        <w:pStyle w:val="NormalWeb"/>
        <w:numPr>
          <w:ilvl w:val="0"/>
          <w:numId w:val="12"/>
        </w:numPr>
        <w:spacing w:line="360" w:lineRule="auto"/>
        <w:rPr>
          <w:b/>
          <w:bCs/>
        </w:rPr>
      </w:pPr>
      <w:r w:rsidRPr="00DC0772">
        <w:rPr>
          <w:b/>
          <w:bCs/>
        </w:rPr>
        <w:t xml:space="preserve">The </w:t>
      </w:r>
      <w:r w:rsidR="003C0E92">
        <w:rPr>
          <w:b/>
          <w:bCs/>
        </w:rPr>
        <w:t xml:space="preserve">draft regulation </w:t>
      </w:r>
      <w:r w:rsidR="005E294C">
        <w:rPr>
          <w:b/>
          <w:bCs/>
        </w:rPr>
        <w:t>ignores and mis-represents</w:t>
      </w:r>
      <w:r w:rsidR="00C128BE" w:rsidRPr="00DC0772">
        <w:rPr>
          <w:b/>
          <w:bCs/>
        </w:rPr>
        <w:t xml:space="preserve"> Indigenous Rights and Interests.</w:t>
      </w:r>
    </w:p>
    <w:p w14:paraId="6D5E8A63" w14:textId="77777777" w:rsidR="003C0E92" w:rsidRDefault="003C0E92" w:rsidP="003C0E92">
      <w:pPr>
        <w:pStyle w:val="NormalWeb"/>
        <w:spacing w:line="360" w:lineRule="auto"/>
        <w:ind w:left="720"/>
      </w:pPr>
      <w:r>
        <w:t xml:space="preserve">Although the consultation document makes a number of references to the duty to consult and accommodate Aboriginal and treaty rights the wording in the draft Regulation does not contain this reference and only says - in 3 ii </w:t>
      </w:r>
      <w:r w:rsidR="00C128BE" w:rsidRPr="00AE34C5">
        <w:t xml:space="preserve"> </w:t>
      </w:r>
      <w:r>
        <w:t xml:space="preserve">- Whether [where the Minister is of the opinion] the project will provide benefits to Indigenous communities, and if it will, the extent to which it will.”  The Act </w:t>
      </w:r>
      <w:r w:rsidR="00C128BE" w:rsidRPr="00AE34C5">
        <w:t xml:space="preserve">is an </w:t>
      </w:r>
      <w:r w:rsidR="00DC0772">
        <w:t>assault</w:t>
      </w:r>
      <w:r w:rsidR="00C128BE" w:rsidRPr="00AE34C5">
        <w:t xml:space="preserve"> on the constitutionally protected rights of Indigenous Nations to full consultation and accommodation before any developments proceed on their treaty/ unceded lands</w:t>
      </w:r>
      <w:r>
        <w:t xml:space="preserve"> including the right to say “no”.</w:t>
      </w:r>
      <w:r w:rsidR="00C128BE" w:rsidRPr="00AE34C5">
        <w:t xml:space="preserve"> </w:t>
      </w:r>
    </w:p>
    <w:p w14:paraId="7163687C" w14:textId="06E4B0E1" w:rsidR="00BD5346" w:rsidRDefault="003C0E92" w:rsidP="003C0E92">
      <w:pPr>
        <w:pStyle w:val="NormalWeb"/>
        <w:spacing w:line="360" w:lineRule="auto"/>
        <w:ind w:left="720"/>
      </w:pPr>
      <w:r>
        <w:lastRenderedPageBreak/>
        <w:t xml:space="preserve">First Nations in Ontario have no reason to believe that the Ontario government can accurately determine what activities will benefit their communities. They are unanimous in this distrust. Most </w:t>
      </w:r>
      <w:r w:rsidR="00C128BE" w:rsidRPr="00AE34C5">
        <w:t xml:space="preserve">First Nations </w:t>
      </w:r>
      <w:r>
        <w:t xml:space="preserve">in the province opposed Bill 5 and continue to oppose the </w:t>
      </w:r>
      <w:proofErr w:type="gramStart"/>
      <w:r>
        <w:t>Act,</w:t>
      </w:r>
      <w:r w:rsidR="005E294C">
        <w:t xml:space="preserve"> </w:t>
      </w:r>
      <w:r>
        <w:t>and</w:t>
      </w:r>
      <w:proofErr w:type="gramEnd"/>
      <w:r>
        <w:t xml:space="preserve"> are demanding its repeal.</w:t>
      </w:r>
      <w:r w:rsidR="00C128BE" w:rsidRPr="00AE34C5">
        <w:t xml:space="preserve"> </w:t>
      </w:r>
      <w:proofErr w:type="gramStart"/>
      <w:r>
        <w:t>A</w:t>
      </w:r>
      <w:r w:rsidR="00C128BE" w:rsidRPr="00AE34C5">
        <w:t xml:space="preserve"> number of</w:t>
      </w:r>
      <w:proofErr w:type="gramEnd"/>
      <w:r w:rsidR="00C128BE" w:rsidRPr="00AE34C5">
        <w:t xml:space="preserve"> related lawsuits from First Nations </w:t>
      </w:r>
      <w:r>
        <w:t xml:space="preserve">are </w:t>
      </w:r>
      <w:r w:rsidR="00C128BE" w:rsidRPr="00AE34C5">
        <w:t xml:space="preserve">demanding that Ontario respect the Honour of the Crown. </w:t>
      </w:r>
    </w:p>
    <w:p w14:paraId="3CE942BF" w14:textId="4997442E" w:rsidR="003C0E92" w:rsidRDefault="003C0E92" w:rsidP="005E294C">
      <w:pPr>
        <w:pStyle w:val="NormalWeb"/>
        <w:numPr>
          <w:ilvl w:val="0"/>
          <w:numId w:val="12"/>
        </w:numPr>
        <w:spacing w:line="360" w:lineRule="auto"/>
        <w:rPr>
          <w:b/>
          <w:bCs/>
        </w:rPr>
      </w:pPr>
      <w:r>
        <w:rPr>
          <w:b/>
          <w:bCs/>
        </w:rPr>
        <w:t>The definitions of “Economic Significance” and “Strategic Importance” ignore the Environment on which the Economy depends</w:t>
      </w:r>
    </w:p>
    <w:p w14:paraId="64F90C69" w14:textId="72723B08" w:rsidR="003C0E92" w:rsidRPr="003C0E92" w:rsidRDefault="003C0E92" w:rsidP="003C0E92">
      <w:pPr>
        <w:pStyle w:val="NormalWeb"/>
        <w:spacing w:line="360" w:lineRule="auto"/>
        <w:ind w:left="720"/>
      </w:pPr>
      <w:r>
        <w:t>The regulation ignores the total dependence that any “economic” activity has on the long-term health of our lands, waters and air. Climate change is nature collecting on the debt we have run up with our limitless industrial growth. We ignore it at our peril.</w:t>
      </w:r>
    </w:p>
    <w:p w14:paraId="03747F37" w14:textId="49F71BC0" w:rsidR="009831E3" w:rsidRPr="00AE34C5" w:rsidRDefault="00C128BE" w:rsidP="00AE34C5">
      <w:pPr>
        <w:pStyle w:val="NormalWeb"/>
        <w:spacing w:line="360" w:lineRule="auto"/>
        <w:ind w:left="720"/>
      </w:pPr>
      <w:r w:rsidRPr="00AE34C5">
        <w:t xml:space="preserve">In the </w:t>
      </w:r>
      <w:hyperlink r:id="rId8" w:history="1">
        <w:r w:rsidRPr="00AE34C5">
          <w:rPr>
            <w:rStyle w:val="Hyperlink"/>
            <w:rFonts w:eastAsiaTheme="majorEastAsia"/>
            <w:color w:val="000000" w:themeColor="text1"/>
            <w:u w:val="none"/>
          </w:rPr>
          <w:t>mineral-rich Ring of Fire</w:t>
        </w:r>
      </w:hyperlink>
      <w:r w:rsidRPr="00AE34C5">
        <w:rPr>
          <w:color w:val="000000" w:themeColor="text1"/>
        </w:rPr>
        <w:t xml:space="preserve"> – known </w:t>
      </w:r>
      <w:r w:rsidR="00B74852" w:rsidRPr="00AE34C5">
        <w:rPr>
          <w:color w:val="000000" w:themeColor="text1"/>
        </w:rPr>
        <w:t xml:space="preserve">to First Nations </w:t>
      </w:r>
      <w:r w:rsidRPr="00AE34C5">
        <w:rPr>
          <w:color w:val="000000" w:themeColor="text1"/>
        </w:rPr>
        <w:t xml:space="preserve">as </w:t>
      </w:r>
      <w:r w:rsidRPr="00AE34C5">
        <w:rPr>
          <w:rStyle w:val="Emphasis"/>
          <w:rFonts w:eastAsiaTheme="majorEastAsia"/>
        </w:rPr>
        <w:t>Kawana ‘bi ‘</w:t>
      </w:r>
      <w:proofErr w:type="spellStart"/>
      <w:r w:rsidRPr="00AE34C5">
        <w:rPr>
          <w:rStyle w:val="Emphasis"/>
          <w:rFonts w:eastAsiaTheme="majorEastAsia"/>
        </w:rPr>
        <w:t>kag</w:t>
      </w:r>
      <w:proofErr w:type="spellEnd"/>
      <w:r w:rsidRPr="00AE34C5">
        <w:t xml:space="preserve"> – which the government has promised to “unlock” as an economic hub, several First Nations have</w:t>
      </w:r>
      <w:r w:rsidR="003C0E92">
        <w:t xml:space="preserve"> already sued the Province.</w:t>
      </w:r>
      <w:r w:rsidRPr="00AE34C5">
        <w:t xml:space="preserve"> </w:t>
      </w:r>
      <w:r w:rsidR="003C0E92">
        <w:t xml:space="preserve">The value this region holds for them and the rest of us will not be recognized by the regulation. </w:t>
      </w:r>
      <w:r w:rsidR="009831E3" w:rsidRPr="00AE34C5">
        <w:t xml:space="preserve">This region covers approximately 5000 square kilometres of critical biosphere including boreal forests, peatlands and wetlands. It is also home to many different </w:t>
      </w:r>
      <w:r w:rsidR="003C0E92">
        <w:t xml:space="preserve">species </w:t>
      </w:r>
      <w:r w:rsidR="009831E3" w:rsidRPr="00AE34C5">
        <w:t>which local First Nations depend on for the exercise of their rights</w:t>
      </w:r>
      <w:r w:rsidR="003C0E92">
        <w:t xml:space="preserve"> and for their livelihood, including food supply</w:t>
      </w:r>
      <w:r w:rsidR="009831E3" w:rsidRPr="00AE34C5">
        <w:t>. The peatlands are one of the most extensive systems of carbon storage and sequestration on the planet</w:t>
      </w:r>
      <w:r w:rsidR="003C0E92">
        <w:t xml:space="preserve"> </w:t>
      </w:r>
      <w:r w:rsidR="009831E3" w:rsidRPr="00AE34C5">
        <w:t xml:space="preserve">and are vital to </w:t>
      </w:r>
      <w:r w:rsidR="00BD5346" w:rsidRPr="00AE34C5">
        <w:t>limiting climate change.</w:t>
      </w:r>
      <w:r w:rsidR="003C0E92">
        <w:t xml:space="preserve"> The Hudson Bay peatlands have been estimated to store and annually sequester more carbon than the Amazon, a value in Eco-System Services </w:t>
      </w:r>
      <w:proofErr w:type="gramStart"/>
      <w:r w:rsidR="003C0E92">
        <w:t>in excess of</w:t>
      </w:r>
      <w:proofErr w:type="gramEnd"/>
      <w:r w:rsidR="003C0E92">
        <w:t xml:space="preserve"> a trillion dollars</w:t>
      </w:r>
      <w:r w:rsidR="003C0E92">
        <w:rPr>
          <w:rStyle w:val="FootnoteReference"/>
        </w:rPr>
        <w:footnoteReference w:id="1"/>
      </w:r>
      <w:r w:rsidR="003C0E92">
        <w:t>.</w:t>
      </w:r>
    </w:p>
    <w:p w14:paraId="0D39D526" w14:textId="40CBCF2F" w:rsidR="003C0E92" w:rsidRDefault="005E294C" w:rsidP="00AE34C5">
      <w:pPr>
        <w:pStyle w:val="NormalWeb"/>
        <w:spacing w:line="360" w:lineRule="auto"/>
        <w:ind w:left="720"/>
      </w:pPr>
      <w:r>
        <w:t xml:space="preserve">Bill 5 </w:t>
      </w:r>
      <w:r w:rsidR="003C0E92">
        <w:t>terminated</w:t>
      </w:r>
      <w:r w:rsidR="00C128BE" w:rsidRPr="00AE34C5">
        <w:t xml:space="preserve"> the only </w:t>
      </w:r>
      <w:r w:rsidR="003C0E92">
        <w:t xml:space="preserve">provincial </w:t>
      </w:r>
      <w:r w:rsidR="00C128BE" w:rsidRPr="00AE34C5">
        <w:t xml:space="preserve">environmental assessment in the </w:t>
      </w:r>
      <w:r w:rsidR="00BD5346" w:rsidRPr="00AE34C5">
        <w:t>r</w:t>
      </w:r>
      <w:r w:rsidR="00C128BE" w:rsidRPr="00AE34C5">
        <w:t xml:space="preserve">egion (for the Eagles Nest Mine). </w:t>
      </w:r>
      <w:r w:rsidR="009831E3" w:rsidRPr="00AE34C5">
        <w:t xml:space="preserve">The provincial EA for Eagles Nest was voluntarily requested by the Australian mine owners as </w:t>
      </w:r>
      <w:r w:rsidR="00C128BE" w:rsidRPr="00AE34C5">
        <w:t>Ontario is currently the only province tha</w:t>
      </w:r>
      <w:r w:rsidR="009831E3" w:rsidRPr="00AE34C5">
        <w:t>t</w:t>
      </w:r>
      <w:r w:rsidR="00C128BE" w:rsidRPr="00AE34C5">
        <w:t xml:space="preserve"> does </w:t>
      </w:r>
      <w:r w:rsidR="00C128BE" w:rsidRPr="00AE34C5">
        <w:rPr>
          <w:b/>
          <w:bCs/>
        </w:rPr>
        <w:t>not require</w:t>
      </w:r>
      <w:r w:rsidR="00C128BE" w:rsidRPr="00AE34C5">
        <w:t xml:space="preserve"> Enviro</w:t>
      </w:r>
      <w:r w:rsidR="009831E3" w:rsidRPr="00AE34C5">
        <w:t>nmenta</w:t>
      </w:r>
      <w:r w:rsidR="00C128BE" w:rsidRPr="00AE34C5">
        <w:t xml:space="preserve">l Assessment for </w:t>
      </w:r>
      <w:r w:rsidR="009831E3" w:rsidRPr="00AE34C5">
        <w:t xml:space="preserve">mines. </w:t>
      </w:r>
      <w:r w:rsidR="003C0E92">
        <w:t xml:space="preserve">And Ontario is now seeking to terminate the federal Regional Impact Assessment for the region, which – although flawed- would </w:t>
      </w:r>
      <w:r w:rsidR="003C0E92">
        <w:lastRenderedPageBreak/>
        <w:t>provide crucial ecosystem analysis and information about impacts from mining development.</w:t>
      </w:r>
    </w:p>
    <w:p w14:paraId="6C599791" w14:textId="2C921715" w:rsidR="003C0E92" w:rsidRDefault="009831E3" w:rsidP="00AE34C5">
      <w:pPr>
        <w:pStyle w:val="NormalWeb"/>
        <w:spacing w:line="360" w:lineRule="auto"/>
        <w:ind w:left="720"/>
      </w:pPr>
      <w:r w:rsidRPr="00AE34C5">
        <w:t xml:space="preserve">The Environmental Assessments for the roads to the Ring of Fire, although they have </w:t>
      </w:r>
      <w:proofErr w:type="spellStart"/>
      <w:r w:rsidRPr="00AE34C5">
        <w:t>Webequie</w:t>
      </w:r>
      <w:proofErr w:type="spellEnd"/>
      <w:r w:rsidRPr="00AE34C5">
        <w:t xml:space="preserve"> and Marten Falls as proponents, </w:t>
      </w:r>
      <w:r w:rsidR="00AE34C5" w:rsidRPr="00AE34C5">
        <w:t xml:space="preserve">have been </w:t>
      </w:r>
      <w:r w:rsidR="003C0E92">
        <w:t xml:space="preserve">almost </w:t>
      </w:r>
      <w:r w:rsidRPr="00AE34C5">
        <w:t xml:space="preserve">entirely paid for by the provincial government with the explicit intent to divide the First Nations in the region from one another. </w:t>
      </w:r>
      <w:r w:rsidR="00AE34C5" w:rsidRPr="00AE34C5">
        <w:t>Even if there is approval, a</w:t>
      </w:r>
      <w:r w:rsidRPr="00AE34C5">
        <w:t>ny roads will be at least five- ten years to completion.</w:t>
      </w:r>
      <w:r w:rsidR="003C0E92">
        <w:t xml:space="preserve"> </w:t>
      </w:r>
    </w:p>
    <w:p w14:paraId="6C59D993" w14:textId="3D1257EB" w:rsidR="00BD5346" w:rsidRPr="00AE34C5" w:rsidRDefault="00BD5346" w:rsidP="003C0E92">
      <w:pPr>
        <w:pStyle w:val="NormalWeb"/>
        <w:spacing w:line="360" w:lineRule="auto"/>
        <w:ind w:left="720"/>
      </w:pPr>
      <w:r w:rsidRPr="00AE34C5">
        <w:t xml:space="preserve">Schedule 5 of </w:t>
      </w:r>
      <w:r w:rsidR="005E294C">
        <w:t>Bill 5</w:t>
      </w:r>
      <w:r w:rsidRPr="00AE34C5">
        <w:t xml:space="preserve"> also chan</w:t>
      </w:r>
      <w:r w:rsidR="00B74852" w:rsidRPr="00AE34C5">
        <w:t>g</w:t>
      </w:r>
      <w:r w:rsidRPr="00AE34C5">
        <w:t>e</w:t>
      </w:r>
      <w:r w:rsidR="003C0E92">
        <w:t>d</w:t>
      </w:r>
      <w:r w:rsidRPr="00AE34C5">
        <w:t xml:space="preserve"> the Mining Act, removing the ability of the public to track where mining claims are being registered.  That is, ministerial powers </w:t>
      </w:r>
      <w:r w:rsidR="003C0E92">
        <w:t xml:space="preserve">have been </w:t>
      </w:r>
      <w:r w:rsidRPr="00AE34C5">
        <w:t xml:space="preserve">expanded </w:t>
      </w:r>
      <w:r w:rsidR="00AE34C5" w:rsidRPr="00AE34C5">
        <w:t xml:space="preserve">to give </w:t>
      </w:r>
      <w:r w:rsidRPr="00AE34C5">
        <w:t xml:space="preserve">the minister the power to suspend some or all functioning of the Mining Lands Administration System (MLAS) - the online system used for administering and registering mining claims on traditional Indigenous lands (or public lands). </w:t>
      </w:r>
    </w:p>
    <w:p w14:paraId="76DC605F" w14:textId="211C556D" w:rsidR="00AE34C5" w:rsidRPr="00AE34C5" w:rsidRDefault="00AE34C5" w:rsidP="00AE34C5">
      <w:pPr>
        <w:pStyle w:val="NormalWeb"/>
        <w:spacing w:line="360" w:lineRule="auto"/>
        <w:ind w:left="720"/>
      </w:pPr>
      <w:r w:rsidRPr="00AE34C5">
        <w:t xml:space="preserve">Donny Morris, Chief of </w:t>
      </w:r>
      <w:proofErr w:type="spellStart"/>
      <w:r w:rsidRPr="00AE34C5">
        <w:t>Kitchenuhmaykoosib</w:t>
      </w:r>
      <w:proofErr w:type="spellEnd"/>
      <w:r w:rsidRPr="00AE34C5">
        <w:t xml:space="preserve"> </w:t>
      </w:r>
      <w:proofErr w:type="spellStart"/>
      <w:r w:rsidRPr="00AE34C5">
        <w:t>Inninuwug</w:t>
      </w:r>
      <w:proofErr w:type="spellEnd"/>
      <w:r w:rsidRPr="00AE34C5">
        <w:t>, told The Narwhal: “These lands are not Ontario’s to do with as they wish. They are our ancestral lands. We have always been here and are going nowhere. Whatever Ford and his government might want their base to think, nothing is happening up here without our consent.”</w:t>
      </w:r>
    </w:p>
    <w:p w14:paraId="7AE76C8D" w14:textId="1EF50394" w:rsidR="005E294C" w:rsidRPr="005E294C" w:rsidRDefault="00E1114B" w:rsidP="003C33E8">
      <w:pPr>
        <w:pStyle w:val="ListParagraph"/>
        <w:numPr>
          <w:ilvl w:val="0"/>
          <w:numId w:val="12"/>
        </w:numPr>
        <w:spacing w:line="360" w:lineRule="auto"/>
        <w:rPr>
          <w:rFonts w:ascii="Times New Roman" w:hAnsi="Times New Roman" w:cs="Times New Roman"/>
        </w:rPr>
      </w:pPr>
      <w:r w:rsidRPr="005E294C">
        <w:rPr>
          <w:rFonts w:ascii="Times New Roman" w:hAnsi="Times New Roman" w:cs="Times New Roman"/>
          <w:b/>
          <w:bCs/>
        </w:rPr>
        <w:t>Special Economic Zones</w:t>
      </w:r>
      <w:r w:rsidR="005E294C" w:rsidRPr="005E294C">
        <w:rPr>
          <w:rFonts w:ascii="Times New Roman" w:hAnsi="Times New Roman" w:cs="Times New Roman"/>
          <w:b/>
          <w:bCs/>
        </w:rPr>
        <w:t xml:space="preserve"> </w:t>
      </w:r>
      <w:r w:rsidR="00DC0772" w:rsidRPr="005E294C">
        <w:rPr>
          <w:rFonts w:ascii="Times New Roman" w:hAnsi="Times New Roman" w:cs="Times New Roman"/>
          <w:b/>
          <w:bCs/>
        </w:rPr>
        <w:t>and increased ministerial discretio</w:t>
      </w:r>
      <w:r w:rsidR="005E294C">
        <w:rPr>
          <w:rFonts w:ascii="Times New Roman" w:hAnsi="Times New Roman" w:cs="Times New Roman"/>
          <w:b/>
          <w:bCs/>
        </w:rPr>
        <w:t>n undemocratic</w:t>
      </w:r>
    </w:p>
    <w:p w14:paraId="23BBDE69" w14:textId="2F12C89B" w:rsidR="005E294C" w:rsidRDefault="00AE34C5" w:rsidP="005E294C">
      <w:pPr>
        <w:pStyle w:val="ListParagraph"/>
        <w:spacing w:line="360" w:lineRule="auto"/>
        <w:rPr>
          <w:rFonts w:ascii="Times New Roman" w:hAnsi="Times New Roman" w:cs="Times New Roman"/>
        </w:rPr>
      </w:pPr>
      <w:r w:rsidRPr="005E294C">
        <w:rPr>
          <w:rFonts w:ascii="Times New Roman" w:hAnsi="Times New Roman" w:cs="Times New Roman"/>
        </w:rPr>
        <w:t>Th</w:t>
      </w:r>
      <w:r w:rsidR="003C0E92" w:rsidRPr="005E294C">
        <w:rPr>
          <w:rFonts w:ascii="Times New Roman" w:hAnsi="Times New Roman" w:cs="Times New Roman"/>
        </w:rPr>
        <w:t>e Act and the regulation</w:t>
      </w:r>
      <w:r w:rsidR="00E1114B" w:rsidRPr="005E294C">
        <w:rPr>
          <w:rFonts w:ascii="Times New Roman" w:hAnsi="Times New Roman" w:cs="Times New Roman"/>
        </w:rPr>
        <w:t xml:space="preserve"> allow the premier and cabinet to take full control over decisions that are</w:t>
      </w:r>
      <w:r w:rsidR="00BD5346" w:rsidRPr="005E294C">
        <w:rPr>
          <w:rFonts w:ascii="Times New Roman" w:hAnsi="Times New Roman" w:cs="Times New Roman"/>
        </w:rPr>
        <w:t xml:space="preserve"> </w:t>
      </w:r>
      <w:r w:rsidR="00E1114B" w:rsidRPr="005E294C">
        <w:rPr>
          <w:rFonts w:ascii="Times New Roman" w:hAnsi="Times New Roman" w:cs="Times New Roman"/>
        </w:rPr>
        <w:t>usually made by the legislature.</w:t>
      </w:r>
      <w:r w:rsidR="003C0E92" w:rsidRPr="005E294C">
        <w:rPr>
          <w:rFonts w:ascii="Times New Roman" w:hAnsi="Times New Roman" w:cs="Times New Roman"/>
        </w:rPr>
        <w:t xml:space="preserve"> Any restrictions in the Regulation are said to be subject to “the opinion of the Minister” or “the Lieutenant Governor in Council” [cabinet].</w:t>
      </w:r>
      <w:r w:rsidR="00E1114B" w:rsidRPr="005E294C">
        <w:rPr>
          <w:rFonts w:ascii="Times New Roman" w:hAnsi="Times New Roman" w:cs="Times New Roman"/>
        </w:rPr>
        <w:t xml:space="preserve"> This means they</w:t>
      </w:r>
      <w:r w:rsidR="003C0E92" w:rsidRPr="005E294C">
        <w:rPr>
          <w:rFonts w:ascii="Times New Roman" w:hAnsi="Times New Roman" w:cs="Times New Roman"/>
        </w:rPr>
        <w:t xml:space="preserve"> will</w:t>
      </w:r>
      <w:r w:rsidR="00E1114B" w:rsidRPr="005E294C">
        <w:rPr>
          <w:rFonts w:ascii="Times New Roman" w:hAnsi="Times New Roman" w:cs="Times New Roman"/>
        </w:rPr>
        <w:t xml:space="preserve"> decide which provincial and municipal laws</w:t>
      </w:r>
      <w:r w:rsidR="00BD5346" w:rsidRPr="005E294C">
        <w:rPr>
          <w:rFonts w:ascii="Times New Roman" w:hAnsi="Times New Roman" w:cs="Times New Roman"/>
        </w:rPr>
        <w:t xml:space="preserve"> </w:t>
      </w:r>
      <w:r w:rsidR="00E1114B" w:rsidRPr="005E294C">
        <w:rPr>
          <w:rFonts w:ascii="Times New Roman" w:hAnsi="Times New Roman" w:cs="Times New Roman"/>
        </w:rPr>
        <w:t>would apply to “special economic zones”, the geographic extent of the law’s applicability, and even</w:t>
      </w:r>
      <w:r w:rsidR="00BD5346" w:rsidRPr="005E294C">
        <w:rPr>
          <w:rFonts w:ascii="Times New Roman" w:hAnsi="Times New Roman" w:cs="Times New Roman"/>
        </w:rPr>
        <w:t xml:space="preserve"> </w:t>
      </w:r>
      <w:r w:rsidR="00E1114B" w:rsidRPr="005E294C">
        <w:rPr>
          <w:rFonts w:ascii="Times New Roman" w:hAnsi="Times New Roman" w:cs="Times New Roman"/>
        </w:rPr>
        <w:t>the specific individuals and companies to which the law applies.</w:t>
      </w:r>
      <w:r w:rsidR="00BD5346" w:rsidRPr="005E294C">
        <w:rPr>
          <w:rFonts w:ascii="Times New Roman" w:hAnsi="Times New Roman" w:cs="Times New Roman"/>
        </w:rPr>
        <w:t xml:space="preserve"> </w:t>
      </w:r>
      <w:r w:rsidR="00E1114B" w:rsidRPr="005E294C">
        <w:rPr>
          <w:rFonts w:ascii="Times New Roman" w:hAnsi="Times New Roman" w:cs="Times New Roman"/>
        </w:rPr>
        <w:t>By empowering the premier to create special economic zones, “trusted proponents” will be given</w:t>
      </w:r>
      <w:r w:rsidR="00BD5346" w:rsidRPr="005E294C">
        <w:rPr>
          <w:rFonts w:ascii="Times New Roman" w:hAnsi="Times New Roman" w:cs="Times New Roman"/>
        </w:rPr>
        <w:t xml:space="preserve"> </w:t>
      </w:r>
      <w:r w:rsidR="00E1114B" w:rsidRPr="005E294C">
        <w:rPr>
          <w:rFonts w:ascii="Times New Roman" w:hAnsi="Times New Roman" w:cs="Times New Roman"/>
        </w:rPr>
        <w:t>the authority to undertake projects without regard to provincial municipal laws and bylaws.</w:t>
      </w:r>
      <w:r w:rsidR="00BD5346" w:rsidRPr="005E294C">
        <w:rPr>
          <w:rFonts w:ascii="Times New Roman" w:hAnsi="Times New Roman" w:cs="Times New Roman"/>
        </w:rPr>
        <w:t xml:space="preserve"> </w:t>
      </w:r>
      <w:r w:rsidR="003C0E92" w:rsidRPr="005E294C">
        <w:rPr>
          <w:rFonts w:ascii="Times New Roman" w:hAnsi="Times New Roman" w:cs="Times New Roman"/>
        </w:rPr>
        <w:t xml:space="preserve">The regulation </w:t>
      </w:r>
      <w:r w:rsidR="00E1114B" w:rsidRPr="005E294C">
        <w:rPr>
          <w:rFonts w:ascii="Times New Roman" w:hAnsi="Times New Roman" w:cs="Times New Roman"/>
        </w:rPr>
        <w:t>provisions enable the premier and cabinet to hand out exemptions to</w:t>
      </w:r>
      <w:r w:rsidRPr="005E294C">
        <w:rPr>
          <w:rFonts w:ascii="Times New Roman" w:hAnsi="Times New Roman" w:cs="Times New Roman"/>
        </w:rPr>
        <w:t xml:space="preserve"> a</w:t>
      </w:r>
      <w:r w:rsidR="00E1114B" w:rsidRPr="005E294C">
        <w:rPr>
          <w:rFonts w:ascii="Times New Roman" w:hAnsi="Times New Roman" w:cs="Times New Roman"/>
        </w:rPr>
        <w:t xml:space="preserve">ny person or company they choose, for any purpose </w:t>
      </w:r>
      <w:proofErr w:type="gramStart"/>
      <w:r w:rsidR="00E1114B" w:rsidRPr="005E294C">
        <w:rPr>
          <w:rFonts w:ascii="Times New Roman" w:hAnsi="Times New Roman" w:cs="Times New Roman"/>
        </w:rPr>
        <w:t>whatsoever,</w:t>
      </w:r>
      <w:r w:rsidR="005E294C" w:rsidRPr="005E294C">
        <w:rPr>
          <w:rFonts w:ascii="Times New Roman" w:hAnsi="Times New Roman" w:cs="Times New Roman"/>
        </w:rPr>
        <w:t>…</w:t>
      </w:r>
      <w:proofErr w:type="gramEnd"/>
      <w:r w:rsidR="00E1114B" w:rsidRPr="005E294C">
        <w:rPr>
          <w:rFonts w:ascii="Times New Roman" w:hAnsi="Times New Roman" w:cs="Times New Roman"/>
        </w:rPr>
        <w:t>.</w:t>
      </w:r>
      <w:r w:rsidR="00BD5346" w:rsidRPr="005E294C">
        <w:rPr>
          <w:rFonts w:ascii="Times New Roman" w:hAnsi="Times New Roman" w:cs="Times New Roman"/>
        </w:rPr>
        <w:t xml:space="preserve"> It enables the premier to over-ride a</w:t>
      </w:r>
      <w:r w:rsidR="00E1114B" w:rsidRPr="005E294C">
        <w:rPr>
          <w:rFonts w:ascii="Times New Roman" w:hAnsi="Times New Roman" w:cs="Times New Roman"/>
        </w:rPr>
        <w:t xml:space="preserve">ny provincial or municipal law whatsoever (e.g. </w:t>
      </w:r>
      <w:r w:rsidR="00E1114B" w:rsidRPr="005E294C">
        <w:rPr>
          <w:rFonts w:ascii="Times New Roman" w:hAnsi="Times New Roman" w:cs="Times New Roman"/>
        </w:rPr>
        <w:lastRenderedPageBreak/>
        <w:t>Planning Act, Environmental Protection Act,</w:t>
      </w:r>
      <w:r w:rsidR="00BD5346" w:rsidRPr="005E294C">
        <w:rPr>
          <w:rFonts w:ascii="Times New Roman" w:hAnsi="Times New Roman" w:cs="Times New Roman"/>
        </w:rPr>
        <w:t xml:space="preserve"> </w:t>
      </w:r>
      <w:r w:rsidR="00E1114B" w:rsidRPr="005E294C">
        <w:rPr>
          <w:rFonts w:ascii="Times New Roman" w:hAnsi="Times New Roman" w:cs="Times New Roman"/>
        </w:rPr>
        <w:t>Occupational Health and Safety Act, Highway Traffic Act, and Trespass to Property Act).</w:t>
      </w:r>
      <w:r w:rsidR="00E1114B" w:rsidRPr="00AE34C5">
        <w:rPr>
          <w:rStyle w:val="FootnoteReference"/>
          <w:rFonts w:ascii="Times New Roman" w:hAnsi="Times New Roman" w:cs="Times New Roman"/>
        </w:rPr>
        <w:footnoteReference w:id="2"/>
      </w:r>
      <w:r w:rsidR="003C0E92" w:rsidRPr="005E294C">
        <w:rPr>
          <w:rFonts w:ascii="Times New Roman" w:hAnsi="Times New Roman" w:cs="Times New Roman"/>
        </w:rPr>
        <w:t xml:space="preserve">  </w:t>
      </w:r>
    </w:p>
    <w:p w14:paraId="5C11608C" w14:textId="77777777" w:rsidR="005E294C" w:rsidRPr="005E294C" w:rsidRDefault="005E294C" w:rsidP="005E294C">
      <w:pPr>
        <w:pStyle w:val="ListParagraph"/>
        <w:spacing w:line="360" w:lineRule="auto"/>
        <w:rPr>
          <w:rFonts w:ascii="Times New Roman" w:hAnsi="Times New Roman" w:cs="Times New Roman"/>
        </w:rPr>
      </w:pPr>
    </w:p>
    <w:p w14:paraId="4D238C90" w14:textId="4EDD881F" w:rsidR="00AE34C5" w:rsidRPr="00AE34C5" w:rsidRDefault="003C0E92" w:rsidP="00AE34C5">
      <w:pPr>
        <w:pStyle w:val="ListParagraph"/>
        <w:spacing w:line="360" w:lineRule="auto"/>
        <w:rPr>
          <w:rFonts w:ascii="Times New Roman" w:hAnsi="Times New Roman" w:cs="Times New Roman"/>
        </w:rPr>
      </w:pPr>
      <w:r>
        <w:rPr>
          <w:rFonts w:ascii="Times New Roman" w:hAnsi="Times New Roman" w:cs="Times New Roman"/>
        </w:rPr>
        <w:t>There must be limits on Ministerial and cabinet discretion and there must be a right of appeal.</w:t>
      </w:r>
    </w:p>
    <w:p w14:paraId="23E349D7" w14:textId="77777777" w:rsidR="005E294C" w:rsidRDefault="003C0E92" w:rsidP="005E294C">
      <w:pPr>
        <w:pStyle w:val="NormalWeb"/>
        <w:spacing w:line="360" w:lineRule="auto"/>
        <w:ind w:left="720"/>
      </w:pPr>
      <w:r>
        <w:t xml:space="preserve">As an example, </w:t>
      </w:r>
      <w:proofErr w:type="gramStart"/>
      <w:r>
        <w:t>wi</w:t>
      </w:r>
      <w:r w:rsidRPr="00AE34C5">
        <w:t>th the exception of</w:t>
      </w:r>
      <w:proofErr w:type="gramEnd"/>
      <w:r w:rsidRPr="00AE34C5">
        <w:t xml:space="preserve"> the Eagles’ Nest’s outdated study, there are</w:t>
      </w:r>
      <w:r w:rsidRPr="00AE34C5">
        <w:rPr>
          <w:b/>
          <w:bCs/>
        </w:rPr>
        <w:t xml:space="preserve"> no </w:t>
      </w:r>
      <w:r w:rsidRPr="00AE34C5">
        <w:t xml:space="preserve">feasibility studies </w:t>
      </w:r>
      <w:proofErr w:type="gramStart"/>
      <w:r w:rsidRPr="00AE34C5">
        <w:t>as yet</w:t>
      </w:r>
      <w:proofErr w:type="gramEnd"/>
      <w:r w:rsidRPr="00AE34C5">
        <w:t xml:space="preserve"> for any of the other proposed mines in the Ring of Fire.</w:t>
      </w:r>
      <w:r>
        <w:t xml:space="preserve"> Two companies own most of the claims. </w:t>
      </w:r>
      <w:proofErr w:type="spellStart"/>
      <w:r>
        <w:t>Wyloo</w:t>
      </w:r>
      <w:proofErr w:type="spellEnd"/>
      <w:r>
        <w:t xml:space="preserve"> has incorporated a subsidiary to bring the mine to operation, and the subsidiary has no track </w:t>
      </w:r>
      <w:proofErr w:type="gramStart"/>
      <w:r>
        <w:t>record;</w:t>
      </w:r>
      <w:proofErr w:type="gramEnd"/>
      <w:r>
        <w:t xml:space="preserve"> Juno in a junior mining company with no track record of </w:t>
      </w:r>
      <w:proofErr w:type="gramStart"/>
      <w:r>
        <w:t>mine</w:t>
      </w:r>
      <w:proofErr w:type="gramEnd"/>
      <w:r>
        <w:t xml:space="preserve"> development. </w:t>
      </w:r>
      <w:r w:rsidRPr="00AE34C5">
        <w:t xml:space="preserve"> </w:t>
      </w:r>
      <w:r>
        <w:t>Neither of these</w:t>
      </w:r>
      <w:r w:rsidR="005E294C">
        <w:t xml:space="preserve"> sh</w:t>
      </w:r>
      <w:r>
        <w:t>ould qualify as a “trusted proponent” or a viable project, yet the Premier says that the Ring of Fire would be one of the first SEZs.</w:t>
      </w:r>
    </w:p>
    <w:p w14:paraId="54639502" w14:textId="43DB6D96" w:rsidR="005E294C" w:rsidRDefault="003C0E92" w:rsidP="005E294C">
      <w:pPr>
        <w:pStyle w:val="NormalWeb"/>
        <w:numPr>
          <w:ilvl w:val="0"/>
          <w:numId w:val="12"/>
        </w:numPr>
        <w:spacing w:line="360" w:lineRule="auto"/>
      </w:pPr>
      <w:r w:rsidRPr="005E294C">
        <w:rPr>
          <w:b/>
          <w:bCs/>
        </w:rPr>
        <w:t xml:space="preserve">The Act and Regulation will increase conflict </w:t>
      </w:r>
    </w:p>
    <w:p w14:paraId="47D1DF02" w14:textId="1D94112C" w:rsidR="003C0E92" w:rsidRPr="005E294C" w:rsidRDefault="003C0E92" w:rsidP="005E294C">
      <w:pPr>
        <w:pStyle w:val="NormalWeb"/>
        <w:spacing w:line="360" w:lineRule="auto"/>
        <w:ind w:left="680"/>
      </w:pPr>
      <w:r w:rsidRPr="005E294C">
        <w:t xml:space="preserve">The provincial legal architecture that protects the environment, Indigenous, cultural and social necessities in Ontario have been fought for over decades by communities and won (often partially). There has been an understanding by companies and governments that these rules “managed” public dissent. The legal framework is messy and piece-meal because it has been built without a vision of a sustainable and just future. The SEZ Act and regulation wants to </w:t>
      </w:r>
      <w:r w:rsidR="005E294C" w:rsidRPr="005E294C">
        <w:t>“</w:t>
      </w:r>
      <w:r w:rsidRPr="005E294C">
        <w:t xml:space="preserve">hop on a </w:t>
      </w:r>
      <w:proofErr w:type="gramStart"/>
      <w:r w:rsidRPr="005E294C">
        <w:t>bull-dozer</w:t>
      </w:r>
      <w:proofErr w:type="gramEnd"/>
      <w:r w:rsidR="005E294C" w:rsidRPr="005E294C">
        <w:t>”</w:t>
      </w:r>
      <w:r w:rsidRPr="005E294C">
        <w:t xml:space="preserve"> and tear down the entire structure. </w:t>
      </w:r>
    </w:p>
    <w:p w14:paraId="6DAB9FD3" w14:textId="77777777" w:rsidR="005E294C" w:rsidRDefault="005E294C" w:rsidP="005E294C">
      <w:pPr>
        <w:spacing w:line="360" w:lineRule="auto"/>
        <w:rPr>
          <w:rFonts w:ascii="Times New Roman" w:hAnsi="Times New Roman" w:cs="Times New Roman"/>
        </w:rPr>
      </w:pPr>
    </w:p>
    <w:p w14:paraId="6C1F5AA9" w14:textId="77777777" w:rsidR="005E294C" w:rsidRDefault="005E294C" w:rsidP="005E294C">
      <w:pPr>
        <w:spacing w:line="360" w:lineRule="auto"/>
        <w:ind w:left="624"/>
        <w:rPr>
          <w:rFonts w:ascii="Times New Roman" w:hAnsi="Times New Roman" w:cs="Times New Roman"/>
        </w:rPr>
      </w:pPr>
      <w:r>
        <w:rPr>
          <w:rFonts w:ascii="Times New Roman" w:hAnsi="Times New Roman" w:cs="Times New Roman"/>
        </w:rPr>
        <w:t>The Special Economic Zones Act</w:t>
      </w:r>
      <w:r w:rsidRPr="00AE34C5">
        <w:rPr>
          <w:rFonts w:ascii="Times New Roman" w:hAnsi="Times New Roman" w:cs="Times New Roman"/>
        </w:rPr>
        <w:t xml:space="preserve"> </w:t>
      </w:r>
      <w:r>
        <w:rPr>
          <w:rFonts w:ascii="Times New Roman" w:hAnsi="Times New Roman" w:cs="Times New Roman"/>
        </w:rPr>
        <w:t>purports</w:t>
      </w:r>
      <w:r w:rsidRPr="00AE34C5">
        <w:rPr>
          <w:rFonts w:ascii="Times New Roman" w:hAnsi="Times New Roman" w:cs="Times New Roman"/>
        </w:rPr>
        <w:t xml:space="preserve"> to speed up the approval of large</w:t>
      </w:r>
      <w:r>
        <w:rPr>
          <w:rFonts w:ascii="Times New Roman" w:hAnsi="Times New Roman" w:cs="Times New Roman"/>
        </w:rPr>
        <w:t>-</w:t>
      </w:r>
      <w:r w:rsidRPr="00AE34C5">
        <w:rPr>
          <w:rFonts w:ascii="Times New Roman" w:hAnsi="Times New Roman" w:cs="Times New Roman"/>
        </w:rPr>
        <w:t>scale development in the province,</w:t>
      </w:r>
      <w:r>
        <w:rPr>
          <w:rFonts w:ascii="Times New Roman" w:hAnsi="Times New Roman" w:cs="Times New Roman"/>
        </w:rPr>
        <w:t xml:space="preserve"> but</w:t>
      </w:r>
      <w:r w:rsidRPr="00AE34C5">
        <w:rPr>
          <w:rFonts w:ascii="Times New Roman" w:hAnsi="Times New Roman" w:cs="Times New Roman"/>
        </w:rPr>
        <w:t xml:space="preserve"> </w:t>
      </w:r>
      <w:r>
        <w:rPr>
          <w:rFonts w:ascii="Times New Roman" w:hAnsi="Times New Roman" w:cs="Times New Roman"/>
        </w:rPr>
        <w:t xml:space="preserve">the Act and Regulations do nothing to look at the under-lying causes of those delays: the resistance of companies to understanding when First Nations really do not want their project,  concerns about protecting the natural world on which we all depend, and the inability of proponents to raise the market capital required (because the project is not actually feasible). </w:t>
      </w:r>
    </w:p>
    <w:p w14:paraId="1DAB7978" w14:textId="77777777" w:rsidR="003C0E92" w:rsidRDefault="003C0E92" w:rsidP="005E294C">
      <w:pPr>
        <w:spacing w:line="360" w:lineRule="auto"/>
        <w:ind w:left="624"/>
        <w:rPr>
          <w:rFonts w:ascii="Times New Roman" w:hAnsi="Times New Roman" w:cs="Times New Roman"/>
        </w:rPr>
      </w:pPr>
    </w:p>
    <w:p w14:paraId="58317C60" w14:textId="612014FC" w:rsidR="003C0E92" w:rsidRPr="00AE34C5" w:rsidRDefault="003C0E92" w:rsidP="005E294C">
      <w:pPr>
        <w:pStyle w:val="NormalWeb"/>
        <w:spacing w:line="360" w:lineRule="auto"/>
        <w:ind w:left="624"/>
      </w:pPr>
      <w:r w:rsidRPr="00AE34C5">
        <w:lastRenderedPageBreak/>
        <w:t xml:space="preserve">Indigenous law firm </w:t>
      </w:r>
      <w:proofErr w:type="spellStart"/>
      <w:r w:rsidRPr="00AE34C5">
        <w:t>Olthius</w:t>
      </w:r>
      <w:proofErr w:type="spellEnd"/>
      <w:r w:rsidRPr="00AE34C5">
        <w:t>, Kl</w:t>
      </w:r>
      <w:r>
        <w:t>ee</w:t>
      </w:r>
      <w:r w:rsidRPr="00AE34C5">
        <w:t>r and Townshend</w:t>
      </w:r>
      <w:r w:rsidRPr="00AE34C5">
        <w:rPr>
          <w:rStyle w:val="FootnoteReference"/>
        </w:rPr>
        <w:footnoteReference w:id="3"/>
      </w:r>
      <w:r w:rsidRPr="00AE34C5">
        <w:t xml:space="preserve"> wr</w:t>
      </w:r>
      <w:r>
        <w:t>ites:</w:t>
      </w:r>
      <w:r w:rsidRPr="00AE34C5">
        <w:t xml:space="preserve"> </w:t>
      </w:r>
    </w:p>
    <w:p w14:paraId="4EDEF22A" w14:textId="20C66784" w:rsidR="003C0E92" w:rsidRPr="00AE34C5" w:rsidRDefault="003C0E92" w:rsidP="003C0E92">
      <w:pPr>
        <w:pStyle w:val="NormalWeb"/>
        <w:spacing w:line="360" w:lineRule="auto"/>
        <w:ind w:left="720"/>
      </w:pPr>
      <w:r w:rsidRPr="005E294C">
        <w:rPr>
          <w:i/>
          <w:iCs/>
        </w:rPr>
        <w:t xml:space="preserve">…Much of the impetus for the </w:t>
      </w:r>
      <w:r w:rsidRPr="005E294C">
        <w:rPr>
          <w:rStyle w:val="Emphasis"/>
          <w:rFonts w:eastAsiaTheme="majorEastAsia"/>
          <w:i w:val="0"/>
          <w:iCs w:val="0"/>
        </w:rPr>
        <w:t xml:space="preserve">SEZA </w:t>
      </w:r>
      <w:r w:rsidRPr="005E294C">
        <w:rPr>
          <w:i/>
          <w:iCs/>
        </w:rPr>
        <w:t xml:space="preserve">appears to be the lengthy delays that the Government says have plagued several major proposed Ring of Fire developments. The development of new mines in this area has taken additional time due to the potentially devastating impact of any new project which is not carefully planned out, and its potential effects studied. Instead of trying to identify the actual causes of the problems – the reasons why these projects have taken a long time to get off the ground, the government’s solution appears to be to simply eliminate the regulatory requirements, and procedural and environmental safeguards, entirely…These changes unfairly reverse the onus onto First Nations. As many First Nations have noted, it should not be the responsibility of affected First </w:t>
      </w:r>
      <w:proofErr w:type="gramStart"/>
      <w:r w:rsidRPr="005E294C">
        <w:rPr>
          <w:i/>
          <w:iCs/>
        </w:rPr>
        <w:t>Nations’</w:t>
      </w:r>
      <w:proofErr w:type="gramEnd"/>
      <w:r w:rsidRPr="005E294C">
        <w:rPr>
          <w:i/>
          <w:iCs/>
        </w:rPr>
        <w:t xml:space="preserve"> to facilitate and pay out of pocket for a profit-generating corporation to come into its territory and infringe its rights</w:t>
      </w:r>
      <w:r w:rsidRPr="00AE34C5">
        <w:t xml:space="preserve">.  </w:t>
      </w:r>
    </w:p>
    <w:p w14:paraId="54B73B44" w14:textId="14053392" w:rsidR="005E294C" w:rsidRPr="00AE34C5" w:rsidRDefault="005E294C" w:rsidP="005E294C">
      <w:pPr>
        <w:spacing w:line="360" w:lineRule="auto"/>
        <w:ind w:firstLine="720"/>
        <w:rPr>
          <w:rFonts w:ascii="Times New Roman" w:hAnsi="Times New Roman" w:cs="Times New Roman"/>
        </w:rPr>
      </w:pPr>
      <w:r>
        <w:rPr>
          <w:rFonts w:ascii="Times New Roman" w:hAnsi="Times New Roman" w:cs="Times New Roman"/>
        </w:rPr>
        <w:t>None of these delays will go away and they are likely to get worse. The release of the Draft regulation does nothing to reassure us about the impacts of Bill 5 and the Special Economic Zones Act. All three are short-sighted and stupid.</w:t>
      </w:r>
    </w:p>
    <w:p w14:paraId="1A515889" w14:textId="77777777" w:rsidR="00F86002" w:rsidRPr="00F86002" w:rsidRDefault="00F86002" w:rsidP="00DC0772">
      <w:pPr>
        <w:ind w:left="737"/>
      </w:pPr>
    </w:p>
    <w:sectPr w:rsidR="00F86002" w:rsidRPr="00F86002">
      <w:headerReference w:type="even" r:id="rId9"/>
      <w:headerReference w:type="default" r:id="rId10"/>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5035" w14:textId="77777777" w:rsidR="007A4479" w:rsidRDefault="007A4479" w:rsidP="00866B8F">
      <w:r>
        <w:separator/>
      </w:r>
    </w:p>
  </w:endnote>
  <w:endnote w:type="continuationSeparator" w:id="0">
    <w:p w14:paraId="7A5DECDC" w14:textId="77777777" w:rsidR="007A4479" w:rsidRDefault="007A4479" w:rsidP="0086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18831"/>
      <w:docPartObj>
        <w:docPartGallery w:val="Page Numbers (Bottom of Page)"/>
        <w:docPartUnique/>
      </w:docPartObj>
    </w:sdtPr>
    <w:sdtContent>
      <w:p w14:paraId="7604754A" w14:textId="44E4B81F" w:rsidR="00E10134" w:rsidRDefault="00E10134" w:rsidP="000828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DD9E07" w14:textId="77777777" w:rsidR="00E10134" w:rsidRDefault="00E10134" w:rsidP="00E101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7572826"/>
      <w:docPartObj>
        <w:docPartGallery w:val="Page Numbers (Bottom of Page)"/>
        <w:docPartUnique/>
      </w:docPartObj>
    </w:sdtPr>
    <w:sdtContent>
      <w:p w14:paraId="675B04A7" w14:textId="52AA10FB" w:rsidR="00E10134" w:rsidRDefault="00E10134" w:rsidP="000828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CC8018" w14:textId="77777777" w:rsidR="00E10134" w:rsidRDefault="00E10134" w:rsidP="00E101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0D6D" w14:textId="77777777" w:rsidR="007A4479" w:rsidRDefault="007A4479" w:rsidP="00866B8F">
      <w:r>
        <w:separator/>
      </w:r>
    </w:p>
  </w:footnote>
  <w:footnote w:type="continuationSeparator" w:id="0">
    <w:p w14:paraId="0298C328" w14:textId="77777777" w:rsidR="007A4479" w:rsidRDefault="007A4479" w:rsidP="00866B8F">
      <w:r>
        <w:continuationSeparator/>
      </w:r>
    </w:p>
  </w:footnote>
  <w:footnote w:id="1">
    <w:p w14:paraId="06C1050B" w14:textId="1837B613" w:rsidR="003C0E92" w:rsidRDefault="003C0E92">
      <w:pPr>
        <w:pStyle w:val="FootnoteText"/>
      </w:pPr>
      <w:r>
        <w:rPr>
          <w:rStyle w:val="FootnoteReference"/>
        </w:rPr>
        <w:footnoteRef/>
      </w:r>
      <w:r>
        <w:t xml:space="preserve"> IISD</w:t>
      </w:r>
      <w:r w:rsidRPr="003C0E92">
        <w:t xml:space="preserve"> </w:t>
      </w:r>
      <w:hyperlink r:id="rId1" w:history="1">
        <w:r w:rsidRPr="00D35C24">
          <w:rPr>
            <w:rStyle w:val="Hyperlink"/>
          </w:rPr>
          <w:t>https://www.iisd.org/publications/report/hudson-bay-lowlands-ecosystem-valuation</w:t>
        </w:r>
      </w:hyperlink>
      <w:r>
        <w:t xml:space="preserve"> </w:t>
      </w:r>
    </w:p>
  </w:footnote>
  <w:footnote w:id="2">
    <w:p w14:paraId="7F051A76" w14:textId="69B866D0" w:rsidR="00E1114B" w:rsidRDefault="00E1114B">
      <w:pPr>
        <w:pStyle w:val="FootnoteText"/>
      </w:pPr>
      <w:r>
        <w:rPr>
          <w:rStyle w:val="FootnoteReference"/>
        </w:rPr>
        <w:footnoteRef/>
      </w:r>
      <w:r>
        <w:t xml:space="preserve"> </w:t>
      </w:r>
      <w:r w:rsidRPr="00E1114B">
        <w:t>https://environmentaldefence.ca/wp-content/uploads/2025/05/Bill-5-V2-Backgrounder-May-2025.pdf</w:t>
      </w:r>
    </w:p>
  </w:footnote>
  <w:footnote w:id="3">
    <w:p w14:paraId="59FD079A" w14:textId="77777777" w:rsidR="003C0E92" w:rsidRDefault="003C0E92" w:rsidP="003C0E92">
      <w:pPr>
        <w:pStyle w:val="FootnoteText"/>
      </w:pPr>
      <w:r>
        <w:rPr>
          <w:rStyle w:val="FootnoteReference"/>
        </w:rPr>
        <w:footnoteRef/>
      </w:r>
      <w:r>
        <w:t xml:space="preserve"> </w:t>
      </w:r>
      <w:r w:rsidRPr="00866B8F">
        <w:t>https://www.oktlaw.com/ontarios-proposed-bill-5-will-be-devastating-to-indigenous-rights-and-interests/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5104698"/>
      <w:docPartObj>
        <w:docPartGallery w:val="Page Numbers (Top of Page)"/>
        <w:docPartUnique/>
      </w:docPartObj>
    </w:sdtPr>
    <w:sdtContent>
      <w:p w14:paraId="72FCBE23" w14:textId="469995B1" w:rsidR="005E294C" w:rsidRDefault="005E294C" w:rsidP="00D35C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F13BB14" w14:textId="77777777" w:rsidR="005E294C" w:rsidRDefault="005E294C" w:rsidP="005E29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6999723"/>
      <w:docPartObj>
        <w:docPartGallery w:val="Page Numbers (Top of Page)"/>
        <w:docPartUnique/>
      </w:docPartObj>
    </w:sdtPr>
    <w:sdtContent>
      <w:p w14:paraId="5F4522D9" w14:textId="52BE8CF0" w:rsidR="005E294C" w:rsidRDefault="005E294C" w:rsidP="00D35C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94C48D" w14:textId="77777777" w:rsidR="005E294C" w:rsidRDefault="005E294C" w:rsidP="005E294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0E9"/>
    <w:multiLevelType w:val="hybridMultilevel"/>
    <w:tmpl w:val="5D7CE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F276F"/>
    <w:multiLevelType w:val="hybridMultilevel"/>
    <w:tmpl w:val="4BF8E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731E"/>
    <w:multiLevelType w:val="hybridMultilevel"/>
    <w:tmpl w:val="43D80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A3023"/>
    <w:multiLevelType w:val="hybridMultilevel"/>
    <w:tmpl w:val="ABC40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366BA"/>
    <w:multiLevelType w:val="multilevel"/>
    <w:tmpl w:val="785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84DC6"/>
    <w:multiLevelType w:val="hybridMultilevel"/>
    <w:tmpl w:val="DADE1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C7C4B"/>
    <w:multiLevelType w:val="hybridMultilevel"/>
    <w:tmpl w:val="ADAC2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954390"/>
    <w:multiLevelType w:val="multilevel"/>
    <w:tmpl w:val="D90AD03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B60B81"/>
    <w:multiLevelType w:val="hybridMultilevel"/>
    <w:tmpl w:val="4A96E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D1C75"/>
    <w:multiLevelType w:val="hybridMultilevel"/>
    <w:tmpl w:val="E94825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2353F"/>
    <w:multiLevelType w:val="hybridMultilevel"/>
    <w:tmpl w:val="7B12E320"/>
    <w:lvl w:ilvl="0" w:tplc="53FC70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D52EE"/>
    <w:multiLevelType w:val="hybridMultilevel"/>
    <w:tmpl w:val="FAF673B6"/>
    <w:lvl w:ilvl="0" w:tplc="B5A07208">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931989">
    <w:abstractNumId w:val="1"/>
  </w:num>
  <w:num w:numId="2" w16cid:durableId="1240099895">
    <w:abstractNumId w:val="3"/>
  </w:num>
  <w:num w:numId="3" w16cid:durableId="1622568593">
    <w:abstractNumId w:val="5"/>
  </w:num>
  <w:num w:numId="4" w16cid:durableId="1140270226">
    <w:abstractNumId w:val="8"/>
  </w:num>
  <w:num w:numId="5" w16cid:durableId="29838245">
    <w:abstractNumId w:val="4"/>
  </w:num>
  <w:num w:numId="6" w16cid:durableId="1925064765">
    <w:abstractNumId w:val="9"/>
  </w:num>
  <w:num w:numId="7" w16cid:durableId="736127645">
    <w:abstractNumId w:val="11"/>
  </w:num>
  <w:num w:numId="8" w16cid:durableId="1778022194">
    <w:abstractNumId w:val="6"/>
  </w:num>
  <w:num w:numId="9" w16cid:durableId="379983068">
    <w:abstractNumId w:val="2"/>
  </w:num>
  <w:num w:numId="10" w16cid:durableId="863594047">
    <w:abstractNumId w:val="7"/>
  </w:num>
  <w:num w:numId="11" w16cid:durableId="1097867175">
    <w:abstractNumId w:val="0"/>
  </w:num>
  <w:num w:numId="12" w16cid:durableId="1527982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02"/>
    <w:rsid w:val="00075920"/>
    <w:rsid w:val="002605C9"/>
    <w:rsid w:val="00323FE9"/>
    <w:rsid w:val="003C0E92"/>
    <w:rsid w:val="00403802"/>
    <w:rsid w:val="00436327"/>
    <w:rsid w:val="00447D89"/>
    <w:rsid w:val="0050280F"/>
    <w:rsid w:val="005E294C"/>
    <w:rsid w:val="00701BD8"/>
    <w:rsid w:val="0071113A"/>
    <w:rsid w:val="00731B92"/>
    <w:rsid w:val="00792049"/>
    <w:rsid w:val="007A4479"/>
    <w:rsid w:val="00866B8F"/>
    <w:rsid w:val="00935F1C"/>
    <w:rsid w:val="009831E3"/>
    <w:rsid w:val="00AE34C5"/>
    <w:rsid w:val="00B74852"/>
    <w:rsid w:val="00BD5346"/>
    <w:rsid w:val="00C128BE"/>
    <w:rsid w:val="00C3313F"/>
    <w:rsid w:val="00D213B5"/>
    <w:rsid w:val="00DC0772"/>
    <w:rsid w:val="00DE3B7C"/>
    <w:rsid w:val="00DE3DF3"/>
    <w:rsid w:val="00E10134"/>
    <w:rsid w:val="00E1114B"/>
    <w:rsid w:val="00EA1912"/>
    <w:rsid w:val="00F860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402A074"/>
  <w15:chartTrackingRefBased/>
  <w15:docId w15:val="{8FE83E20-846A-BD45-A20B-7AC1497F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0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7111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60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60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60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60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0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0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0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113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8600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F860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60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60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6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002"/>
    <w:rPr>
      <w:rFonts w:eastAsiaTheme="majorEastAsia" w:cstheme="majorBidi"/>
      <w:color w:val="272727" w:themeColor="text1" w:themeTint="D8"/>
    </w:rPr>
  </w:style>
  <w:style w:type="paragraph" w:styleId="Title">
    <w:name w:val="Title"/>
    <w:basedOn w:val="Normal"/>
    <w:next w:val="Normal"/>
    <w:link w:val="TitleChar"/>
    <w:uiPriority w:val="10"/>
    <w:qFormat/>
    <w:rsid w:val="00F860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0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0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6002"/>
    <w:rPr>
      <w:i/>
      <w:iCs/>
      <w:color w:val="404040" w:themeColor="text1" w:themeTint="BF"/>
    </w:rPr>
  </w:style>
  <w:style w:type="paragraph" w:styleId="ListParagraph">
    <w:name w:val="List Paragraph"/>
    <w:basedOn w:val="Normal"/>
    <w:uiPriority w:val="34"/>
    <w:qFormat/>
    <w:rsid w:val="00F86002"/>
    <w:pPr>
      <w:ind w:left="720"/>
      <w:contextualSpacing/>
    </w:pPr>
  </w:style>
  <w:style w:type="character" w:styleId="IntenseEmphasis">
    <w:name w:val="Intense Emphasis"/>
    <w:basedOn w:val="DefaultParagraphFont"/>
    <w:uiPriority w:val="21"/>
    <w:qFormat/>
    <w:rsid w:val="00F86002"/>
    <w:rPr>
      <w:i/>
      <w:iCs/>
      <w:color w:val="2F5496" w:themeColor="accent1" w:themeShade="BF"/>
    </w:rPr>
  </w:style>
  <w:style w:type="paragraph" w:styleId="IntenseQuote">
    <w:name w:val="Intense Quote"/>
    <w:basedOn w:val="Normal"/>
    <w:next w:val="Normal"/>
    <w:link w:val="IntenseQuoteChar"/>
    <w:uiPriority w:val="30"/>
    <w:qFormat/>
    <w:rsid w:val="00F86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6002"/>
    <w:rPr>
      <w:i/>
      <w:iCs/>
      <w:color w:val="2F5496" w:themeColor="accent1" w:themeShade="BF"/>
    </w:rPr>
  </w:style>
  <w:style w:type="character" w:styleId="IntenseReference">
    <w:name w:val="Intense Reference"/>
    <w:basedOn w:val="DefaultParagraphFont"/>
    <w:uiPriority w:val="32"/>
    <w:qFormat/>
    <w:rsid w:val="00F86002"/>
    <w:rPr>
      <w:b/>
      <w:bCs/>
      <w:smallCaps/>
      <w:color w:val="2F5496" w:themeColor="accent1" w:themeShade="BF"/>
      <w:spacing w:val="5"/>
    </w:rPr>
  </w:style>
  <w:style w:type="character" w:styleId="Strong">
    <w:name w:val="Strong"/>
    <w:basedOn w:val="DefaultParagraphFont"/>
    <w:uiPriority w:val="22"/>
    <w:qFormat/>
    <w:rsid w:val="00F86002"/>
    <w:rPr>
      <w:b/>
      <w:bCs/>
    </w:rPr>
  </w:style>
  <w:style w:type="paragraph" w:styleId="NormalWeb">
    <w:name w:val="Normal (Web)"/>
    <w:basedOn w:val="Normal"/>
    <w:uiPriority w:val="99"/>
    <w:unhideWhenUsed/>
    <w:rsid w:val="00866B8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66B8F"/>
    <w:rPr>
      <w:i/>
      <w:iCs/>
    </w:rPr>
  </w:style>
  <w:style w:type="character" w:styleId="Hyperlink">
    <w:name w:val="Hyperlink"/>
    <w:basedOn w:val="DefaultParagraphFont"/>
    <w:uiPriority w:val="99"/>
    <w:unhideWhenUsed/>
    <w:rsid w:val="00866B8F"/>
    <w:rPr>
      <w:color w:val="0000FF"/>
      <w:u w:val="single"/>
    </w:rPr>
  </w:style>
  <w:style w:type="paragraph" w:styleId="FootnoteText">
    <w:name w:val="footnote text"/>
    <w:basedOn w:val="Normal"/>
    <w:link w:val="FootnoteTextChar"/>
    <w:uiPriority w:val="99"/>
    <w:semiHidden/>
    <w:unhideWhenUsed/>
    <w:rsid w:val="00866B8F"/>
    <w:rPr>
      <w:sz w:val="20"/>
      <w:szCs w:val="20"/>
    </w:rPr>
  </w:style>
  <w:style w:type="character" w:customStyle="1" w:styleId="FootnoteTextChar">
    <w:name w:val="Footnote Text Char"/>
    <w:basedOn w:val="DefaultParagraphFont"/>
    <w:link w:val="FootnoteText"/>
    <w:uiPriority w:val="99"/>
    <w:semiHidden/>
    <w:rsid w:val="00866B8F"/>
    <w:rPr>
      <w:sz w:val="20"/>
      <w:szCs w:val="20"/>
    </w:rPr>
  </w:style>
  <w:style w:type="character" w:styleId="FootnoteReference">
    <w:name w:val="footnote reference"/>
    <w:basedOn w:val="DefaultParagraphFont"/>
    <w:uiPriority w:val="99"/>
    <w:semiHidden/>
    <w:unhideWhenUsed/>
    <w:rsid w:val="00866B8F"/>
    <w:rPr>
      <w:vertAlign w:val="superscript"/>
    </w:rPr>
  </w:style>
  <w:style w:type="character" w:styleId="FollowedHyperlink">
    <w:name w:val="FollowedHyperlink"/>
    <w:basedOn w:val="DefaultParagraphFont"/>
    <w:uiPriority w:val="99"/>
    <w:semiHidden/>
    <w:unhideWhenUsed/>
    <w:rsid w:val="00C128BE"/>
    <w:rPr>
      <w:color w:val="954F72" w:themeColor="followedHyperlink"/>
      <w:u w:val="single"/>
    </w:rPr>
  </w:style>
  <w:style w:type="paragraph" w:styleId="Footer">
    <w:name w:val="footer"/>
    <w:basedOn w:val="Normal"/>
    <w:link w:val="FooterChar"/>
    <w:uiPriority w:val="99"/>
    <w:unhideWhenUsed/>
    <w:rsid w:val="00E10134"/>
    <w:pPr>
      <w:tabs>
        <w:tab w:val="center" w:pos="4680"/>
        <w:tab w:val="right" w:pos="9360"/>
      </w:tabs>
    </w:pPr>
  </w:style>
  <w:style w:type="character" w:customStyle="1" w:styleId="FooterChar">
    <w:name w:val="Footer Char"/>
    <w:basedOn w:val="DefaultParagraphFont"/>
    <w:link w:val="Footer"/>
    <w:uiPriority w:val="99"/>
    <w:rsid w:val="00E10134"/>
  </w:style>
  <w:style w:type="character" w:styleId="PageNumber">
    <w:name w:val="page number"/>
    <w:basedOn w:val="DefaultParagraphFont"/>
    <w:uiPriority w:val="99"/>
    <w:semiHidden/>
    <w:unhideWhenUsed/>
    <w:rsid w:val="00E10134"/>
  </w:style>
  <w:style w:type="character" w:styleId="UnresolvedMention">
    <w:name w:val="Unresolved Mention"/>
    <w:basedOn w:val="DefaultParagraphFont"/>
    <w:uiPriority w:val="99"/>
    <w:semiHidden/>
    <w:unhideWhenUsed/>
    <w:rsid w:val="003C0E92"/>
    <w:rPr>
      <w:color w:val="605E5C"/>
      <w:shd w:val="clear" w:color="auto" w:fill="E1DFDD"/>
    </w:rPr>
  </w:style>
  <w:style w:type="paragraph" w:styleId="Header">
    <w:name w:val="header"/>
    <w:basedOn w:val="Normal"/>
    <w:link w:val="HeaderChar"/>
    <w:uiPriority w:val="99"/>
    <w:unhideWhenUsed/>
    <w:rsid w:val="005E294C"/>
    <w:pPr>
      <w:tabs>
        <w:tab w:val="center" w:pos="4680"/>
        <w:tab w:val="right" w:pos="9360"/>
      </w:tabs>
    </w:pPr>
  </w:style>
  <w:style w:type="character" w:customStyle="1" w:styleId="HeaderChar">
    <w:name w:val="Header Char"/>
    <w:basedOn w:val="DefaultParagraphFont"/>
    <w:link w:val="Header"/>
    <w:uiPriority w:val="99"/>
    <w:rsid w:val="005E294C"/>
  </w:style>
  <w:style w:type="numbering" w:customStyle="1" w:styleId="CurrentList1">
    <w:name w:val="Current List1"/>
    <w:uiPriority w:val="99"/>
    <w:rsid w:val="005E294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4871">
      <w:bodyDiv w:val="1"/>
      <w:marLeft w:val="0"/>
      <w:marRight w:val="0"/>
      <w:marTop w:val="0"/>
      <w:marBottom w:val="0"/>
      <w:divBdr>
        <w:top w:val="none" w:sz="0" w:space="0" w:color="auto"/>
        <w:left w:val="none" w:sz="0" w:space="0" w:color="auto"/>
        <w:bottom w:val="none" w:sz="0" w:space="0" w:color="auto"/>
        <w:right w:val="none" w:sz="0" w:space="0" w:color="auto"/>
      </w:divBdr>
    </w:div>
    <w:div w:id="627517093">
      <w:bodyDiv w:val="1"/>
      <w:marLeft w:val="0"/>
      <w:marRight w:val="0"/>
      <w:marTop w:val="0"/>
      <w:marBottom w:val="0"/>
      <w:divBdr>
        <w:top w:val="none" w:sz="0" w:space="0" w:color="auto"/>
        <w:left w:val="none" w:sz="0" w:space="0" w:color="auto"/>
        <w:bottom w:val="none" w:sz="0" w:space="0" w:color="auto"/>
        <w:right w:val="none" w:sz="0" w:space="0" w:color="auto"/>
      </w:divBdr>
    </w:div>
    <w:div w:id="641543396">
      <w:bodyDiv w:val="1"/>
      <w:marLeft w:val="0"/>
      <w:marRight w:val="0"/>
      <w:marTop w:val="0"/>
      <w:marBottom w:val="0"/>
      <w:divBdr>
        <w:top w:val="none" w:sz="0" w:space="0" w:color="auto"/>
        <w:left w:val="none" w:sz="0" w:space="0" w:color="auto"/>
        <w:bottom w:val="none" w:sz="0" w:space="0" w:color="auto"/>
        <w:right w:val="none" w:sz="0" w:space="0" w:color="auto"/>
      </w:divBdr>
    </w:div>
    <w:div w:id="819925400">
      <w:bodyDiv w:val="1"/>
      <w:marLeft w:val="0"/>
      <w:marRight w:val="0"/>
      <w:marTop w:val="0"/>
      <w:marBottom w:val="0"/>
      <w:divBdr>
        <w:top w:val="none" w:sz="0" w:space="0" w:color="auto"/>
        <w:left w:val="none" w:sz="0" w:space="0" w:color="auto"/>
        <w:bottom w:val="none" w:sz="0" w:space="0" w:color="auto"/>
        <w:right w:val="none" w:sz="0" w:space="0" w:color="auto"/>
      </w:divBdr>
    </w:div>
    <w:div w:id="849874915">
      <w:bodyDiv w:val="1"/>
      <w:marLeft w:val="0"/>
      <w:marRight w:val="0"/>
      <w:marTop w:val="0"/>
      <w:marBottom w:val="0"/>
      <w:divBdr>
        <w:top w:val="none" w:sz="0" w:space="0" w:color="auto"/>
        <w:left w:val="none" w:sz="0" w:space="0" w:color="auto"/>
        <w:bottom w:val="none" w:sz="0" w:space="0" w:color="auto"/>
        <w:right w:val="none" w:sz="0" w:space="0" w:color="auto"/>
      </w:divBdr>
    </w:div>
    <w:div w:id="938173700">
      <w:bodyDiv w:val="1"/>
      <w:marLeft w:val="0"/>
      <w:marRight w:val="0"/>
      <w:marTop w:val="0"/>
      <w:marBottom w:val="0"/>
      <w:divBdr>
        <w:top w:val="none" w:sz="0" w:space="0" w:color="auto"/>
        <w:left w:val="none" w:sz="0" w:space="0" w:color="auto"/>
        <w:bottom w:val="none" w:sz="0" w:space="0" w:color="auto"/>
        <w:right w:val="none" w:sz="0" w:space="0" w:color="auto"/>
      </w:divBdr>
    </w:div>
    <w:div w:id="12816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arwhal.ca/ontario-ring-of-fire-explain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isd.org/publications/report/hudson-bay-lowlands-ecosystem-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9B867-2C4C-E143-9015-D66B5215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1417</Words>
  <Characters>7852</Characters>
  <Application>Microsoft Office Word</Application>
  <DocSecurity>0</DocSecurity>
  <Lines>151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KUYEK</dc:creator>
  <cp:keywords/>
  <dc:description/>
  <cp:lastModifiedBy>J KUYEK</cp:lastModifiedBy>
  <cp:revision>2</cp:revision>
  <cp:lastPrinted>2025-11-10T19:15:00Z</cp:lastPrinted>
  <dcterms:created xsi:type="dcterms:W3CDTF">2025-11-10T19:17:00Z</dcterms:created>
  <dcterms:modified xsi:type="dcterms:W3CDTF">2025-11-10T19:17:00Z</dcterms:modified>
</cp:coreProperties>
</file>