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E306" w14:textId="4D1AFFD1" w:rsidR="00D512BB" w:rsidRPr="006C6E44" w:rsidRDefault="006C6E44">
      <w:pPr>
        <w:rPr>
          <w:b/>
          <w:bCs/>
          <w:lang w:val="en-US"/>
        </w:rPr>
      </w:pPr>
      <w:r w:rsidRPr="006C6E44">
        <w:rPr>
          <w:b/>
          <w:bCs/>
          <w:lang w:val="en-US"/>
        </w:rPr>
        <w:t>To: Environmental Registry of Ontario</w:t>
      </w:r>
    </w:p>
    <w:p w14:paraId="42606E97" w14:textId="3EC8E756" w:rsidR="006C6E44" w:rsidRPr="006C6E44" w:rsidRDefault="006C6E44">
      <w:pPr>
        <w:rPr>
          <w:b/>
          <w:bCs/>
          <w:lang w:val="en-US"/>
        </w:rPr>
      </w:pPr>
      <w:r w:rsidRPr="006C6E44">
        <w:rPr>
          <w:b/>
          <w:bCs/>
          <w:lang w:val="en-US"/>
        </w:rPr>
        <w:t xml:space="preserve">From: Golden Horseshoe Food and Farming Alliance </w:t>
      </w:r>
    </w:p>
    <w:p w14:paraId="3EF365F4" w14:textId="3C18709F" w:rsidR="006C6E44" w:rsidRPr="006C6E44" w:rsidRDefault="006C6E44">
      <w:pPr>
        <w:rPr>
          <w:b/>
          <w:bCs/>
          <w:lang w:val="en-US"/>
        </w:rPr>
      </w:pPr>
      <w:r w:rsidRPr="006C6E44">
        <w:rPr>
          <w:b/>
          <w:bCs/>
          <w:lang w:val="en-US"/>
        </w:rPr>
        <w:t xml:space="preserve">Subject: </w:t>
      </w:r>
      <w:r w:rsidR="006E0DC6">
        <w:rPr>
          <w:b/>
          <w:bCs/>
          <w:lang w:val="en-US"/>
        </w:rPr>
        <w:t xml:space="preserve">Bill 68 - </w:t>
      </w:r>
      <w:r w:rsidRPr="006C6E44">
        <w:rPr>
          <w:b/>
          <w:bCs/>
          <w:lang w:val="en-US"/>
        </w:rPr>
        <w:t>Ontario Government Amendments to the Conservation Authorities Act – ERO 025-1257 https://ero.ontario.ca/notice/025-1257</w:t>
      </w:r>
    </w:p>
    <w:p w14:paraId="181D227A" w14:textId="560160CD" w:rsidR="006C6E44" w:rsidRDefault="006C6E44">
      <w:pPr>
        <w:rPr>
          <w:lang w:val="en-US"/>
        </w:rPr>
      </w:pPr>
      <w:r>
        <w:rPr>
          <w:lang w:val="en-US"/>
        </w:rPr>
        <w:t>On behalf of the Board of the Golden Horseshoe Food and Farming Alliance, I would like to share our concerns about the proposed restructure of the existing 36 Conservation Authorities into 7 large districts.</w:t>
      </w:r>
    </w:p>
    <w:p w14:paraId="209DC9EC" w14:textId="1ACA1C68" w:rsidR="006C6E44" w:rsidRDefault="006C6E44">
      <w:pPr>
        <w:rPr>
          <w:lang w:val="en-US"/>
        </w:rPr>
      </w:pPr>
      <w:proofErr w:type="gramStart"/>
      <w:r>
        <w:rPr>
          <w:lang w:val="en-US"/>
        </w:rPr>
        <w:t>First of all</w:t>
      </w:r>
      <w:proofErr w:type="gramEnd"/>
      <w:r>
        <w:rPr>
          <w:lang w:val="en-US"/>
        </w:rPr>
        <w:t xml:space="preserve">, we applaud the move by the government to modernize </w:t>
      </w:r>
      <w:r w:rsidR="006E0DC6">
        <w:rPr>
          <w:lang w:val="en-US"/>
        </w:rPr>
        <w:t xml:space="preserve">some </w:t>
      </w:r>
      <w:r>
        <w:rPr>
          <w:lang w:val="en-US"/>
        </w:rPr>
        <w:t>aspects of the Conservation Authorit</w:t>
      </w:r>
      <w:r w:rsidR="006E0DC6">
        <w:rPr>
          <w:lang w:val="en-US"/>
        </w:rPr>
        <w:t>ies</w:t>
      </w:r>
      <w:r>
        <w:rPr>
          <w:lang w:val="en-US"/>
        </w:rPr>
        <w:t xml:space="preserve"> system in Ontario.  </w:t>
      </w:r>
      <w:r w:rsidR="006E0DC6">
        <w:rPr>
          <w:lang w:val="en-US"/>
        </w:rPr>
        <w:t xml:space="preserve">We believe </w:t>
      </w:r>
      <w:r w:rsidR="006E0DC6" w:rsidRPr="000106A2">
        <w:rPr>
          <w:b/>
          <w:bCs/>
          <w:lang w:val="en-US"/>
        </w:rPr>
        <w:t>the move to develop and share technical and digital resources provincially will lead to consistent practices and policies for residents in all watersheds</w:t>
      </w:r>
      <w:r w:rsidR="006E0DC6">
        <w:rPr>
          <w:lang w:val="en-US"/>
        </w:rPr>
        <w:t xml:space="preserve">.   </w:t>
      </w:r>
      <w:r w:rsidR="0081618D">
        <w:rPr>
          <w:lang w:val="en-US"/>
        </w:rPr>
        <w:t xml:space="preserve">As members of the agricultural community, we are </w:t>
      </w:r>
      <w:r w:rsidR="00F64487">
        <w:rPr>
          <w:lang w:val="en-US"/>
        </w:rPr>
        <w:t xml:space="preserve">currently </w:t>
      </w:r>
      <w:r w:rsidR="0081618D">
        <w:rPr>
          <w:lang w:val="en-US"/>
        </w:rPr>
        <w:t xml:space="preserve">aware of many instances where agricultural land and the farmers who farm that land will find significant differences in policy and practice depending on the Authority involved.  Farmers, municipalities and developers alike require a responsive system that provides consistency, transparency and fairness.    </w:t>
      </w:r>
      <w:r w:rsidR="00DE15D3">
        <w:rPr>
          <w:lang w:val="en-US"/>
        </w:rPr>
        <w:t xml:space="preserve">We believe that common mapping, development guidelines and </w:t>
      </w:r>
      <w:r w:rsidR="00925C91">
        <w:rPr>
          <w:lang w:val="en-US"/>
        </w:rPr>
        <w:t xml:space="preserve">approvals and internal </w:t>
      </w:r>
      <w:r w:rsidR="00DE15D3">
        <w:rPr>
          <w:lang w:val="en-US"/>
        </w:rPr>
        <w:t xml:space="preserve">processes </w:t>
      </w:r>
      <w:r w:rsidR="00F64487">
        <w:rPr>
          <w:lang w:val="en-US"/>
        </w:rPr>
        <w:t>may</w:t>
      </w:r>
      <w:r w:rsidR="00DE15D3">
        <w:rPr>
          <w:lang w:val="en-US"/>
        </w:rPr>
        <w:t xml:space="preserve"> lead to that consistency.</w:t>
      </w:r>
    </w:p>
    <w:p w14:paraId="6C73C841" w14:textId="23489B33" w:rsidR="00DE15D3" w:rsidRDefault="00DE15D3">
      <w:pPr>
        <w:rPr>
          <w:lang w:val="en-US"/>
        </w:rPr>
      </w:pPr>
      <w:r>
        <w:rPr>
          <w:lang w:val="en-US"/>
        </w:rPr>
        <w:t xml:space="preserve">The establishment of the </w:t>
      </w:r>
      <w:r w:rsidRPr="00DE15D3">
        <w:rPr>
          <w:b/>
          <w:bCs/>
          <w:lang w:val="en-US"/>
        </w:rPr>
        <w:t>Ontario Provincial Conservation Agency</w:t>
      </w:r>
      <w:r>
        <w:rPr>
          <w:lang w:val="en-US"/>
        </w:rPr>
        <w:t xml:space="preserve"> governed by a Board of Directors seems to create additional level of provincial governance while removing the direct input of local municipalities who fund the operations of the Conservation Authorities.  </w:t>
      </w:r>
      <w:r w:rsidR="00F64487">
        <w:rPr>
          <w:lang w:val="en-US"/>
        </w:rPr>
        <w:t xml:space="preserve">Removing input and accountability of approximately 600 municipal representatives from the Authorities </w:t>
      </w:r>
      <w:r w:rsidR="00F64487" w:rsidRPr="000106A2">
        <w:rPr>
          <w:b/>
          <w:bCs/>
          <w:lang w:val="en-US"/>
        </w:rPr>
        <w:t xml:space="preserve">diminishes the valuable connections </w:t>
      </w:r>
      <w:r w:rsidR="000106A2" w:rsidRPr="000106A2">
        <w:rPr>
          <w:b/>
          <w:bCs/>
          <w:lang w:val="en-US"/>
        </w:rPr>
        <w:t xml:space="preserve">and expertise </w:t>
      </w:r>
      <w:r w:rsidR="00F64487">
        <w:rPr>
          <w:lang w:val="en-US"/>
        </w:rPr>
        <w:t xml:space="preserve">that have been built over time between Councils, municipal planners, residents </w:t>
      </w:r>
      <w:proofErr w:type="gramStart"/>
      <w:r w:rsidR="00F64487">
        <w:rPr>
          <w:lang w:val="en-US"/>
        </w:rPr>
        <w:t>and  volunteers</w:t>
      </w:r>
      <w:proofErr w:type="gramEnd"/>
      <w:r w:rsidR="00F64487">
        <w:rPr>
          <w:lang w:val="en-US"/>
        </w:rPr>
        <w:t xml:space="preserve"> who proudly support the activities of the Authorities.  </w:t>
      </w:r>
      <w:r w:rsidR="000106A2">
        <w:rPr>
          <w:lang w:val="en-US"/>
        </w:rPr>
        <w:t xml:space="preserve">It does nothing to strengthen the partnerships as is stated in the Provincial Criteria for the </w:t>
      </w:r>
      <w:r w:rsidR="005A0A96">
        <w:rPr>
          <w:lang w:val="en-US"/>
        </w:rPr>
        <w:t>r</w:t>
      </w:r>
      <w:r w:rsidR="000106A2">
        <w:rPr>
          <w:lang w:val="en-US"/>
        </w:rPr>
        <w:t xml:space="preserve">egional </w:t>
      </w:r>
      <w:r w:rsidR="005A0A96">
        <w:rPr>
          <w:lang w:val="en-US"/>
        </w:rPr>
        <w:t>c</w:t>
      </w:r>
      <w:r w:rsidR="000106A2">
        <w:rPr>
          <w:lang w:val="en-US"/>
        </w:rPr>
        <w:t xml:space="preserve">onsolidation.  </w:t>
      </w:r>
      <w:r w:rsidR="00F64487">
        <w:rPr>
          <w:lang w:val="en-US"/>
        </w:rPr>
        <w:t xml:space="preserve">While it may be more expedient for the government to deal with fewer parties, the downside is the disconnect that will be created at the local level. </w:t>
      </w:r>
    </w:p>
    <w:p w14:paraId="24A65F34" w14:textId="77777777" w:rsidR="00925C91" w:rsidRDefault="00925C91" w:rsidP="00925C91">
      <w:pPr>
        <w:rPr>
          <w:lang w:val="en-US"/>
        </w:rPr>
      </w:pPr>
      <w:r>
        <w:rPr>
          <w:lang w:val="en-US"/>
        </w:rPr>
        <w:t>Currently, there is a commitment that the Provincial Agency will be funded provincially for a short period of time.  Eventually, these costs will be assumed by the municipalities – many of whom will be no longer “partners” in the larger Regional Board system.  These increased costs eventually will be applied to budgets that are already stretched to accomplish the work required in the agreements struck with the member municipalities.</w:t>
      </w:r>
    </w:p>
    <w:p w14:paraId="06B33935" w14:textId="77777777" w:rsidR="00925C91" w:rsidRDefault="00925C91">
      <w:pPr>
        <w:rPr>
          <w:lang w:val="en-US"/>
        </w:rPr>
      </w:pPr>
    </w:p>
    <w:p w14:paraId="0553696B" w14:textId="0920BDAD" w:rsidR="00772164" w:rsidRDefault="00772164">
      <w:pPr>
        <w:rPr>
          <w:lang w:val="en-US"/>
        </w:rPr>
      </w:pPr>
      <w:r>
        <w:rPr>
          <w:lang w:val="en-US"/>
        </w:rPr>
        <w:lastRenderedPageBreak/>
        <w:t xml:space="preserve">There are a few CA’s that provide excellent management operationally and financially while providing programming appropriate to their watershed.  The </w:t>
      </w:r>
      <w:r w:rsidRPr="000106A2">
        <w:rPr>
          <w:b/>
          <w:bCs/>
          <w:lang w:val="en-US"/>
        </w:rPr>
        <w:t xml:space="preserve">Provincial Agency should be charged with </w:t>
      </w:r>
      <w:r w:rsidR="000106A2" w:rsidRPr="000106A2">
        <w:rPr>
          <w:b/>
          <w:bCs/>
          <w:lang w:val="en-US"/>
        </w:rPr>
        <w:t>assisting</w:t>
      </w:r>
      <w:r w:rsidRPr="000106A2">
        <w:rPr>
          <w:b/>
          <w:bCs/>
          <w:lang w:val="en-US"/>
        </w:rPr>
        <w:t xml:space="preserve"> all CA’s achieve excellence with respect to Strategic Planning, KPI’s IT, Asset Management, Financial Accountability and Training aspects.</w:t>
      </w:r>
      <w:r>
        <w:rPr>
          <w:lang w:val="en-US"/>
        </w:rPr>
        <w:t xml:space="preserve">  This will never be accomplished in a top-down manner but must also occur with input from the grassroots</w:t>
      </w:r>
      <w:r w:rsidR="000106A2">
        <w:rPr>
          <w:lang w:val="en-US"/>
        </w:rPr>
        <w:t xml:space="preserve"> and should be paced in a way to minimize disruptions both internally and externally</w:t>
      </w:r>
      <w:r>
        <w:rPr>
          <w:lang w:val="en-US"/>
        </w:rPr>
        <w:t>.</w:t>
      </w:r>
      <w:r w:rsidR="000106A2">
        <w:rPr>
          <w:lang w:val="en-US"/>
        </w:rPr>
        <w:t xml:space="preserve">  The caveat remains “</w:t>
      </w:r>
      <w:r w:rsidR="000106A2" w:rsidRPr="000106A2">
        <w:rPr>
          <w:b/>
          <w:bCs/>
          <w:lang w:val="en-US"/>
        </w:rPr>
        <w:t>bigger isn’t always better</w:t>
      </w:r>
      <w:r w:rsidR="000106A2">
        <w:rPr>
          <w:lang w:val="en-US"/>
        </w:rPr>
        <w:t>”.</w:t>
      </w:r>
    </w:p>
    <w:p w14:paraId="03C27935" w14:textId="5B644425" w:rsidR="00965B0B" w:rsidRDefault="00965B0B">
      <w:pPr>
        <w:rPr>
          <w:lang w:val="en-US"/>
        </w:rPr>
      </w:pPr>
      <w:r>
        <w:rPr>
          <w:lang w:val="en-US"/>
        </w:rPr>
        <w:t xml:space="preserve">Additionally, there are some Conservation Authorities who have done excellent work with their </w:t>
      </w:r>
      <w:proofErr w:type="gramStart"/>
      <w:r>
        <w:rPr>
          <w:lang w:val="en-US"/>
        </w:rPr>
        <w:t>Agricultural</w:t>
      </w:r>
      <w:proofErr w:type="gramEnd"/>
      <w:r>
        <w:rPr>
          <w:lang w:val="en-US"/>
        </w:rPr>
        <w:t xml:space="preserve"> stakeholders and have developed innovative and effective programs </w:t>
      </w:r>
      <w:r w:rsidR="00925C91">
        <w:rPr>
          <w:lang w:val="en-US"/>
        </w:rPr>
        <w:t xml:space="preserve">to </w:t>
      </w:r>
      <w:r w:rsidR="00C329D6">
        <w:rPr>
          <w:lang w:val="en-US"/>
        </w:rPr>
        <w:t xml:space="preserve">convert marginal cropland, wetland restoration, buffer establishment, tree planting and clean water projects.  While larger organizations may boost the uptake of such programming, the chance that agricultural pilot projects remain in the portfolio is </w:t>
      </w:r>
      <w:r w:rsidR="005A0A96">
        <w:rPr>
          <w:lang w:val="en-US"/>
        </w:rPr>
        <w:t xml:space="preserve">in </w:t>
      </w:r>
      <w:r w:rsidR="00C329D6">
        <w:rPr>
          <w:lang w:val="en-US"/>
        </w:rPr>
        <w:t xml:space="preserve">doubt.  </w:t>
      </w:r>
    </w:p>
    <w:p w14:paraId="784941B7" w14:textId="5C44F58D" w:rsidR="00925C91" w:rsidRDefault="00925C91">
      <w:pPr>
        <w:rPr>
          <w:b/>
          <w:bCs/>
          <w:lang w:val="en-US"/>
        </w:rPr>
      </w:pPr>
      <w:r w:rsidRPr="00925C91">
        <w:rPr>
          <w:b/>
          <w:bCs/>
          <w:lang w:val="en-US"/>
        </w:rPr>
        <w:t>Boundaries</w:t>
      </w:r>
    </w:p>
    <w:p w14:paraId="45F2376B" w14:textId="3297801C" w:rsidR="00925C91" w:rsidRDefault="00925C91" w:rsidP="00925C91">
      <w:pPr>
        <w:rPr>
          <w:lang w:val="en-US"/>
        </w:rPr>
      </w:pPr>
      <w:r>
        <w:rPr>
          <w:lang w:val="en-US"/>
        </w:rPr>
        <w:t xml:space="preserve">It is difficult to ascertain the decision making that went into drawing the boundaries of the proposed 7 Regional Conservation Authorities.  Ministry staff have heard loud and clear that Thunder Bay should not be part of the Huron Superior watershed for many reasons evident to those who live in the watershed.  In addition, hydrogeology, soils, landscapes, agricultural systems and stewardship priorities can vary within each of the proposed very large Regions.  </w:t>
      </w:r>
    </w:p>
    <w:p w14:paraId="7844CBF3" w14:textId="77777777" w:rsidR="00925C91" w:rsidRDefault="00925C91" w:rsidP="00925C91">
      <w:pPr>
        <w:rPr>
          <w:lang w:val="en-US"/>
        </w:rPr>
      </w:pPr>
      <w:r>
        <w:rPr>
          <w:lang w:val="en-US"/>
        </w:rPr>
        <w:t xml:space="preserve">In recognition of the government’s  desire to consolidate and improve the effectiveness of the Conservation Authorities, the GHFFA would support the creation of 19 Regional Conservation Authorities based on the current Source Protection Regional structure which would maintain a watershed-based approach, enhance current local voice and accountability and build on the work, accountability and trust that has been built since they were established in 2007.  </w:t>
      </w:r>
    </w:p>
    <w:p w14:paraId="069D4D41" w14:textId="7F2B74F8" w:rsidR="00925C91" w:rsidRPr="007A50A5" w:rsidRDefault="00925C91" w:rsidP="00925C91">
      <w:pPr>
        <w:rPr>
          <w:lang w:val="en-US"/>
        </w:rPr>
      </w:pPr>
      <w:r>
        <w:rPr>
          <w:lang w:val="en-US"/>
        </w:rPr>
        <w:t xml:space="preserve">Further, it would be our recommendation that at some time, the two agencies </w:t>
      </w:r>
      <w:r w:rsidR="00BE702C">
        <w:rPr>
          <w:lang w:val="en-US"/>
        </w:rPr>
        <w:t xml:space="preserve">could be combined as their mandates are complementary and if organized in the same regional districts could share resources and expertise to maximize their effectiveness in environmental stewardship, drinking water safety, flood </w:t>
      </w:r>
      <w:proofErr w:type="gramStart"/>
      <w:r w:rsidR="00BE702C">
        <w:rPr>
          <w:lang w:val="en-US"/>
        </w:rPr>
        <w:t>forecasting</w:t>
      </w:r>
      <w:r w:rsidR="005A0A96">
        <w:rPr>
          <w:lang w:val="en-US"/>
        </w:rPr>
        <w:t xml:space="preserve">, </w:t>
      </w:r>
      <w:r w:rsidR="00BE702C">
        <w:rPr>
          <w:lang w:val="en-US"/>
        </w:rPr>
        <w:t xml:space="preserve"> natural</w:t>
      </w:r>
      <w:proofErr w:type="gramEnd"/>
      <w:r w:rsidR="00BE702C">
        <w:rPr>
          <w:lang w:val="en-US"/>
        </w:rPr>
        <w:t xml:space="preserve"> hazard prevention</w:t>
      </w:r>
      <w:r w:rsidR="005A0A96">
        <w:rPr>
          <w:lang w:val="en-US"/>
        </w:rPr>
        <w:t xml:space="preserve"> and climate </w:t>
      </w:r>
      <w:r w:rsidR="006B0E0F">
        <w:rPr>
          <w:lang w:val="en-US"/>
        </w:rPr>
        <w:t>resiliency</w:t>
      </w:r>
      <w:r w:rsidR="00BE702C">
        <w:rPr>
          <w:lang w:val="en-US"/>
        </w:rPr>
        <w:t>.</w:t>
      </w:r>
    </w:p>
    <w:p w14:paraId="02511F71" w14:textId="77777777" w:rsidR="00925C91" w:rsidRPr="00F25AFC" w:rsidRDefault="00925C91" w:rsidP="00925C91">
      <w:pPr>
        <w:rPr>
          <w:lang w:val="en-US"/>
        </w:rPr>
      </w:pPr>
    </w:p>
    <w:p w14:paraId="7D2FF6C2" w14:textId="77777777" w:rsidR="00925C91" w:rsidRDefault="00925C91" w:rsidP="00925C91">
      <w:pPr>
        <w:rPr>
          <w:lang w:val="en-US"/>
        </w:rPr>
      </w:pPr>
    </w:p>
    <w:p w14:paraId="3566DB27" w14:textId="77777777" w:rsidR="00925C91" w:rsidRPr="00925C91" w:rsidRDefault="00925C91">
      <w:pPr>
        <w:rPr>
          <w:b/>
          <w:bCs/>
          <w:lang w:val="en-US"/>
        </w:rPr>
      </w:pPr>
    </w:p>
    <w:p w14:paraId="1B749309" w14:textId="77777777" w:rsidR="005A0A96" w:rsidRDefault="005A0A96">
      <w:pPr>
        <w:rPr>
          <w:lang w:val="en-US"/>
        </w:rPr>
      </w:pPr>
    </w:p>
    <w:p w14:paraId="1EB7DE53" w14:textId="77777777" w:rsidR="005A0A96" w:rsidRPr="005A0A96" w:rsidRDefault="005A0A96">
      <w:pPr>
        <w:rPr>
          <w:b/>
          <w:bCs/>
          <w:lang w:val="en-US"/>
        </w:rPr>
      </w:pPr>
      <w:r w:rsidRPr="005A0A96">
        <w:rPr>
          <w:b/>
          <w:bCs/>
          <w:lang w:val="en-US"/>
        </w:rPr>
        <w:lastRenderedPageBreak/>
        <w:t>Implementation</w:t>
      </w:r>
    </w:p>
    <w:p w14:paraId="0E6F0EDD" w14:textId="4D6E6620" w:rsidR="00772164" w:rsidRDefault="000106A2">
      <w:pPr>
        <w:rPr>
          <w:b/>
          <w:bCs/>
          <w:lang w:val="en-US"/>
        </w:rPr>
      </w:pPr>
      <w:r>
        <w:rPr>
          <w:lang w:val="en-US"/>
        </w:rPr>
        <w:t>At the recent meetings to unveil the proposed plans</w:t>
      </w:r>
      <w:r w:rsidR="005A0A96">
        <w:rPr>
          <w:lang w:val="en-US"/>
        </w:rPr>
        <w:t xml:space="preserve"> for the consolidation</w:t>
      </w:r>
      <w:r>
        <w:rPr>
          <w:lang w:val="en-US"/>
        </w:rPr>
        <w:t xml:space="preserve">, it was stated that there would be no operational </w:t>
      </w:r>
      <w:r w:rsidR="003C2178">
        <w:rPr>
          <w:lang w:val="en-US"/>
        </w:rPr>
        <w:t>centers</w:t>
      </w:r>
      <w:r>
        <w:rPr>
          <w:lang w:val="en-US"/>
        </w:rPr>
        <w:t xml:space="preserve"> closed and that no one would lose their job</w:t>
      </w:r>
      <w:r w:rsidR="003C2178">
        <w:rPr>
          <w:lang w:val="en-US"/>
        </w:rPr>
        <w:t xml:space="preserve">.  While this may be true in the short-term, over time, larger centers will prevail and the smaller sites will be closed.  </w:t>
      </w:r>
      <w:r w:rsidR="00F25AFC">
        <w:rPr>
          <w:lang w:val="en-US"/>
        </w:rPr>
        <w:t>Unlike the current situation where a diversity of voices around the table leads to strong relationships, l</w:t>
      </w:r>
      <w:r w:rsidR="003C2178">
        <w:rPr>
          <w:lang w:val="en-US"/>
        </w:rPr>
        <w:t xml:space="preserve">arger centers will have louder voices </w:t>
      </w:r>
      <w:r w:rsidR="005A0A96">
        <w:rPr>
          <w:lang w:val="en-US"/>
        </w:rPr>
        <w:t xml:space="preserve">at </w:t>
      </w:r>
      <w:r w:rsidR="003C2178">
        <w:rPr>
          <w:lang w:val="en-US"/>
        </w:rPr>
        <w:t xml:space="preserve">the tables of the Regional Conservation Authorities.  Uncertainty </w:t>
      </w:r>
      <w:r w:rsidR="006B0E0F">
        <w:rPr>
          <w:lang w:val="en-US"/>
        </w:rPr>
        <w:t>can</w:t>
      </w:r>
      <w:r w:rsidR="003C2178">
        <w:rPr>
          <w:lang w:val="en-US"/>
        </w:rPr>
        <w:t xml:space="preserve"> lead to staff turnover.  Oversight to long held lands, assets and Foundation funds become centrally governed and away from local oversight.  </w:t>
      </w:r>
      <w:r w:rsidR="006B0E0F">
        <w:rPr>
          <w:lang w:val="en-US"/>
        </w:rPr>
        <w:t xml:space="preserve">Collaboration with local governments, private sector partners and international originations is key to success and must be maintained.  Otherwise, </w:t>
      </w:r>
      <w:r w:rsidR="003C2178" w:rsidRPr="00F25AFC">
        <w:rPr>
          <w:b/>
          <w:bCs/>
          <w:lang w:val="en-US"/>
        </w:rPr>
        <w:t>Trust in the core values of the Conservation authorities will diminish.</w:t>
      </w:r>
    </w:p>
    <w:p w14:paraId="7871098C" w14:textId="2E8579BB" w:rsidR="00C329D6" w:rsidRDefault="007A50A5">
      <w:pPr>
        <w:rPr>
          <w:lang w:val="en-US"/>
        </w:rPr>
      </w:pPr>
      <w:r>
        <w:rPr>
          <w:lang w:val="en-US"/>
        </w:rPr>
        <w:t xml:space="preserve">The Golden Horseshoe Food and Farming Alliance </w:t>
      </w:r>
      <w:proofErr w:type="gramStart"/>
      <w:r>
        <w:rPr>
          <w:lang w:val="en-US"/>
        </w:rPr>
        <w:t>has</w:t>
      </w:r>
      <w:proofErr w:type="gramEnd"/>
      <w:r>
        <w:rPr>
          <w:lang w:val="en-US"/>
        </w:rPr>
        <w:t xml:space="preserve"> always advocated for an agricultural voice on Conservation Authorities.  The jurisdiction of </w:t>
      </w:r>
      <w:r w:rsidR="00965B0B">
        <w:rPr>
          <w:lang w:val="en-US"/>
        </w:rPr>
        <w:t xml:space="preserve">Ontario </w:t>
      </w:r>
      <w:r>
        <w:rPr>
          <w:lang w:val="en-US"/>
        </w:rPr>
        <w:t xml:space="preserve">Conservation Authorities covers vast areas where farmland dominates.  At the same time, the Golden Horseshoe also faces significant growth and development pressures on prime agricultural lands.  This makes farmers central stakeholders in conservation planning, floodplain management and environmental stewardship.  </w:t>
      </w:r>
      <w:r w:rsidR="00965B0B">
        <w:rPr>
          <w:lang w:val="en-US"/>
        </w:rPr>
        <w:t xml:space="preserve">  The policies of Conservation Authorities are land and watershed based.  Agricultural and rural landowners are the most significantly affected parties and therefore must be represented at both the Provincial governing body and the </w:t>
      </w:r>
      <w:proofErr w:type="gramStart"/>
      <w:r w:rsidR="00965B0B">
        <w:rPr>
          <w:lang w:val="en-US"/>
        </w:rPr>
        <w:t>Regional</w:t>
      </w:r>
      <w:proofErr w:type="gramEnd"/>
      <w:r w:rsidR="00965B0B">
        <w:rPr>
          <w:lang w:val="en-US"/>
        </w:rPr>
        <w:t xml:space="preserve"> tables.</w:t>
      </w:r>
    </w:p>
    <w:p w14:paraId="698BBD21" w14:textId="6010928D" w:rsidR="006B0E0F" w:rsidRDefault="006B0E0F">
      <w:pPr>
        <w:rPr>
          <w:b/>
          <w:bCs/>
          <w:lang w:val="en-US"/>
        </w:rPr>
      </w:pPr>
    </w:p>
    <w:p w14:paraId="188FE753" w14:textId="47F53437" w:rsidR="006B0E0F" w:rsidRDefault="006B0E0F">
      <w:pPr>
        <w:rPr>
          <w:lang w:val="en-US"/>
        </w:rPr>
      </w:pPr>
      <w:r>
        <w:rPr>
          <w:lang w:val="en-US"/>
        </w:rPr>
        <w:t>Thank you for the opportunity to share our initial thoughts on the reorganization.  We look forward to a continued two-way dialogue to address changes that will make for an effective and smooth implementation of the proposed consolidation.</w:t>
      </w:r>
    </w:p>
    <w:p w14:paraId="6637D850" w14:textId="53B0C845" w:rsidR="006B0E0F" w:rsidRDefault="006B0E0F">
      <w:pPr>
        <w:rPr>
          <w:lang w:val="en-US"/>
        </w:rPr>
      </w:pPr>
      <w:r>
        <w:rPr>
          <w:lang w:val="en-US"/>
        </w:rPr>
        <w:t>Sincerely,</w:t>
      </w:r>
    </w:p>
    <w:p w14:paraId="624CE0F4" w14:textId="32B01C44" w:rsidR="00471E05" w:rsidRDefault="00471E05">
      <w:pPr>
        <w:rPr>
          <w:lang w:val="en-US"/>
        </w:rPr>
      </w:pPr>
      <w:r w:rsidRPr="00471E05">
        <w:rPr>
          <w:lang w:val="en-US"/>
        </w:rPr>
        <w:drawing>
          <wp:inline distT="0" distB="0" distL="0" distR="0" wp14:anchorId="29392203" wp14:editId="525CA8F8">
            <wp:extent cx="838200" cy="393700"/>
            <wp:effectExtent l="0" t="0" r="0" b="0"/>
            <wp:docPr id="136015420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4204" name="Picture 1" descr="A close-up of a signature&#10;&#10;AI-generated content may be incorrect."/>
                    <pic:cNvPicPr/>
                  </pic:nvPicPr>
                  <pic:blipFill>
                    <a:blip r:embed="rId4"/>
                    <a:stretch>
                      <a:fillRect/>
                    </a:stretch>
                  </pic:blipFill>
                  <pic:spPr>
                    <a:xfrm>
                      <a:off x="0" y="0"/>
                      <a:ext cx="838200" cy="393700"/>
                    </a:xfrm>
                    <a:prstGeom prst="rect">
                      <a:avLst/>
                    </a:prstGeom>
                  </pic:spPr>
                </pic:pic>
              </a:graphicData>
            </a:graphic>
          </wp:inline>
        </w:drawing>
      </w:r>
    </w:p>
    <w:p w14:paraId="55D206B6" w14:textId="30D9DF25" w:rsidR="006B0E0F" w:rsidRDefault="006B0E0F">
      <w:pPr>
        <w:rPr>
          <w:lang w:val="en-US"/>
        </w:rPr>
      </w:pPr>
      <w:r>
        <w:rPr>
          <w:lang w:val="en-US"/>
        </w:rPr>
        <w:t>Albert Witteveen</w:t>
      </w:r>
    </w:p>
    <w:p w14:paraId="423ADB09" w14:textId="700AE228" w:rsidR="006B0E0F" w:rsidRDefault="006B0E0F">
      <w:pPr>
        <w:rPr>
          <w:lang w:val="en-US"/>
        </w:rPr>
      </w:pPr>
      <w:r>
        <w:rPr>
          <w:lang w:val="en-US"/>
        </w:rPr>
        <w:t xml:space="preserve">Chair </w:t>
      </w:r>
    </w:p>
    <w:p w14:paraId="5F06BA0D" w14:textId="672BB316" w:rsidR="006B0E0F" w:rsidRPr="006B0E0F" w:rsidRDefault="006B0E0F">
      <w:pPr>
        <w:rPr>
          <w:lang w:val="en-US"/>
        </w:rPr>
      </w:pPr>
      <w:r>
        <w:rPr>
          <w:lang w:val="en-US"/>
        </w:rPr>
        <w:t>Golden Horseshoe Food and Farming Alliance</w:t>
      </w:r>
    </w:p>
    <w:p w14:paraId="6391D97D" w14:textId="77777777" w:rsidR="006B0E0F" w:rsidRPr="006B0E0F" w:rsidRDefault="006B0E0F">
      <w:pPr>
        <w:rPr>
          <w:b/>
          <w:bCs/>
          <w:lang w:val="en-US"/>
        </w:rPr>
      </w:pPr>
    </w:p>
    <w:p w14:paraId="1CE9E000" w14:textId="77777777" w:rsidR="006C6E44" w:rsidRPr="006C6E44" w:rsidRDefault="006C6E44">
      <w:pPr>
        <w:rPr>
          <w:lang w:val="en-US"/>
        </w:rPr>
      </w:pPr>
    </w:p>
    <w:sectPr w:rsidR="006C6E44" w:rsidRPr="006C6E44" w:rsidSect="00D632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44"/>
    <w:rsid w:val="000106A2"/>
    <w:rsid w:val="00290EB3"/>
    <w:rsid w:val="002D15BC"/>
    <w:rsid w:val="003C2178"/>
    <w:rsid w:val="003D1879"/>
    <w:rsid w:val="0043454F"/>
    <w:rsid w:val="00471E05"/>
    <w:rsid w:val="00551E09"/>
    <w:rsid w:val="005A0A96"/>
    <w:rsid w:val="006306D2"/>
    <w:rsid w:val="006472CF"/>
    <w:rsid w:val="006B0E0F"/>
    <w:rsid w:val="006C6E44"/>
    <w:rsid w:val="006E0DC6"/>
    <w:rsid w:val="006E406F"/>
    <w:rsid w:val="00772164"/>
    <w:rsid w:val="007A50A5"/>
    <w:rsid w:val="0081618D"/>
    <w:rsid w:val="008B3185"/>
    <w:rsid w:val="00925C91"/>
    <w:rsid w:val="00965B0B"/>
    <w:rsid w:val="009E7A69"/>
    <w:rsid w:val="00BC03B8"/>
    <w:rsid w:val="00BD7FF6"/>
    <w:rsid w:val="00BE702C"/>
    <w:rsid w:val="00C329D6"/>
    <w:rsid w:val="00D512BB"/>
    <w:rsid w:val="00D632D0"/>
    <w:rsid w:val="00DE15D3"/>
    <w:rsid w:val="00F25AFC"/>
    <w:rsid w:val="00F335B7"/>
    <w:rsid w:val="00F644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78B1C2"/>
  <w15:chartTrackingRefBased/>
  <w15:docId w15:val="{AB3E457D-A65F-BB42-B9A9-8B4D3FF9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E44"/>
    <w:rPr>
      <w:rFonts w:eastAsiaTheme="majorEastAsia" w:cstheme="majorBidi"/>
      <w:color w:val="272727" w:themeColor="text1" w:themeTint="D8"/>
    </w:rPr>
  </w:style>
  <w:style w:type="paragraph" w:styleId="Title">
    <w:name w:val="Title"/>
    <w:basedOn w:val="Normal"/>
    <w:next w:val="Normal"/>
    <w:link w:val="TitleChar"/>
    <w:uiPriority w:val="10"/>
    <w:qFormat/>
    <w:rsid w:val="006C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E44"/>
    <w:pPr>
      <w:spacing w:before="160"/>
      <w:jc w:val="center"/>
    </w:pPr>
    <w:rPr>
      <w:i/>
      <w:iCs/>
      <w:color w:val="404040" w:themeColor="text1" w:themeTint="BF"/>
    </w:rPr>
  </w:style>
  <w:style w:type="character" w:customStyle="1" w:styleId="QuoteChar">
    <w:name w:val="Quote Char"/>
    <w:basedOn w:val="DefaultParagraphFont"/>
    <w:link w:val="Quote"/>
    <w:uiPriority w:val="29"/>
    <w:rsid w:val="006C6E44"/>
    <w:rPr>
      <w:i/>
      <w:iCs/>
      <w:color w:val="404040" w:themeColor="text1" w:themeTint="BF"/>
    </w:rPr>
  </w:style>
  <w:style w:type="paragraph" w:styleId="ListParagraph">
    <w:name w:val="List Paragraph"/>
    <w:basedOn w:val="Normal"/>
    <w:uiPriority w:val="34"/>
    <w:qFormat/>
    <w:rsid w:val="006C6E44"/>
    <w:pPr>
      <w:ind w:left="720"/>
      <w:contextualSpacing/>
    </w:pPr>
  </w:style>
  <w:style w:type="character" w:styleId="IntenseEmphasis">
    <w:name w:val="Intense Emphasis"/>
    <w:basedOn w:val="DefaultParagraphFont"/>
    <w:uiPriority w:val="21"/>
    <w:qFormat/>
    <w:rsid w:val="006C6E44"/>
    <w:rPr>
      <w:i/>
      <w:iCs/>
      <w:color w:val="0F4761" w:themeColor="accent1" w:themeShade="BF"/>
    </w:rPr>
  </w:style>
  <w:style w:type="paragraph" w:styleId="IntenseQuote">
    <w:name w:val="Intense Quote"/>
    <w:basedOn w:val="Normal"/>
    <w:next w:val="Normal"/>
    <w:link w:val="IntenseQuoteChar"/>
    <w:uiPriority w:val="30"/>
    <w:qFormat/>
    <w:rsid w:val="006C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E44"/>
    <w:rPr>
      <w:i/>
      <w:iCs/>
      <w:color w:val="0F4761" w:themeColor="accent1" w:themeShade="BF"/>
    </w:rPr>
  </w:style>
  <w:style w:type="character" w:styleId="IntenseReference">
    <w:name w:val="Intense Reference"/>
    <w:basedOn w:val="DefaultParagraphFont"/>
    <w:uiPriority w:val="32"/>
    <w:qFormat/>
    <w:rsid w:val="006C6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Horner</dc:creator>
  <cp:keywords/>
  <dc:description/>
  <cp:lastModifiedBy>Janet Horner</cp:lastModifiedBy>
  <cp:revision>2</cp:revision>
  <dcterms:created xsi:type="dcterms:W3CDTF">2025-12-21T16:11:00Z</dcterms:created>
  <dcterms:modified xsi:type="dcterms:W3CDTF">2025-12-22T13:17:00Z</dcterms:modified>
</cp:coreProperties>
</file>