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F36E" w14:textId="12E31F2E" w:rsidR="00D66AFE" w:rsidRDefault="00D66AFE" w:rsidP="00596412">
      <w:pPr>
        <w:jc w:val="center"/>
        <w:rPr>
          <w:rFonts w:ascii="Arial" w:hAnsi="Arial" w:cs="Arial"/>
          <w:b/>
          <w:bCs/>
          <w:sz w:val="28"/>
          <w:szCs w:val="28"/>
        </w:rPr>
      </w:pPr>
      <w:r>
        <w:rPr>
          <w:noProof/>
          <w:lang w:eastAsia="en-CA"/>
        </w:rPr>
        <w:drawing>
          <wp:inline distT="0" distB="0" distL="0" distR="0" wp14:anchorId="2E2FF27E" wp14:editId="382B2E9B">
            <wp:extent cx="5943467" cy="16478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4655" cy="1650927"/>
                    </a:xfrm>
                    <a:prstGeom prst="rect">
                      <a:avLst/>
                    </a:prstGeom>
                    <a:solidFill>
                      <a:srgbClr val="FFFFFF"/>
                    </a:solidFill>
                    <a:ln>
                      <a:noFill/>
                    </a:ln>
                  </pic:spPr>
                </pic:pic>
              </a:graphicData>
            </a:graphic>
          </wp:inline>
        </w:drawing>
      </w:r>
    </w:p>
    <w:p w14:paraId="132F3C60" w14:textId="77777777" w:rsidR="008E7B00" w:rsidRPr="0000646F" w:rsidRDefault="0084156E" w:rsidP="008E7B00">
      <w:pPr>
        <w:rPr>
          <w:rFonts w:ascii="Arial" w:hAnsi="Arial" w:cs="Arial"/>
          <w:sz w:val="28"/>
          <w:szCs w:val="28"/>
        </w:rPr>
      </w:pPr>
      <w:r>
        <w:rPr>
          <w:rFonts w:ascii="Arial" w:hAnsi="Arial" w:cs="Arial"/>
          <w:b/>
          <w:bCs/>
          <w:sz w:val="28"/>
          <w:szCs w:val="28"/>
        </w:rPr>
        <w:t>To Whom it may concern:</w:t>
      </w:r>
      <w:r w:rsidR="008E7B00">
        <w:rPr>
          <w:rFonts w:ascii="Arial" w:hAnsi="Arial" w:cs="Arial"/>
          <w:b/>
          <w:bCs/>
          <w:sz w:val="28"/>
          <w:szCs w:val="28"/>
        </w:rPr>
        <w:t xml:space="preserve"> </w:t>
      </w:r>
      <w:bookmarkStart w:id="0" w:name="m_-4574478291820646569__Hlk215253675"/>
      <w:r w:rsidR="008E7B00" w:rsidRPr="0000646F">
        <w:rPr>
          <w:rFonts w:ascii="Arial" w:hAnsi="Arial" w:cs="Arial"/>
          <w:b/>
          <w:bCs/>
          <w:sz w:val="28"/>
          <w:szCs w:val="28"/>
          <w:lang w:val="en-US"/>
        </w:rPr>
        <w:t>ERO #025-1257 &amp; ORR #25-MECP023: </w:t>
      </w:r>
      <w:bookmarkEnd w:id="0"/>
      <w:r w:rsidR="008E7B00" w:rsidRPr="0000646F">
        <w:rPr>
          <w:rFonts w:ascii="Arial" w:hAnsi="Arial" w:cs="Arial"/>
          <w:b/>
          <w:bCs/>
          <w:sz w:val="28"/>
          <w:szCs w:val="28"/>
        </w:rPr>
        <w:t>Proposed boundaries for the regional consolidation of Ontario’s conservation authorities</w:t>
      </w:r>
    </w:p>
    <w:p w14:paraId="11299ED9" w14:textId="162BDE02" w:rsidR="0084156E" w:rsidRDefault="0084156E" w:rsidP="0000646F">
      <w:pPr>
        <w:rPr>
          <w:rFonts w:ascii="Arial" w:hAnsi="Arial" w:cs="Arial"/>
          <w:b/>
          <w:bCs/>
          <w:sz w:val="28"/>
          <w:szCs w:val="28"/>
        </w:rPr>
      </w:pPr>
    </w:p>
    <w:p w14:paraId="6FAA87CA" w14:textId="31FCA2B6" w:rsidR="00A9711E" w:rsidRDefault="0084156E" w:rsidP="0000646F">
      <w:pPr>
        <w:rPr>
          <w:rFonts w:ascii="Arial" w:hAnsi="Arial" w:cs="Arial"/>
          <w:sz w:val="28"/>
          <w:szCs w:val="28"/>
        </w:rPr>
      </w:pPr>
      <w:r>
        <w:rPr>
          <w:rFonts w:ascii="Arial" w:hAnsi="Arial" w:cs="Arial"/>
          <w:sz w:val="28"/>
          <w:szCs w:val="28"/>
        </w:rPr>
        <w:t xml:space="preserve">There is a simple way to fix the issue of all CA’s not doing things the same way. The province could </w:t>
      </w:r>
      <w:r w:rsidR="00A54F7D">
        <w:rPr>
          <w:rFonts w:ascii="Arial" w:hAnsi="Arial" w:cs="Arial"/>
          <w:sz w:val="28"/>
          <w:szCs w:val="28"/>
        </w:rPr>
        <w:t xml:space="preserve">simply enforce </w:t>
      </w:r>
      <w:r>
        <w:rPr>
          <w:rFonts w:ascii="Arial" w:hAnsi="Arial" w:cs="Arial"/>
          <w:sz w:val="28"/>
          <w:szCs w:val="28"/>
        </w:rPr>
        <w:t xml:space="preserve">a set of </w:t>
      </w:r>
      <w:r w:rsidR="00A54F7D">
        <w:rPr>
          <w:rFonts w:ascii="Arial" w:hAnsi="Arial" w:cs="Arial"/>
          <w:sz w:val="28"/>
          <w:szCs w:val="28"/>
        </w:rPr>
        <w:t xml:space="preserve">consistent </w:t>
      </w:r>
      <w:r>
        <w:rPr>
          <w:rFonts w:ascii="Arial" w:hAnsi="Arial" w:cs="Arial"/>
          <w:sz w:val="28"/>
          <w:szCs w:val="28"/>
        </w:rPr>
        <w:t>rules</w:t>
      </w:r>
      <w:r w:rsidR="00E510D0">
        <w:rPr>
          <w:rFonts w:ascii="Arial" w:hAnsi="Arial" w:cs="Arial"/>
          <w:sz w:val="28"/>
          <w:szCs w:val="28"/>
        </w:rPr>
        <w:t>. As an example,</w:t>
      </w:r>
      <w:r>
        <w:rPr>
          <w:rFonts w:ascii="Arial" w:hAnsi="Arial" w:cs="Arial"/>
          <w:sz w:val="28"/>
          <w:szCs w:val="28"/>
        </w:rPr>
        <w:t xml:space="preserve"> the cost of permits w</w:t>
      </w:r>
      <w:r w:rsidR="00E510D0">
        <w:rPr>
          <w:rFonts w:ascii="Arial" w:hAnsi="Arial" w:cs="Arial"/>
          <w:sz w:val="28"/>
          <w:szCs w:val="28"/>
        </w:rPr>
        <w:t>ould have</w:t>
      </w:r>
      <w:r>
        <w:rPr>
          <w:rFonts w:ascii="Arial" w:hAnsi="Arial" w:cs="Arial"/>
          <w:sz w:val="28"/>
          <w:szCs w:val="28"/>
        </w:rPr>
        <w:t xml:space="preserve"> an annual inflation cost for each year. Then the permits could be regulated to have all CA’s </w:t>
      </w:r>
      <w:r w:rsidR="00E510D0">
        <w:rPr>
          <w:rFonts w:ascii="Arial" w:hAnsi="Arial" w:cs="Arial"/>
          <w:sz w:val="28"/>
          <w:szCs w:val="28"/>
        </w:rPr>
        <w:t xml:space="preserve">review them </w:t>
      </w:r>
      <w:r>
        <w:rPr>
          <w:rFonts w:ascii="Arial" w:hAnsi="Arial" w:cs="Arial"/>
          <w:sz w:val="28"/>
          <w:szCs w:val="28"/>
        </w:rPr>
        <w:t xml:space="preserve">the same </w:t>
      </w:r>
      <w:r w:rsidR="008723EF">
        <w:rPr>
          <w:rFonts w:ascii="Arial" w:hAnsi="Arial" w:cs="Arial"/>
          <w:sz w:val="28"/>
          <w:szCs w:val="28"/>
        </w:rPr>
        <w:t>-</w:t>
      </w:r>
      <w:r>
        <w:rPr>
          <w:rFonts w:ascii="Arial" w:hAnsi="Arial" w:cs="Arial"/>
          <w:sz w:val="28"/>
          <w:szCs w:val="28"/>
        </w:rPr>
        <w:t>way</w:t>
      </w:r>
      <w:r w:rsidR="00E510D0">
        <w:rPr>
          <w:rFonts w:ascii="Arial" w:hAnsi="Arial" w:cs="Arial"/>
          <w:sz w:val="28"/>
          <w:szCs w:val="28"/>
        </w:rPr>
        <w:t>,</w:t>
      </w:r>
      <w:r>
        <w:rPr>
          <w:rFonts w:ascii="Arial" w:hAnsi="Arial" w:cs="Arial"/>
          <w:sz w:val="28"/>
          <w:szCs w:val="28"/>
        </w:rPr>
        <w:t xml:space="preserve"> the only difference would be </w:t>
      </w:r>
      <w:r w:rsidR="00A9711E">
        <w:rPr>
          <w:rFonts w:ascii="Arial" w:hAnsi="Arial" w:cs="Arial"/>
          <w:sz w:val="28"/>
          <w:szCs w:val="28"/>
        </w:rPr>
        <w:t>the landscape</w:t>
      </w:r>
      <w:r>
        <w:rPr>
          <w:rFonts w:ascii="Arial" w:hAnsi="Arial" w:cs="Arial"/>
          <w:sz w:val="28"/>
          <w:szCs w:val="28"/>
        </w:rPr>
        <w:t>. Then give them a reasonable length of time to complete</w:t>
      </w:r>
      <w:r w:rsidR="00E510D0">
        <w:rPr>
          <w:rFonts w:ascii="Arial" w:hAnsi="Arial" w:cs="Arial"/>
          <w:sz w:val="28"/>
          <w:szCs w:val="28"/>
        </w:rPr>
        <w:t>, for example</w:t>
      </w:r>
      <w:r>
        <w:rPr>
          <w:rFonts w:ascii="Arial" w:hAnsi="Arial" w:cs="Arial"/>
          <w:sz w:val="28"/>
          <w:szCs w:val="28"/>
        </w:rPr>
        <w:t xml:space="preserve"> 3 weeks to have it back to the municipality. </w:t>
      </w:r>
    </w:p>
    <w:p w14:paraId="5F2736F0" w14:textId="63312036" w:rsidR="00A9711E" w:rsidRDefault="00A9711E" w:rsidP="0000646F">
      <w:pPr>
        <w:rPr>
          <w:rFonts w:ascii="Arial" w:hAnsi="Arial" w:cs="Arial"/>
          <w:sz w:val="28"/>
          <w:szCs w:val="28"/>
        </w:rPr>
      </w:pPr>
      <w:r>
        <w:rPr>
          <w:rFonts w:ascii="Arial" w:hAnsi="Arial" w:cs="Arial"/>
          <w:sz w:val="28"/>
          <w:szCs w:val="28"/>
        </w:rPr>
        <w:t xml:space="preserve">LCFA is not in favour of </w:t>
      </w:r>
      <w:r w:rsidR="00A54F7D">
        <w:rPr>
          <w:rFonts w:ascii="Arial" w:hAnsi="Arial" w:cs="Arial"/>
          <w:sz w:val="28"/>
          <w:szCs w:val="28"/>
        </w:rPr>
        <w:t>a massive reduction</w:t>
      </w:r>
      <w:r>
        <w:rPr>
          <w:rFonts w:ascii="Arial" w:hAnsi="Arial" w:cs="Arial"/>
          <w:sz w:val="28"/>
          <w:szCs w:val="28"/>
        </w:rPr>
        <w:t xml:space="preserve"> to 7 CAs as the province is too large and </w:t>
      </w:r>
      <w:r w:rsidR="00A54F7D">
        <w:rPr>
          <w:rFonts w:ascii="Arial" w:hAnsi="Arial" w:cs="Arial"/>
          <w:sz w:val="28"/>
          <w:szCs w:val="28"/>
        </w:rPr>
        <w:t xml:space="preserve">there is </w:t>
      </w:r>
      <w:r>
        <w:rPr>
          <w:rFonts w:ascii="Arial" w:hAnsi="Arial" w:cs="Arial"/>
          <w:sz w:val="28"/>
          <w:szCs w:val="28"/>
        </w:rPr>
        <w:t>way too much variation in the landscape. But if you need to consolidate</w:t>
      </w:r>
      <w:r w:rsidR="00A54F7D">
        <w:rPr>
          <w:rFonts w:ascii="Arial" w:hAnsi="Arial" w:cs="Arial"/>
          <w:sz w:val="28"/>
          <w:szCs w:val="28"/>
        </w:rPr>
        <w:t xml:space="preserve"> the number of CA’s</w:t>
      </w:r>
      <w:r>
        <w:rPr>
          <w:rFonts w:ascii="Arial" w:hAnsi="Arial" w:cs="Arial"/>
          <w:sz w:val="28"/>
          <w:szCs w:val="28"/>
        </w:rPr>
        <w:t xml:space="preserve"> here are some suggestions.</w:t>
      </w:r>
    </w:p>
    <w:p w14:paraId="27F7EEBA" w14:textId="70FF78A7" w:rsidR="0000646F" w:rsidRPr="0000646F" w:rsidRDefault="0084156E" w:rsidP="0000646F">
      <w:pPr>
        <w:rPr>
          <w:rFonts w:ascii="Arial" w:hAnsi="Arial" w:cs="Arial"/>
          <w:sz w:val="28"/>
          <w:szCs w:val="28"/>
        </w:rPr>
      </w:pPr>
      <w:r>
        <w:rPr>
          <w:rFonts w:ascii="Arial" w:hAnsi="Arial" w:cs="Arial"/>
          <w:sz w:val="28"/>
          <w:szCs w:val="28"/>
        </w:rPr>
        <w:t xml:space="preserve"> </w:t>
      </w:r>
      <w:r w:rsidR="0000646F" w:rsidRPr="0000646F">
        <w:rPr>
          <w:rFonts w:ascii="Arial" w:hAnsi="Arial" w:cs="Arial"/>
          <w:i/>
          <w:iCs/>
          <w:sz w:val="28"/>
          <w:szCs w:val="28"/>
        </w:rPr>
        <w:t>Essential Requirements for CAs from an Agricultural Perspective:</w:t>
      </w:r>
    </w:p>
    <w:p w14:paraId="6D8E1721" w14:textId="77777777" w:rsidR="0000646F" w:rsidRPr="0000646F" w:rsidRDefault="0000646F" w:rsidP="0000646F">
      <w:pPr>
        <w:numPr>
          <w:ilvl w:val="0"/>
          <w:numId w:val="1"/>
        </w:numPr>
        <w:rPr>
          <w:rFonts w:ascii="Arial" w:hAnsi="Arial" w:cs="Arial"/>
          <w:sz w:val="28"/>
          <w:szCs w:val="28"/>
        </w:rPr>
      </w:pPr>
      <w:r w:rsidRPr="0000646F">
        <w:rPr>
          <w:rFonts w:ascii="Arial" w:hAnsi="Arial" w:cs="Arial"/>
          <w:b/>
          <w:bCs/>
          <w:sz w:val="28"/>
          <w:szCs w:val="28"/>
        </w:rPr>
        <w:t>Consistency and transparency of policies, standards, processes, services, permit requirements and fees. </w:t>
      </w:r>
      <w:r w:rsidRPr="0000646F">
        <w:rPr>
          <w:rFonts w:ascii="Arial" w:hAnsi="Arial" w:cs="Arial"/>
          <w:sz w:val="28"/>
          <w:szCs w:val="28"/>
        </w:rPr>
        <w:t>Farmers continue to experience significant variability in service delivery, policies, processes, and treatment across Ontario, and require a system that would improve fairness, predictability, and efficiency.</w:t>
      </w:r>
    </w:p>
    <w:p w14:paraId="7F1A4AB7" w14:textId="77777777" w:rsidR="0000646F" w:rsidRPr="0000646F" w:rsidRDefault="0000646F" w:rsidP="0000646F">
      <w:pPr>
        <w:numPr>
          <w:ilvl w:val="0"/>
          <w:numId w:val="1"/>
        </w:numPr>
        <w:rPr>
          <w:rFonts w:ascii="Arial" w:hAnsi="Arial" w:cs="Arial"/>
          <w:sz w:val="28"/>
          <w:szCs w:val="28"/>
        </w:rPr>
      </w:pPr>
      <w:r w:rsidRPr="0000646F">
        <w:rPr>
          <w:rFonts w:ascii="Arial" w:hAnsi="Arial" w:cs="Arial"/>
          <w:b/>
          <w:bCs/>
          <w:sz w:val="28"/>
          <w:szCs w:val="28"/>
        </w:rPr>
        <w:t>CA Boards of Directors: Consider proportional representation based on land use (Agricultural, Rural, Urban) and includes at least one agricultural representative.</w:t>
      </w:r>
      <w:r w:rsidRPr="0000646F">
        <w:rPr>
          <w:rFonts w:ascii="Arial" w:hAnsi="Arial" w:cs="Arial"/>
          <w:sz w:val="28"/>
          <w:szCs w:val="28"/>
        </w:rPr>
        <w:t> As geographic boundaries expand, the number of agricultural representatives must also increase. Because CA jurisdiction is inherently tied to land and water – not population – new governance structures should reflect land-use realities. Ensuring proportional representation based on land use (Agricultural, Rural, Urban and First Nations) with meaningful agricultural involvement, is essential. Proportional representation based on land use could help ensure that smaller, rural municipalities have an appropriate voice that reflects both governance influence and financial impact. Similarly, it is primarily the agricultural and rural landowners who will be impacted by CA decisions, and therefore, they must have a significant voice for decision making. We look forward to participating in future discussions regarding CA Board structure and financing.</w:t>
      </w:r>
    </w:p>
    <w:p w14:paraId="2EB146E4" w14:textId="77777777" w:rsidR="0000646F" w:rsidRPr="0000646F" w:rsidRDefault="0000646F" w:rsidP="0000646F">
      <w:pPr>
        <w:numPr>
          <w:ilvl w:val="0"/>
          <w:numId w:val="1"/>
        </w:numPr>
        <w:rPr>
          <w:rFonts w:ascii="Arial" w:hAnsi="Arial" w:cs="Arial"/>
          <w:sz w:val="28"/>
          <w:szCs w:val="28"/>
        </w:rPr>
      </w:pPr>
      <w:r w:rsidRPr="0000646F">
        <w:rPr>
          <w:rFonts w:ascii="Arial" w:hAnsi="Arial" w:cs="Arial"/>
          <w:b/>
          <w:bCs/>
          <w:sz w:val="28"/>
          <w:szCs w:val="28"/>
        </w:rPr>
        <w:t>Maintain Local Agricultural Knowledge and Capacity</w:t>
      </w:r>
      <w:r w:rsidRPr="0000646F">
        <w:rPr>
          <w:rFonts w:ascii="Arial" w:hAnsi="Arial" w:cs="Arial"/>
          <w:sz w:val="28"/>
          <w:szCs w:val="28"/>
        </w:rPr>
        <w:t>. The strongest relationships between farmers and CAs have developed where CA staff possesses both technical expertise (hydrological modelling, soil management, and erosion control) and an understanding of agricultural operations and practices. This knowledge has supported stewardship initiatives, effective drainage projects, and appropriate farm expansions.  Any revised CA structure must retain and continue to build this agricultural expertise, along with a commitment to collaborate with the sector in ways that support its economic contributions while consistently protecting people and property.</w:t>
      </w:r>
    </w:p>
    <w:p w14:paraId="61F96EC5" w14:textId="77777777" w:rsidR="0000646F" w:rsidRPr="0000646F" w:rsidRDefault="0000646F" w:rsidP="0000646F">
      <w:pPr>
        <w:rPr>
          <w:rFonts w:ascii="Arial" w:hAnsi="Arial" w:cs="Arial"/>
          <w:sz w:val="28"/>
          <w:szCs w:val="28"/>
        </w:rPr>
      </w:pPr>
      <w:r w:rsidRPr="0000646F">
        <w:rPr>
          <w:rFonts w:ascii="Arial" w:hAnsi="Arial" w:cs="Arial"/>
          <w:b/>
          <w:bCs/>
          <w:sz w:val="28"/>
          <w:szCs w:val="28"/>
        </w:rPr>
        <w:t> </w:t>
      </w:r>
    </w:p>
    <w:p w14:paraId="391B6285" w14:textId="77777777" w:rsidR="0000646F" w:rsidRPr="0000646F" w:rsidRDefault="0000646F" w:rsidP="0000646F">
      <w:pPr>
        <w:rPr>
          <w:rFonts w:ascii="Arial" w:hAnsi="Arial" w:cs="Arial"/>
          <w:sz w:val="28"/>
          <w:szCs w:val="28"/>
        </w:rPr>
      </w:pPr>
      <w:r w:rsidRPr="0000646F">
        <w:rPr>
          <w:rFonts w:ascii="Arial" w:hAnsi="Arial" w:cs="Arial"/>
          <w:i/>
          <w:iCs/>
          <w:sz w:val="28"/>
          <w:szCs w:val="28"/>
        </w:rPr>
        <w:t>Boundaries of Regional Conservation Authorities:</w:t>
      </w:r>
    </w:p>
    <w:p w14:paraId="6A9F51D2" w14:textId="77777777" w:rsidR="0000646F" w:rsidRPr="0000646F" w:rsidRDefault="0000646F" w:rsidP="0000646F">
      <w:pPr>
        <w:rPr>
          <w:rFonts w:ascii="Arial" w:hAnsi="Arial" w:cs="Arial"/>
          <w:sz w:val="28"/>
          <w:szCs w:val="28"/>
        </w:rPr>
      </w:pPr>
      <w:r w:rsidRPr="0000646F">
        <w:rPr>
          <w:rFonts w:ascii="Arial" w:hAnsi="Arial" w:cs="Arial"/>
          <w:sz w:val="28"/>
          <w:szCs w:val="28"/>
          <w:lang w:val="en-US"/>
        </w:rPr>
        <w:t>1.                </w:t>
      </w:r>
      <w:r w:rsidRPr="0000646F">
        <w:rPr>
          <w:rFonts w:ascii="Arial" w:hAnsi="Arial" w:cs="Arial"/>
          <w:b/>
          <w:bCs/>
          <w:sz w:val="28"/>
          <w:szCs w:val="28"/>
        </w:rPr>
        <w:t>Creation of 19 Regional CAs based on the existing Source Protection Regional structure / boundaries</w:t>
      </w:r>
      <w:r w:rsidRPr="0000646F">
        <w:rPr>
          <w:rFonts w:ascii="Arial" w:hAnsi="Arial" w:cs="Arial"/>
          <w:sz w:val="28"/>
          <w:szCs w:val="28"/>
        </w:rPr>
        <w:t>. </w:t>
      </w:r>
      <w:r w:rsidRPr="0000646F">
        <w:rPr>
          <w:rFonts w:ascii="Arial" w:hAnsi="Arial" w:cs="Arial"/>
          <w:sz w:val="28"/>
          <w:szCs w:val="28"/>
          <w:lang w:val="en-US"/>
        </w:rPr>
        <w:t>There are significant concerns with the very large geographic areas encompassed within each of the proposed seven Regional CAs. Hydrogeology, soils, landscapes, and agricultural systems can vary widely within each of these large Regions. For example, the distance from Lambton Shores to Thunder Bay is approximately 1,500 km—an estimated 16-hour drive—illustrating the sheer vastness of these proposed jurisdictions. Such expansive boundaries will make it challenging to maintain meaningful community relationships and ensure that local agricultural needs are understood and reflected in decision-making. Soil types, agricultural sectors (crop, livestock, greenhouse), and stewardship priorities can differ substantially across these areas. Creating 19 Regional CAs based on the Source Protection Regional structure would better preserve a watershed-based approach while offering more geographically coherent boundaries and stronger local accountability than a system of only seven Regions. At the same time, it still has the potential to meet the government’s goals of consolidation by supporting more consistent permitting, technical standards, and service levels. Overall, following the SPR structure maintains local representation, responsiveness, and efficiency while ensuring decision-making benefits from local knowledge and meaningful community involvement.</w:t>
      </w:r>
    </w:p>
    <w:p w14:paraId="7D12C665" w14:textId="77777777" w:rsidR="0000646F" w:rsidRPr="0000646F" w:rsidRDefault="0000646F" w:rsidP="0000646F">
      <w:pPr>
        <w:rPr>
          <w:rFonts w:ascii="Arial" w:hAnsi="Arial" w:cs="Arial"/>
          <w:sz w:val="28"/>
          <w:szCs w:val="28"/>
        </w:rPr>
      </w:pPr>
      <w:r w:rsidRPr="0000646F">
        <w:rPr>
          <w:rFonts w:ascii="Arial" w:hAnsi="Arial" w:cs="Arial"/>
          <w:sz w:val="28"/>
          <w:szCs w:val="28"/>
        </w:rPr>
        <w:t> </w:t>
      </w:r>
    </w:p>
    <w:p w14:paraId="5451FA1D" w14:textId="77777777" w:rsidR="0000646F" w:rsidRPr="0000646F" w:rsidRDefault="0000646F" w:rsidP="0000646F">
      <w:pPr>
        <w:rPr>
          <w:rFonts w:ascii="Arial" w:hAnsi="Arial" w:cs="Arial"/>
          <w:sz w:val="28"/>
          <w:szCs w:val="28"/>
        </w:rPr>
      </w:pPr>
      <w:r w:rsidRPr="0000646F">
        <w:rPr>
          <w:rFonts w:ascii="Arial" w:hAnsi="Arial" w:cs="Arial"/>
          <w:i/>
          <w:iCs/>
          <w:sz w:val="28"/>
          <w:szCs w:val="28"/>
        </w:rPr>
        <w:t>Creation of a Provincial Ontario Conservation Authority (OPCA)</w:t>
      </w:r>
      <w:r w:rsidRPr="0000646F">
        <w:rPr>
          <w:rFonts w:ascii="Arial" w:hAnsi="Arial" w:cs="Arial"/>
          <w:sz w:val="28"/>
          <w:szCs w:val="28"/>
        </w:rPr>
        <w:t>:</w:t>
      </w:r>
    </w:p>
    <w:p w14:paraId="67F51A40" w14:textId="77777777" w:rsidR="0000646F" w:rsidRPr="0000646F" w:rsidRDefault="0000646F" w:rsidP="0000646F">
      <w:pPr>
        <w:numPr>
          <w:ilvl w:val="0"/>
          <w:numId w:val="2"/>
        </w:numPr>
        <w:rPr>
          <w:rFonts w:ascii="Arial" w:hAnsi="Arial" w:cs="Arial"/>
          <w:sz w:val="28"/>
          <w:szCs w:val="28"/>
        </w:rPr>
      </w:pPr>
      <w:r w:rsidRPr="0000646F">
        <w:rPr>
          <w:rFonts w:ascii="Arial" w:hAnsi="Arial" w:cs="Arial"/>
          <w:b/>
          <w:bCs/>
          <w:sz w:val="28"/>
          <w:szCs w:val="28"/>
        </w:rPr>
        <w:t>Agricultural representation on the OPCA Board</w:t>
      </w:r>
      <w:r w:rsidRPr="0000646F">
        <w:rPr>
          <w:rFonts w:ascii="Arial" w:hAnsi="Arial" w:cs="Arial"/>
          <w:sz w:val="28"/>
          <w:szCs w:val="28"/>
        </w:rPr>
        <w:t>. </w:t>
      </w:r>
      <w:r w:rsidRPr="0000646F">
        <w:rPr>
          <w:rFonts w:ascii="Arial" w:hAnsi="Arial" w:cs="Arial"/>
          <w:sz w:val="28"/>
          <w:szCs w:val="28"/>
          <w:lang w:val="en-US"/>
        </w:rPr>
        <w:t>It is essential that the OPCA has agricultural representation on its Board of Directors, ideally nominated by the agricultural community for appointment.</w:t>
      </w:r>
    </w:p>
    <w:p w14:paraId="40FD02C9" w14:textId="77777777" w:rsidR="0000646F" w:rsidRPr="0000646F" w:rsidRDefault="0000646F" w:rsidP="0000646F">
      <w:pPr>
        <w:numPr>
          <w:ilvl w:val="0"/>
          <w:numId w:val="2"/>
        </w:numPr>
        <w:rPr>
          <w:rFonts w:ascii="Arial" w:hAnsi="Arial" w:cs="Arial"/>
          <w:sz w:val="28"/>
          <w:szCs w:val="28"/>
        </w:rPr>
      </w:pPr>
      <w:r w:rsidRPr="0000646F">
        <w:rPr>
          <w:rFonts w:ascii="Arial" w:hAnsi="Arial" w:cs="Arial"/>
          <w:b/>
          <w:bCs/>
          <w:sz w:val="28"/>
          <w:szCs w:val="28"/>
        </w:rPr>
        <w:t>Ease of permitting system that will not require a consultant for permit applications and assistance form local, knowledgeable CA staff</w:t>
      </w:r>
      <w:r w:rsidRPr="0000646F">
        <w:rPr>
          <w:rFonts w:ascii="Arial" w:hAnsi="Arial" w:cs="Arial"/>
          <w:sz w:val="28"/>
          <w:szCs w:val="28"/>
        </w:rPr>
        <w:t>.</w:t>
      </w:r>
    </w:p>
    <w:p w14:paraId="4560A453" w14:textId="77777777" w:rsidR="0000646F" w:rsidRPr="0000646F" w:rsidRDefault="0000646F" w:rsidP="0000646F">
      <w:pPr>
        <w:numPr>
          <w:ilvl w:val="0"/>
          <w:numId w:val="2"/>
        </w:numPr>
        <w:rPr>
          <w:rFonts w:ascii="Arial" w:hAnsi="Arial" w:cs="Arial"/>
          <w:sz w:val="28"/>
          <w:szCs w:val="28"/>
        </w:rPr>
      </w:pPr>
      <w:r w:rsidRPr="0000646F">
        <w:rPr>
          <w:rFonts w:ascii="Arial" w:hAnsi="Arial" w:cs="Arial"/>
          <w:b/>
          <w:bCs/>
          <w:sz w:val="28"/>
          <w:szCs w:val="28"/>
        </w:rPr>
        <w:t>Best Practices.</w:t>
      </w:r>
      <w:r w:rsidRPr="0000646F">
        <w:rPr>
          <w:rFonts w:ascii="Arial" w:hAnsi="Arial" w:cs="Arial"/>
          <w:sz w:val="28"/>
          <w:szCs w:val="28"/>
        </w:rPr>
        <w:t> Work with the agricultural community to identify the best practices that have contributed to successful partnerships between CAs and the local agricultural community and provide guidance on how to replicate them in areas that have not yet benefitted from such constructive relationships.</w:t>
      </w:r>
    </w:p>
    <w:p w14:paraId="278CCCAF" w14:textId="77777777" w:rsidR="0000646F" w:rsidRPr="0000646F" w:rsidRDefault="0000646F" w:rsidP="0000646F">
      <w:pPr>
        <w:rPr>
          <w:rFonts w:ascii="Arial" w:hAnsi="Arial" w:cs="Arial"/>
          <w:sz w:val="28"/>
          <w:szCs w:val="28"/>
        </w:rPr>
      </w:pPr>
      <w:r w:rsidRPr="0000646F">
        <w:rPr>
          <w:rFonts w:ascii="Arial" w:hAnsi="Arial" w:cs="Arial"/>
          <w:sz w:val="28"/>
          <w:szCs w:val="28"/>
        </w:rPr>
        <w:t> </w:t>
      </w:r>
    </w:p>
    <w:p w14:paraId="784BD28F" w14:textId="080FC7C6" w:rsidR="0000646F" w:rsidRDefault="0000646F" w:rsidP="0000646F">
      <w:pPr>
        <w:rPr>
          <w:rFonts w:ascii="Arial" w:hAnsi="Arial" w:cs="Arial"/>
          <w:sz w:val="28"/>
          <w:szCs w:val="28"/>
        </w:rPr>
      </w:pPr>
      <w:r w:rsidRPr="0000646F">
        <w:rPr>
          <w:rFonts w:ascii="Arial" w:hAnsi="Arial" w:cs="Arial"/>
          <w:sz w:val="28"/>
          <w:szCs w:val="28"/>
        </w:rPr>
        <w:t> </w:t>
      </w:r>
      <w:r w:rsidR="0056514E">
        <w:rPr>
          <w:rFonts w:ascii="Arial" w:hAnsi="Arial" w:cs="Arial"/>
          <w:sz w:val="28"/>
          <w:szCs w:val="28"/>
        </w:rPr>
        <w:t>Thank you</w:t>
      </w:r>
    </w:p>
    <w:p w14:paraId="350BFEEC" w14:textId="138BF90D" w:rsidR="0056514E" w:rsidRDefault="0056514E" w:rsidP="0000646F">
      <w:pPr>
        <w:rPr>
          <w:rFonts w:ascii="Arial" w:hAnsi="Arial" w:cs="Arial"/>
          <w:sz w:val="28"/>
          <w:szCs w:val="28"/>
        </w:rPr>
      </w:pPr>
      <w:r>
        <w:rPr>
          <w:rFonts w:ascii="Arial" w:hAnsi="Arial" w:cs="Arial"/>
          <w:sz w:val="28"/>
          <w:szCs w:val="28"/>
        </w:rPr>
        <w:t xml:space="preserve">Leeds Federation of Agriculture </w:t>
      </w:r>
    </w:p>
    <w:p w14:paraId="1233ABCC" w14:textId="0337D9DF" w:rsidR="0056514E" w:rsidRPr="0000646F" w:rsidRDefault="0056514E" w:rsidP="0000646F">
      <w:pPr>
        <w:rPr>
          <w:rFonts w:ascii="Arial" w:hAnsi="Arial" w:cs="Arial"/>
          <w:sz w:val="28"/>
          <w:szCs w:val="28"/>
        </w:rPr>
      </w:pPr>
      <w:r>
        <w:rPr>
          <w:rFonts w:ascii="Arial" w:hAnsi="Arial" w:cs="Arial"/>
          <w:sz w:val="28"/>
          <w:szCs w:val="28"/>
        </w:rPr>
        <w:t>President Cornelia Danis</w:t>
      </w:r>
    </w:p>
    <w:sectPr w:rsidR="0056514E" w:rsidRPr="000064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03FF6"/>
    <w:multiLevelType w:val="multilevel"/>
    <w:tmpl w:val="168E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DD3411"/>
    <w:multiLevelType w:val="multilevel"/>
    <w:tmpl w:val="551A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9235750">
    <w:abstractNumId w:val="1"/>
  </w:num>
  <w:num w:numId="2" w16cid:durableId="180330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6F"/>
    <w:rsid w:val="0000646F"/>
    <w:rsid w:val="00505B66"/>
    <w:rsid w:val="0056514E"/>
    <w:rsid w:val="00596412"/>
    <w:rsid w:val="0084156E"/>
    <w:rsid w:val="008723EF"/>
    <w:rsid w:val="008E7B00"/>
    <w:rsid w:val="009D1F02"/>
    <w:rsid w:val="00A54F7D"/>
    <w:rsid w:val="00A864DC"/>
    <w:rsid w:val="00A9711E"/>
    <w:rsid w:val="00D66AFE"/>
    <w:rsid w:val="00E20AD4"/>
    <w:rsid w:val="00E3624B"/>
    <w:rsid w:val="00E510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07C5"/>
  <w15:chartTrackingRefBased/>
  <w15:docId w15:val="{78327E56-46A3-4EF9-BFB7-F98BB21E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46F"/>
    <w:rPr>
      <w:rFonts w:eastAsiaTheme="majorEastAsia" w:cstheme="majorBidi"/>
      <w:color w:val="272727" w:themeColor="text1" w:themeTint="D8"/>
    </w:rPr>
  </w:style>
  <w:style w:type="paragraph" w:styleId="Title">
    <w:name w:val="Title"/>
    <w:basedOn w:val="Normal"/>
    <w:next w:val="Normal"/>
    <w:link w:val="TitleChar"/>
    <w:uiPriority w:val="10"/>
    <w:qFormat/>
    <w:rsid w:val="00006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46F"/>
    <w:pPr>
      <w:spacing w:before="160"/>
      <w:jc w:val="center"/>
    </w:pPr>
    <w:rPr>
      <w:i/>
      <w:iCs/>
      <w:color w:val="404040" w:themeColor="text1" w:themeTint="BF"/>
    </w:rPr>
  </w:style>
  <w:style w:type="character" w:customStyle="1" w:styleId="QuoteChar">
    <w:name w:val="Quote Char"/>
    <w:basedOn w:val="DefaultParagraphFont"/>
    <w:link w:val="Quote"/>
    <w:uiPriority w:val="29"/>
    <w:rsid w:val="0000646F"/>
    <w:rPr>
      <w:i/>
      <w:iCs/>
      <w:color w:val="404040" w:themeColor="text1" w:themeTint="BF"/>
    </w:rPr>
  </w:style>
  <w:style w:type="paragraph" w:styleId="ListParagraph">
    <w:name w:val="List Paragraph"/>
    <w:basedOn w:val="Normal"/>
    <w:uiPriority w:val="34"/>
    <w:qFormat/>
    <w:rsid w:val="0000646F"/>
    <w:pPr>
      <w:ind w:left="720"/>
      <w:contextualSpacing/>
    </w:pPr>
  </w:style>
  <w:style w:type="character" w:styleId="IntenseEmphasis">
    <w:name w:val="Intense Emphasis"/>
    <w:basedOn w:val="DefaultParagraphFont"/>
    <w:uiPriority w:val="21"/>
    <w:qFormat/>
    <w:rsid w:val="0000646F"/>
    <w:rPr>
      <w:i/>
      <w:iCs/>
      <w:color w:val="0F4761" w:themeColor="accent1" w:themeShade="BF"/>
    </w:rPr>
  </w:style>
  <w:style w:type="paragraph" w:styleId="IntenseQuote">
    <w:name w:val="Intense Quote"/>
    <w:basedOn w:val="Normal"/>
    <w:next w:val="Normal"/>
    <w:link w:val="IntenseQuoteChar"/>
    <w:uiPriority w:val="30"/>
    <w:qFormat/>
    <w:rsid w:val="00006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46F"/>
    <w:rPr>
      <w:i/>
      <w:iCs/>
      <w:color w:val="0F4761" w:themeColor="accent1" w:themeShade="BF"/>
    </w:rPr>
  </w:style>
  <w:style w:type="character" w:styleId="IntenseReference">
    <w:name w:val="Intense Reference"/>
    <w:basedOn w:val="DefaultParagraphFont"/>
    <w:uiPriority w:val="32"/>
    <w:qFormat/>
    <w:rsid w:val="0000646F"/>
    <w:rPr>
      <w:b/>
      <w:bCs/>
      <w:smallCaps/>
      <w:color w:val="0F4761" w:themeColor="accent1" w:themeShade="BF"/>
      <w:spacing w:val="5"/>
    </w:rPr>
  </w:style>
  <w:style w:type="character" w:styleId="Hyperlink">
    <w:name w:val="Hyperlink"/>
    <w:basedOn w:val="DefaultParagraphFont"/>
    <w:uiPriority w:val="99"/>
    <w:unhideWhenUsed/>
    <w:rsid w:val="0000646F"/>
    <w:rPr>
      <w:color w:val="467886" w:themeColor="hyperlink"/>
      <w:u w:val="single"/>
    </w:rPr>
  </w:style>
  <w:style w:type="character" w:styleId="UnresolvedMention">
    <w:name w:val="Unresolved Mention"/>
    <w:basedOn w:val="DefaultParagraphFont"/>
    <w:uiPriority w:val="99"/>
    <w:semiHidden/>
    <w:unhideWhenUsed/>
    <w:rsid w:val="0000646F"/>
    <w:rPr>
      <w:color w:val="605E5C"/>
      <w:shd w:val="clear" w:color="auto" w:fill="E1DFDD"/>
    </w:rPr>
  </w:style>
  <w:style w:type="character" w:styleId="FollowedHyperlink">
    <w:name w:val="FollowedHyperlink"/>
    <w:basedOn w:val="DefaultParagraphFont"/>
    <w:uiPriority w:val="99"/>
    <w:semiHidden/>
    <w:unhideWhenUsed/>
    <w:rsid w:val="005651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1613</TotalTime>
  <Pages>1</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Renaud</dc:creator>
  <cp:keywords/>
  <dc:description/>
  <cp:lastModifiedBy>Eleanor Renaud</cp:lastModifiedBy>
  <cp:revision>3</cp:revision>
  <dcterms:created xsi:type="dcterms:W3CDTF">2025-12-19T21:40:00Z</dcterms:created>
  <dcterms:modified xsi:type="dcterms:W3CDTF">2025-12-21T00:32:00Z</dcterms:modified>
</cp:coreProperties>
</file>