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9D5" w14:textId="77777777" w:rsidR="00086B70" w:rsidRDefault="00086B70" w:rsidP="0067514F">
      <w:pPr>
        <w:shd w:val="clear" w:color="auto" w:fill="FFFFFF"/>
        <w:rPr>
          <w:rFonts w:ascii="Arial" w:eastAsia="Times New Roman" w:hAnsi="Arial" w:cs="Arial"/>
          <w:color w:val="000000" w:themeColor="text1"/>
          <w:szCs w:val="24"/>
          <w:lang w:val="en-CA" w:eastAsia="en-CA"/>
        </w:rPr>
      </w:pPr>
    </w:p>
    <w:p w14:paraId="0FCCCB74" w14:textId="77777777" w:rsidR="00086B70" w:rsidRDefault="00086B70" w:rsidP="0067514F">
      <w:pPr>
        <w:shd w:val="clear" w:color="auto" w:fill="FFFFFF"/>
        <w:rPr>
          <w:rFonts w:ascii="Arial" w:eastAsia="Times New Roman" w:hAnsi="Arial" w:cs="Arial"/>
          <w:color w:val="000000" w:themeColor="text1"/>
          <w:szCs w:val="24"/>
          <w:lang w:val="en-CA" w:eastAsia="en-CA"/>
        </w:rPr>
      </w:pPr>
    </w:p>
    <w:p w14:paraId="4E114965" w14:textId="77777777" w:rsidR="00346DE5" w:rsidRDefault="00346DE5" w:rsidP="0067514F">
      <w:pPr>
        <w:shd w:val="clear" w:color="auto" w:fill="FFFFFF"/>
        <w:rPr>
          <w:rFonts w:ascii="Arial" w:eastAsia="Times New Roman" w:hAnsi="Arial" w:cs="Arial"/>
          <w:color w:val="000000" w:themeColor="text1"/>
          <w:szCs w:val="24"/>
          <w:lang w:val="en-CA" w:eastAsia="en-CA"/>
        </w:rPr>
      </w:pPr>
    </w:p>
    <w:p w14:paraId="6739D96A" w14:textId="26C0D0A6" w:rsidR="00740DA4" w:rsidRDefault="001B5D5C"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December 3, 2025</w:t>
      </w:r>
    </w:p>
    <w:p w14:paraId="25FEBFEC" w14:textId="77777777" w:rsidR="00740DA4" w:rsidRDefault="00740DA4" w:rsidP="0067514F">
      <w:pPr>
        <w:shd w:val="clear" w:color="auto" w:fill="FFFFFF"/>
        <w:rPr>
          <w:rFonts w:ascii="Arial" w:eastAsia="Times New Roman" w:hAnsi="Arial" w:cs="Arial"/>
          <w:color w:val="000000" w:themeColor="text1"/>
          <w:szCs w:val="24"/>
          <w:lang w:val="en-CA" w:eastAsia="en-CA"/>
        </w:rPr>
      </w:pPr>
    </w:p>
    <w:p w14:paraId="59B34363" w14:textId="5229067D" w:rsidR="00970EC9" w:rsidRDefault="001B5D5C"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Public Input Coordinator – Source Protection</w:t>
      </w:r>
    </w:p>
    <w:p w14:paraId="6B541FCA" w14:textId="7B09BC1D" w:rsidR="001B5D5C" w:rsidRPr="00970EC9" w:rsidRDefault="001B5D5C"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Conservation and Source Protection Branch</w:t>
      </w:r>
    </w:p>
    <w:p w14:paraId="66F70EDD" w14:textId="6C48FC02" w:rsidR="00970EC9" w:rsidRPr="0067514F" w:rsidRDefault="00970EC9" w:rsidP="0067514F">
      <w:pPr>
        <w:shd w:val="clear" w:color="auto" w:fill="FFFFFF"/>
        <w:rPr>
          <w:rFonts w:ascii="Arial" w:eastAsia="Times New Roman" w:hAnsi="Arial" w:cs="Arial"/>
          <w:color w:val="000000" w:themeColor="text1"/>
          <w:szCs w:val="24"/>
          <w:lang w:val="en-CA" w:eastAsia="en-CA"/>
        </w:rPr>
      </w:pPr>
      <w:r w:rsidRPr="0067514F">
        <w:rPr>
          <w:rFonts w:ascii="Arial" w:eastAsia="Times New Roman" w:hAnsi="Arial" w:cs="Arial"/>
          <w:color w:val="000000" w:themeColor="text1"/>
          <w:szCs w:val="24"/>
          <w:lang w:val="en-CA" w:eastAsia="en-CA"/>
        </w:rPr>
        <w:t>Ontario Ministry of the Environment, Conservation and Parks</w:t>
      </w:r>
    </w:p>
    <w:p w14:paraId="5313327D" w14:textId="3B8E84AF" w:rsidR="00970EC9" w:rsidRDefault="001B5D5C"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300 Water Street</w:t>
      </w:r>
      <w:r w:rsidR="006E3E7A">
        <w:rPr>
          <w:rFonts w:ascii="Arial" w:eastAsia="Times New Roman" w:hAnsi="Arial" w:cs="Arial"/>
          <w:color w:val="000000" w:themeColor="text1"/>
          <w:szCs w:val="24"/>
          <w:lang w:val="en-CA" w:eastAsia="en-CA"/>
        </w:rPr>
        <w:t>, North Tower, 5</w:t>
      </w:r>
      <w:r w:rsidR="006E3E7A" w:rsidRPr="006E3E7A">
        <w:rPr>
          <w:rFonts w:ascii="Arial" w:eastAsia="Times New Roman" w:hAnsi="Arial" w:cs="Arial"/>
          <w:color w:val="000000" w:themeColor="text1"/>
          <w:szCs w:val="24"/>
          <w:vertAlign w:val="superscript"/>
          <w:lang w:val="en-CA" w:eastAsia="en-CA"/>
        </w:rPr>
        <w:t>th</w:t>
      </w:r>
      <w:r w:rsidR="006E3E7A">
        <w:rPr>
          <w:rFonts w:ascii="Arial" w:eastAsia="Times New Roman" w:hAnsi="Arial" w:cs="Arial"/>
          <w:color w:val="000000" w:themeColor="text1"/>
          <w:szCs w:val="24"/>
          <w:lang w:val="en-CA" w:eastAsia="en-CA"/>
        </w:rPr>
        <w:t xml:space="preserve"> Floor</w:t>
      </w:r>
    </w:p>
    <w:p w14:paraId="38248597" w14:textId="22A95947" w:rsidR="006E3E7A" w:rsidRDefault="006E3E7A"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Peterborough, ON</w:t>
      </w:r>
    </w:p>
    <w:p w14:paraId="0DFC86AE" w14:textId="7A6EDCEC" w:rsidR="006E3E7A" w:rsidRPr="00970EC9" w:rsidRDefault="006E3E7A" w:rsidP="0067514F">
      <w:pPr>
        <w:shd w:val="clear" w:color="auto" w:fill="FFFFFF"/>
        <w:rPr>
          <w:rFonts w:ascii="Arial" w:eastAsia="Times New Roman" w:hAnsi="Arial" w:cs="Arial"/>
          <w:color w:val="000000" w:themeColor="text1"/>
          <w:szCs w:val="24"/>
          <w:lang w:val="en-CA" w:eastAsia="en-CA"/>
        </w:rPr>
      </w:pPr>
      <w:r>
        <w:rPr>
          <w:rFonts w:ascii="Arial" w:eastAsia="Times New Roman" w:hAnsi="Arial" w:cs="Arial"/>
          <w:color w:val="000000" w:themeColor="text1"/>
          <w:szCs w:val="24"/>
          <w:lang w:val="en-CA" w:eastAsia="en-CA"/>
        </w:rPr>
        <w:t>K9J 3C7</w:t>
      </w:r>
    </w:p>
    <w:p w14:paraId="07BA2C01" w14:textId="77777777" w:rsidR="00F554EF" w:rsidRPr="0067514F" w:rsidRDefault="00F554EF" w:rsidP="0067514F">
      <w:pPr>
        <w:rPr>
          <w:rFonts w:ascii="Arial" w:hAnsi="Arial" w:cs="Arial"/>
          <w:szCs w:val="24"/>
        </w:rPr>
      </w:pPr>
    </w:p>
    <w:p w14:paraId="5A895361" w14:textId="1842F848" w:rsidR="00F554EF" w:rsidRPr="0067514F" w:rsidRDefault="00740DA4" w:rsidP="0067514F">
      <w:pPr>
        <w:rPr>
          <w:rFonts w:ascii="Arial" w:hAnsi="Arial" w:cs="Arial"/>
          <w:szCs w:val="24"/>
        </w:rPr>
      </w:pPr>
      <w:r>
        <w:rPr>
          <w:rFonts w:ascii="Arial" w:hAnsi="Arial" w:cs="Arial"/>
          <w:b/>
          <w:bCs/>
          <w:szCs w:val="24"/>
        </w:rPr>
        <w:t xml:space="preserve">RE:  </w:t>
      </w:r>
      <w:r w:rsidR="00F554EF" w:rsidRPr="0067514F">
        <w:rPr>
          <w:rFonts w:ascii="Arial" w:hAnsi="Arial" w:cs="Arial"/>
          <w:szCs w:val="24"/>
        </w:rPr>
        <w:t xml:space="preserve">ERO Posting </w:t>
      </w:r>
      <w:r w:rsidR="00086B70">
        <w:rPr>
          <w:rFonts w:ascii="Arial" w:hAnsi="Arial" w:cs="Arial"/>
          <w:szCs w:val="24"/>
        </w:rPr>
        <w:t>025-1104 – Regulatory changes for accelerating and improving protections for Ontario’s drinking water sources</w:t>
      </w:r>
    </w:p>
    <w:p w14:paraId="09D1D175" w14:textId="77777777" w:rsidR="002D39B1" w:rsidRPr="0067514F" w:rsidRDefault="002D39B1" w:rsidP="0067514F">
      <w:pPr>
        <w:rPr>
          <w:rFonts w:ascii="Arial" w:hAnsi="Arial" w:cs="Arial"/>
          <w:szCs w:val="24"/>
        </w:rPr>
      </w:pPr>
    </w:p>
    <w:p w14:paraId="44B09DF1" w14:textId="44E77C29" w:rsidR="002D39B1" w:rsidRPr="00CD61BE" w:rsidRDefault="002D39B1" w:rsidP="0067514F">
      <w:pPr>
        <w:rPr>
          <w:rFonts w:ascii="Arial" w:hAnsi="Arial" w:cs="Arial"/>
          <w:szCs w:val="24"/>
        </w:rPr>
      </w:pPr>
      <w:r w:rsidRPr="00CD61BE">
        <w:rPr>
          <w:rFonts w:ascii="Arial" w:hAnsi="Arial" w:cs="Arial"/>
          <w:szCs w:val="24"/>
        </w:rPr>
        <w:t xml:space="preserve">Thank you for the opportunity to comment on the above referenced postings related to the </w:t>
      </w:r>
      <w:r w:rsidR="00086B70" w:rsidRPr="00CD61BE">
        <w:rPr>
          <w:rFonts w:ascii="Arial" w:hAnsi="Arial" w:cs="Arial"/>
          <w:szCs w:val="24"/>
        </w:rPr>
        <w:t>Clean Water Act and implementation of the source protection program.</w:t>
      </w:r>
      <w:r w:rsidRPr="00CD61BE">
        <w:rPr>
          <w:rFonts w:ascii="Arial" w:hAnsi="Arial" w:cs="Arial"/>
          <w:szCs w:val="24"/>
        </w:rPr>
        <w:t xml:space="preserve">  Please find below staff comments from Wellington Source Water Protection.  Wellington Source Water Protection is a municipal partnership </w:t>
      </w:r>
      <w:proofErr w:type="gramStart"/>
      <w:r w:rsidRPr="00CD61BE">
        <w:rPr>
          <w:rFonts w:ascii="Arial" w:hAnsi="Arial" w:cs="Arial"/>
          <w:szCs w:val="24"/>
        </w:rPr>
        <w:t>of</w:t>
      </w:r>
      <w:proofErr w:type="gramEnd"/>
      <w:r w:rsidRPr="00CD61BE">
        <w:rPr>
          <w:rFonts w:ascii="Arial" w:hAnsi="Arial" w:cs="Arial"/>
          <w:szCs w:val="24"/>
        </w:rPr>
        <w:t xml:space="preserve"> the seven local municipalities and the County within the County of Wellington</w:t>
      </w:r>
      <w:r w:rsidR="00346DE5" w:rsidRPr="00CD61BE">
        <w:rPr>
          <w:rFonts w:ascii="Arial" w:hAnsi="Arial" w:cs="Arial"/>
          <w:szCs w:val="24"/>
        </w:rPr>
        <w:t xml:space="preserve"> and staff are municipal employees and the appointed Risk Management Official / Inspectors for </w:t>
      </w:r>
      <w:r w:rsidR="00270398" w:rsidRPr="00CD61BE">
        <w:rPr>
          <w:rFonts w:ascii="Arial" w:hAnsi="Arial" w:cs="Arial"/>
          <w:szCs w:val="24"/>
        </w:rPr>
        <w:t>the County municipalities.</w:t>
      </w:r>
      <w:r w:rsidR="005A799C" w:rsidRPr="00CD61BE">
        <w:rPr>
          <w:rFonts w:ascii="Arial" w:hAnsi="Arial" w:cs="Arial"/>
          <w:szCs w:val="24"/>
        </w:rPr>
        <w:t xml:space="preserve">  In preparing these comments, staff attended </w:t>
      </w:r>
      <w:r w:rsidR="001A1FFF" w:rsidRPr="00CD61BE">
        <w:rPr>
          <w:rFonts w:ascii="Arial" w:hAnsi="Arial" w:cs="Arial"/>
          <w:szCs w:val="24"/>
        </w:rPr>
        <w:t>Ministry or Conservation Authority led presentations and discussions related to this posting and the related posting, ERO 025-</w:t>
      </w:r>
      <w:proofErr w:type="gramStart"/>
      <w:r w:rsidR="001A1FFF" w:rsidRPr="00CD61BE">
        <w:rPr>
          <w:rFonts w:ascii="Arial" w:hAnsi="Arial" w:cs="Arial"/>
          <w:szCs w:val="24"/>
        </w:rPr>
        <w:t>1060</w:t>
      </w:r>
      <w:proofErr w:type="gramEnd"/>
      <w:r w:rsidR="001A1FFF" w:rsidRPr="00CD61BE">
        <w:rPr>
          <w:rFonts w:ascii="Arial" w:hAnsi="Arial" w:cs="Arial"/>
          <w:szCs w:val="24"/>
        </w:rPr>
        <w:t xml:space="preserve"> that is</w:t>
      </w:r>
      <w:r w:rsidR="00CD61BE" w:rsidRPr="00CD61BE">
        <w:rPr>
          <w:rFonts w:ascii="Arial" w:hAnsi="Arial" w:cs="Arial"/>
          <w:szCs w:val="24"/>
        </w:rPr>
        <w:t xml:space="preserve"> now</w:t>
      </w:r>
      <w:r w:rsidR="001A1FFF" w:rsidRPr="00CD61BE">
        <w:rPr>
          <w:rFonts w:ascii="Arial" w:hAnsi="Arial" w:cs="Arial"/>
          <w:szCs w:val="24"/>
        </w:rPr>
        <w:t xml:space="preserve"> closed.</w:t>
      </w:r>
    </w:p>
    <w:p w14:paraId="6D9157B3" w14:textId="77777777" w:rsidR="005D2FCC" w:rsidRPr="00CD61BE" w:rsidRDefault="005D2FCC" w:rsidP="0067514F">
      <w:pPr>
        <w:rPr>
          <w:rFonts w:ascii="Arial" w:hAnsi="Arial" w:cs="Arial"/>
          <w:szCs w:val="24"/>
        </w:rPr>
      </w:pPr>
    </w:p>
    <w:p w14:paraId="1EDBA352" w14:textId="026C4E6F" w:rsidR="005D2FCC" w:rsidRPr="00CD61BE" w:rsidRDefault="005D2FCC" w:rsidP="0067514F">
      <w:pPr>
        <w:rPr>
          <w:rFonts w:ascii="Arial" w:hAnsi="Arial" w:cs="Arial"/>
          <w:szCs w:val="24"/>
        </w:rPr>
      </w:pPr>
      <w:r w:rsidRPr="00CD61BE">
        <w:rPr>
          <w:rFonts w:ascii="Arial" w:hAnsi="Arial" w:cs="Arial"/>
          <w:szCs w:val="24"/>
        </w:rPr>
        <w:t>Please find our comments below for your consideration:</w:t>
      </w:r>
    </w:p>
    <w:p w14:paraId="1E653F3D" w14:textId="77777777" w:rsidR="00D86A5C" w:rsidRPr="00CD61BE" w:rsidRDefault="00D86A5C" w:rsidP="0067514F">
      <w:pPr>
        <w:rPr>
          <w:rFonts w:ascii="Arial" w:hAnsi="Arial" w:cs="Arial"/>
          <w:szCs w:val="24"/>
        </w:rPr>
      </w:pPr>
    </w:p>
    <w:p w14:paraId="51E1753B" w14:textId="77777777" w:rsidR="002D39B1" w:rsidRPr="00CD61BE" w:rsidRDefault="002D39B1" w:rsidP="0067514F">
      <w:pPr>
        <w:rPr>
          <w:rFonts w:ascii="Arial" w:hAnsi="Arial" w:cs="Arial"/>
          <w:b/>
          <w:bCs/>
          <w:szCs w:val="24"/>
        </w:rPr>
      </w:pPr>
      <w:r w:rsidRPr="00CD61BE">
        <w:rPr>
          <w:rFonts w:ascii="Arial" w:hAnsi="Arial" w:cs="Arial"/>
          <w:b/>
          <w:bCs/>
          <w:szCs w:val="24"/>
        </w:rPr>
        <w:t>Comments</w:t>
      </w:r>
    </w:p>
    <w:p w14:paraId="5078346F" w14:textId="357D5787" w:rsidR="00D86A5C" w:rsidRPr="00CD61BE" w:rsidRDefault="00D86A5C" w:rsidP="0067514F">
      <w:pPr>
        <w:rPr>
          <w:rFonts w:ascii="Arial" w:hAnsi="Arial" w:cs="Arial"/>
          <w:szCs w:val="24"/>
        </w:rPr>
      </w:pPr>
    </w:p>
    <w:p w14:paraId="51588793" w14:textId="191ACA87" w:rsidR="00D25C46" w:rsidRPr="00CD61BE" w:rsidRDefault="00785A90" w:rsidP="0067514F">
      <w:pPr>
        <w:pStyle w:val="ListParagraph"/>
        <w:numPr>
          <w:ilvl w:val="0"/>
          <w:numId w:val="2"/>
        </w:numPr>
        <w:spacing w:after="0" w:line="240" w:lineRule="auto"/>
        <w:rPr>
          <w:rFonts w:ascii="Arial" w:hAnsi="Arial" w:cs="Arial"/>
          <w:sz w:val="24"/>
          <w:szCs w:val="24"/>
        </w:rPr>
      </w:pPr>
      <w:r w:rsidRPr="00CD61BE">
        <w:rPr>
          <w:rFonts w:ascii="Arial" w:hAnsi="Arial" w:cs="Arial"/>
          <w:sz w:val="24"/>
          <w:szCs w:val="24"/>
        </w:rPr>
        <w:t>Staff strongly support</w:t>
      </w:r>
      <w:r w:rsidR="00572092" w:rsidRPr="00CD61BE">
        <w:rPr>
          <w:rFonts w:ascii="Arial" w:hAnsi="Arial" w:cs="Arial"/>
          <w:sz w:val="24"/>
          <w:szCs w:val="24"/>
        </w:rPr>
        <w:t xml:space="preserve"> streamlining the </w:t>
      </w:r>
      <w:r w:rsidR="00133260" w:rsidRPr="00CD61BE">
        <w:rPr>
          <w:rFonts w:ascii="Arial" w:hAnsi="Arial" w:cs="Arial"/>
          <w:sz w:val="24"/>
          <w:szCs w:val="24"/>
        </w:rPr>
        <w:t>Source Protection Plan</w:t>
      </w:r>
      <w:r w:rsidR="00D25C46" w:rsidRPr="00CD61BE">
        <w:rPr>
          <w:rFonts w:ascii="Arial" w:hAnsi="Arial" w:cs="Arial"/>
          <w:sz w:val="24"/>
          <w:szCs w:val="24"/>
        </w:rPr>
        <w:t xml:space="preserve"> amendment process as outlined in the posting</w:t>
      </w:r>
      <w:r w:rsidR="00766F9D" w:rsidRPr="00CD61BE">
        <w:rPr>
          <w:rFonts w:ascii="Arial" w:hAnsi="Arial" w:cs="Arial"/>
          <w:sz w:val="24"/>
          <w:szCs w:val="24"/>
        </w:rPr>
        <w:t xml:space="preserve"> related to expanded use of Section 51, </w:t>
      </w:r>
      <w:r w:rsidR="00514FD9" w:rsidRPr="00CD61BE">
        <w:rPr>
          <w:rFonts w:ascii="Arial" w:hAnsi="Arial" w:cs="Arial"/>
          <w:sz w:val="24"/>
          <w:szCs w:val="24"/>
        </w:rPr>
        <w:t xml:space="preserve">proposed ability for </w:t>
      </w:r>
      <w:r w:rsidR="00766F9D" w:rsidRPr="00CD61BE">
        <w:rPr>
          <w:rFonts w:ascii="Arial" w:hAnsi="Arial" w:cs="Arial"/>
          <w:sz w:val="24"/>
          <w:szCs w:val="24"/>
        </w:rPr>
        <w:t>Source Protection Authority Approval</w:t>
      </w:r>
      <w:r w:rsidR="00514FD9" w:rsidRPr="00CD61BE">
        <w:rPr>
          <w:rFonts w:ascii="Arial" w:hAnsi="Arial" w:cs="Arial"/>
          <w:sz w:val="24"/>
          <w:szCs w:val="24"/>
        </w:rPr>
        <w:t xml:space="preserve"> and </w:t>
      </w:r>
      <w:r w:rsidR="00A32B16" w:rsidRPr="00CD61BE">
        <w:rPr>
          <w:rFonts w:ascii="Arial" w:hAnsi="Arial" w:cs="Arial"/>
          <w:sz w:val="24"/>
          <w:szCs w:val="24"/>
        </w:rPr>
        <w:t xml:space="preserve">clarified scope and </w:t>
      </w:r>
      <w:proofErr w:type="gramStart"/>
      <w:r w:rsidR="00ED0021">
        <w:rPr>
          <w:rFonts w:ascii="Arial" w:hAnsi="Arial" w:cs="Arial"/>
          <w:sz w:val="24"/>
          <w:szCs w:val="24"/>
        </w:rPr>
        <w:t>120 day</w:t>
      </w:r>
      <w:proofErr w:type="gramEnd"/>
      <w:r w:rsidR="00ED0021">
        <w:rPr>
          <w:rFonts w:ascii="Arial" w:hAnsi="Arial" w:cs="Arial"/>
          <w:sz w:val="24"/>
          <w:szCs w:val="24"/>
        </w:rPr>
        <w:t xml:space="preserve"> </w:t>
      </w:r>
      <w:r w:rsidR="00A32B16" w:rsidRPr="00CD61BE">
        <w:rPr>
          <w:rFonts w:ascii="Arial" w:hAnsi="Arial" w:cs="Arial"/>
          <w:sz w:val="24"/>
          <w:szCs w:val="24"/>
        </w:rPr>
        <w:t xml:space="preserve">timelines for Minister approval.  </w:t>
      </w:r>
      <w:proofErr w:type="gramStart"/>
      <w:r w:rsidR="00A32B16" w:rsidRPr="00CD61BE">
        <w:rPr>
          <w:rFonts w:ascii="Arial" w:hAnsi="Arial" w:cs="Arial"/>
          <w:sz w:val="24"/>
          <w:szCs w:val="24"/>
        </w:rPr>
        <w:t>All of</w:t>
      </w:r>
      <w:proofErr w:type="gramEnd"/>
      <w:r w:rsidR="00A32B16" w:rsidRPr="00CD61BE">
        <w:rPr>
          <w:rFonts w:ascii="Arial" w:hAnsi="Arial" w:cs="Arial"/>
          <w:sz w:val="24"/>
          <w:szCs w:val="24"/>
        </w:rPr>
        <w:t xml:space="preserve"> these </w:t>
      </w:r>
      <w:r w:rsidR="005A1012" w:rsidRPr="00CD61BE">
        <w:rPr>
          <w:rFonts w:ascii="Arial" w:hAnsi="Arial" w:cs="Arial"/>
          <w:sz w:val="24"/>
          <w:szCs w:val="24"/>
        </w:rPr>
        <w:t>proposed changes will accelerate the Source Protection Plan amendment process</w:t>
      </w:r>
      <w:r w:rsidR="00CD61BE">
        <w:rPr>
          <w:rFonts w:ascii="Arial" w:hAnsi="Arial" w:cs="Arial"/>
          <w:sz w:val="24"/>
          <w:szCs w:val="24"/>
        </w:rPr>
        <w:t xml:space="preserve"> and support </w:t>
      </w:r>
      <w:r w:rsidR="00CE4354">
        <w:rPr>
          <w:rFonts w:ascii="Arial" w:hAnsi="Arial" w:cs="Arial"/>
          <w:sz w:val="24"/>
          <w:szCs w:val="24"/>
        </w:rPr>
        <w:t>growth</w:t>
      </w:r>
      <w:r w:rsidR="005A1012" w:rsidRPr="00CD61BE">
        <w:rPr>
          <w:rFonts w:ascii="Arial" w:hAnsi="Arial" w:cs="Arial"/>
          <w:sz w:val="24"/>
          <w:szCs w:val="24"/>
        </w:rPr>
        <w:t>.</w:t>
      </w:r>
    </w:p>
    <w:p w14:paraId="1AB8F124" w14:textId="77777777" w:rsidR="00D25C46" w:rsidRPr="00CD61BE" w:rsidRDefault="00D25C46" w:rsidP="00D25C46">
      <w:pPr>
        <w:rPr>
          <w:rFonts w:ascii="Arial" w:hAnsi="Arial" w:cs="Arial"/>
          <w:szCs w:val="24"/>
        </w:rPr>
      </w:pPr>
    </w:p>
    <w:p w14:paraId="52BB9B35" w14:textId="644FA2B5" w:rsidR="001F0EA9" w:rsidRPr="00CD61BE" w:rsidRDefault="0007787D" w:rsidP="0067514F">
      <w:pPr>
        <w:pStyle w:val="ListParagraph"/>
        <w:numPr>
          <w:ilvl w:val="0"/>
          <w:numId w:val="2"/>
        </w:numPr>
        <w:spacing w:after="0" w:line="240" w:lineRule="auto"/>
        <w:rPr>
          <w:rFonts w:ascii="Arial" w:hAnsi="Arial" w:cs="Arial"/>
          <w:sz w:val="24"/>
          <w:szCs w:val="24"/>
        </w:rPr>
      </w:pPr>
      <w:r w:rsidRPr="00CD61BE">
        <w:rPr>
          <w:rFonts w:ascii="Arial" w:hAnsi="Arial" w:cs="Arial"/>
          <w:sz w:val="24"/>
          <w:szCs w:val="24"/>
        </w:rPr>
        <w:t>In addition to the proposed examples to be added under Section 51</w:t>
      </w:r>
      <w:r w:rsidR="00CE4354">
        <w:rPr>
          <w:rFonts w:ascii="Arial" w:hAnsi="Arial" w:cs="Arial"/>
          <w:sz w:val="24"/>
          <w:szCs w:val="24"/>
        </w:rPr>
        <w:t xml:space="preserve"> or under the Source Protection Authority Approval</w:t>
      </w:r>
      <w:r w:rsidRPr="00CD61BE">
        <w:rPr>
          <w:rFonts w:ascii="Arial" w:hAnsi="Arial" w:cs="Arial"/>
          <w:sz w:val="24"/>
          <w:szCs w:val="24"/>
        </w:rPr>
        <w:t xml:space="preserve">, </w:t>
      </w:r>
      <w:r w:rsidR="00A0271C" w:rsidRPr="00CD61BE">
        <w:rPr>
          <w:rFonts w:ascii="Arial" w:hAnsi="Arial" w:cs="Arial"/>
          <w:sz w:val="24"/>
          <w:szCs w:val="24"/>
        </w:rPr>
        <w:t>the Ministry should consider also adding the following</w:t>
      </w:r>
      <w:r w:rsidR="002546DF" w:rsidRPr="00CD61BE">
        <w:rPr>
          <w:rFonts w:ascii="Arial" w:hAnsi="Arial" w:cs="Arial"/>
          <w:sz w:val="24"/>
          <w:szCs w:val="24"/>
        </w:rPr>
        <w:t xml:space="preserve">.  </w:t>
      </w:r>
      <w:r w:rsidR="005C0820">
        <w:rPr>
          <w:rFonts w:ascii="Arial" w:hAnsi="Arial" w:cs="Arial"/>
          <w:sz w:val="24"/>
          <w:szCs w:val="24"/>
        </w:rPr>
        <w:t xml:space="preserve">We would be supportive of these scenarios </w:t>
      </w:r>
      <w:r w:rsidR="00CE758C">
        <w:rPr>
          <w:rFonts w:ascii="Arial" w:hAnsi="Arial" w:cs="Arial"/>
          <w:sz w:val="24"/>
          <w:szCs w:val="24"/>
        </w:rPr>
        <w:t xml:space="preserve">being allowed to provide water to residents without a restriction on the Municipal Drinking Water Licence.  </w:t>
      </w:r>
      <w:r w:rsidR="002546DF" w:rsidRPr="00CD61BE">
        <w:rPr>
          <w:rFonts w:ascii="Arial" w:hAnsi="Arial" w:cs="Arial"/>
          <w:sz w:val="24"/>
          <w:szCs w:val="24"/>
        </w:rPr>
        <w:t xml:space="preserve">Please note that our municipalities have specific examples for </w:t>
      </w:r>
      <w:r w:rsidR="009F172C" w:rsidRPr="00CD61BE">
        <w:rPr>
          <w:rFonts w:ascii="Arial" w:hAnsi="Arial" w:cs="Arial"/>
          <w:sz w:val="24"/>
          <w:szCs w:val="24"/>
        </w:rPr>
        <w:t>comments 2 a) through d) and would be pleased to share those for illustration purposes.</w:t>
      </w:r>
    </w:p>
    <w:p w14:paraId="56F3551B" w14:textId="77777777" w:rsidR="00A0271C" w:rsidRPr="00CD61BE" w:rsidRDefault="00A0271C" w:rsidP="00A0271C">
      <w:pPr>
        <w:pStyle w:val="ListParagraph"/>
        <w:rPr>
          <w:rFonts w:ascii="Arial" w:hAnsi="Arial" w:cs="Arial"/>
          <w:sz w:val="24"/>
          <w:szCs w:val="24"/>
        </w:rPr>
      </w:pPr>
    </w:p>
    <w:p w14:paraId="76132159" w14:textId="2377C71B" w:rsidR="00A0271C" w:rsidRPr="00CD61BE" w:rsidRDefault="00CE4354" w:rsidP="00A0271C">
      <w:pPr>
        <w:pStyle w:val="ListParagraph"/>
        <w:numPr>
          <w:ilvl w:val="1"/>
          <w:numId w:val="2"/>
        </w:numPr>
        <w:spacing w:after="0" w:line="240" w:lineRule="auto"/>
        <w:rPr>
          <w:rFonts w:ascii="Arial" w:hAnsi="Arial" w:cs="Arial"/>
          <w:sz w:val="24"/>
          <w:szCs w:val="24"/>
        </w:rPr>
      </w:pPr>
      <w:r>
        <w:rPr>
          <w:rFonts w:ascii="Arial" w:hAnsi="Arial" w:cs="Arial"/>
          <w:sz w:val="24"/>
          <w:szCs w:val="24"/>
        </w:rPr>
        <w:t>Added to Section 51, m</w:t>
      </w:r>
      <w:r w:rsidR="002E52A4" w:rsidRPr="00CD61BE">
        <w:rPr>
          <w:rFonts w:ascii="Arial" w:hAnsi="Arial" w:cs="Arial"/>
          <w:sz w:val="24"/>
          <w:szCs w:val="24"/>
        </w:rPr>
        <w:t xml:space="preserve">apping updates </w:t>
      </w:r>
      <w:r w:rsidR="00D1430C" w:rsidRPr="00CD61BE">
        <w:rPr>
          <w:rFonts w:ascii="Arial" w:hAnsi="Arial" w:cs="Arial"/>
          <w:sz w:val="24"/>
          <w:szCs w:val="24"/>
        </w:rPr>
        <w:t>related to impervious surface, managed lands and livestock density analysis</w:t>
      </w:r>
      <w:r w:rsidR="001D6794" w:rsidRPr="00CD61BE">
        <w:rPr>
          <w:rFonts w:ascii="Arial" w:hAnsi="Arial" w:cs="Arial"/>
          <w:sz w:val="24"/>
          <w:szCs w:val="24"/>
        </w:rPr>
        <w:t xml:space="preserve">.  </w:t>
      </w:r>
      <w:r w:rsidR="00DF7707" w:rsidRPr="00CD61BE">
        <w:rPr>
          <w:rFonts w:ascii="Arial" w:hAnsi="Arial" w:cs="Arial"/>
          <w:sz w:val="24"/>
          <w:szCs w:val="24"/>
        </w:rPr>
        <w:t xml:space="preserve">Certain </w:t>
      </w:r>
      <w:r w:rsidR="001D6794" w:rsidRPr="00CD61BE">
        <w:rPr>
          <w:rFonts w:ascii="Arial" w:hAnsi="Arial" w:cs="Arial"/>
          <w:sz w:val="24"/>
          <w:szCs w:val="24"/>
        </w:rPr>
        <w:t xml:space="preserve">chemical significant drinking water threats are tied to </w:t>
      </w:r>
      <w:r w:rsidR="00DF7707" w:rsidRPr="00CD61BE">
        <w:rPr>
          <w:rFonts w:ascii="Arial" w:hAnsi="Arial" w:cs="Arial"/>
          <w:sz w:val="24"/>
          <w:szCs w:val="24"/>
        </w:rPr>
        <w:t xml:space="preserve">these </w:t>
      </w:r>
      <w:proofErr w:type="gramStart"/>
      <w:r w:rsidR="00DF7707" w:rsidRPr="00CD61BE">
        <w:rPr>
          <w:rFonts w:ascii="Arial" w:hAnsi="Arial" w:cs="Arial"/>
          <w:sz w:val="24"/>
          <w:szCs w:val="24"/>
        </w:rPr>
        <w:t>maps</w:t>
      </w:r>
      <w:proofErr w:type="gramEnd"/>
      <w:r w:rsidR="00DF7707" w:rsidRPr="00CD61BE">
        <w:rPr>
          <w:rFonts w:ascii="Arial" w:hAnsi="Arial" w:cs="Arial"/>
          <w:sz w:val="24"/>
          <w:szCs w:val="24"/>
        </w:rPr>
        <w:t xml:space="preserve"> and these maps </w:t>
      </w:r>
      <w:r w:rsidR="00DF7707" w:rsidRPr="00CD61BE">
        <w:rPr>
          <w:rFonts w:ascii="Arial" w:hAnsi="Arial" w:cs="Arial"/>
          <w:sz w:val="24"/>
          <w:szCs w:val="24"/>
        </w:rPr>
        <w:lastRenderedPageBreak/>
        <w:t xml:space="preserve">are based on GIS analysis that becomes stale dated </w:t>
      </w:r>
      <w:r w:rsidR="00CE3F51" w:rsidRPr="00CD61BE">
        <w:rPr>
          <w:rFonts w:ascii="Arial" w:hAnsi="Arial" w:cs="Arial"/>
          <w:sz w:val="24"/>
          <w:szCs w:val="24"/>
        </w:rPr>
        <w:t xml:space="preserve">quickly due to air photo updates and landscape changes.  A quicker process would be beneficial to update this mapping to allow </w:t>
      </w:r>
      <w:r w:rsidR="00B96511" w:rsidRPr="00CD61BE">
        <w:rPr>
          <w:rFonts w:ascii="Arial" w:hAnsi="Arial" w:cs="Arial"/>
          <w:sz w:val="24"/>
          <w:szCs w:val="24"/>
        </w:rPr>
        <w:t xml:space="preserve">regulation of significant drinking water threats on the landscape.  For example, impervious surface often changes quickly </w:t>
      </w:r>
      <w:r w:rsidR="000718DB" w:rsidRPr="00CD61BE">
        <w:rPr>
          <w:rFonts w:ascii="Arial" w:hAnsi="Arial" w:cs="Arial"/>
          <w:sz w:val="24"/>
          <w:szCs w:val="24"/>
        </w:rPr>
        <w:t>as buildings and roads are built, however, some approved Assessment Report impervious surface mapping is based on air photos from over ten years ago.</w:t>
      </w:r>
    </w:p>
    <w:p w14:paraId="40290FD1" w14:textId="77777777" w:rsidR="00F35640" w:rsidRPr="00CD61BE" w:rsidRDefault="00F35640" w:rsidP="00D675BA">
      <w:pPr>
        <w:pStyle w:val="ListParagraph"/>
        <w:spacing w:after="0" w:line="240" w:lineRule="auto"/>
        <w:ind w:left="1440"/>
        <w:rPr>
          <w:rFonts w:ascii="Arial" w:hAnsi="Arial" w:cs="Arial"/>
          <w:sz w:val="24"/>
          <w:szCs w:val="24"/>
        </w:rPr>
      </w:pPr>
    </w:p>
    <w:p w14:paraId="24E228D0" w14:textId="5E9BAF9A" w:rsidR="00D675BA" w:rsidRPr="00CD61BE" w:rsidRDefault="00CE4354" w:rsidP="00D675BA">
      <w:pPr>
        <w:pStyle w:val="ListParagraph"/>
        <w:numPr>
          <w:ilvl w:val="1"/>
          <w:numId w:val="2"/>
        </w:numPr>
        <w:spacing w:after="0" w:line="240" w:lineRule="auto"/>
        <w:rPr>
          <w:rFonts w:ascii="Arial" w:hAnsi="Arial" w:cs="Arial"/>
          <w:sz w:val="24"/>
          <w:szCs w:val="24"/>
        </w:rPr>
      </w:pPr>
      <w:r>
        <w:rPr>
          <w:rFonts w:ascii="Arial" w:hAnsi="Arial" w:cs="Arial"/>
          <w:sz w:val="24"/>
          <w:szCs w:val="24"/>
        </w:rPr>
        <w:t>Add to Section 51, r</w:t>
      </w:r>
      <w:r w:rsidR="00F35640" w:rsidRPr="00CD61BE">
        <w:rPr>
          <w:rFonts w:ascii="Arial" w:hAnsi="Arial" w:cs="Arial"/>
          <w:sz w:val="24"/>
          <w:szCs w:val="24"/>
        </w:rPr>
        <w:t xml:space="preserve">eplacement </w:t>
      </w:r>
      <w:r w:rsidR="002E5BEA">
        <w:rPr>
          <w:rFonts w:ascii="Arial" w:hAnsi="Arial" w:cs="Arial"/>
          <w:sz w:val="24"/>
          <w:szCs w:val="24"/>
        </w:rPr>
        <w:t>w</w:t>
      </w:r>
      <w:r w:rsidR="00F35640" w:rsidRPr="00CD61BE">
        <w:rPr>
          <w:rFonts w:ascii="Arial" w:hAnsi="Arial" w:cs="Arial"/>
          <w:sz w:val="24"/>
          <w:szCs w:val="24"/>
        </w:rPr>
        <w:t xml:space="preserve">ells or </w:t>
      </w:r>
      <w:r w:rsidR="002E5BEA">
        <w:rPr>
          <w:rFonts w:ascii="Arial" w:hAnsi="Arial" w:cs="Arial"/>
          <w:sz w:val="24"/>
          <w:szCs w:val="24"/>
        </w:rPr>
        <w:t>i</w:t>
      </w:r>
      <w:r w:rsidR="00F35640" w:rsidRPr="00CD61BE">
        <w:rPr>
          <w:rFonts w:ascii="Arial" w:hAnsi="Arial" w:cs="Arial"/>
          <w:sz w:val="24"/>
          <w:szCs w:val="24"/>
        </w:rPr>
        <w:t>ntakes</w:t>
      </w:r>
      <w:r w:rsidR="0037565A" w:rsidRPr="00CD61BE">
        <w:rPr>
          <w:rFonts w:ascii="Arial" w:hAnsi="Arial" w:cs="Arial"/>
          <w:sz w:val="24"/>
          <w:szCs w:val="24"/>
        </w:rPr>
        <w:t xml:space="preserve">.  We support the proposed </w:t>
      </w:r>
      <w:r w:rsidR="00385ED5" w:rsidRPr="00CD61BE">
        <w:rPr>
          <w:rFonts w:ascii="Arial" w:hAnsi="Arial" w:cs="Arial"/>
          <w:sz w:val="24"/>
          <w:szCs w:val="24"/>
        </w:rPr>
        <w:t>changes</w:t>
      </w:r>
      <w:r w:rsidR="0037565A" w:rsidRPr="00CD61BE">
        <w:rPr>
          <w:rFonts w:ascii="Arial" w:hAnsi="Arial" w:cs="Arial"/>
          <w:sz w:val="24"/>
          <w:szCs w:val="24"/>
        </w:rPr>
        <w:t>, however</w:t>
      </w:r>
      <w:proofErr w:type="gramStart"/>
      <w:r w:rsidR="0037565A" w:rsidRPr="00CD61BE">
        <w:rPr>
          <w:rFonts w:ascii="Arial" w:hAnsi="Arial" w:cs="Arial"/>
          <w:sz w:val="24"/>
          <w:szCs w:val="24"/>
        </w:rPr>
        <w:t>, suggest</w:t>
      </w:r>
      <w:proofErr w:type="gramEnd"/>
      <w:r w:rsidR="0037565A" w:rsidRPr="00CD61BE">
        <w:rPr>
          <w:rFonts w:ascii="Arial" w:hAnsi="Arial" w:cs="Arial"/>
          <w:sz w:val="24"/>
          <w:szCs w:val="24"/>
        </w:rPr>
        <w:t xml:space="preserve"> that </w:t>
      </w:r>
      <w:proofErr w:type="gramStart"/>
      <w:r w:rsidR="0037565A" w:rsidRPr="00CD61BE">
        <w:rPr>
          <w:rFonts w:ascii="Arial" w:hAnsi="Arial" w:cs="Arial"/>
          <w:sz w:val="24"/>
          <w:szCs w:val="24"/>
        </w:rPr>
        <w:t>it</w:t>
      </w:r>
      <w:proofErr w:type="gramEnd"/>
      <w:r w:rsidR="0037565A" w:rsidRPr="00CD61BE">
        <w:rPr>
          <w:rFonts w:ascii="Arial" w:hAnsi="Arial" w:cs="Arial"/>
          <w:sz w:val="24"/>
          <w:szCs w:val="24"/>
        </w:rPr>
        <w:t xml:space="preserve"> be broadened to also include wells or intakes within source protection plans that do not reflect the most recent technical rules.  Often our fastest growing municipalities are within Source Protection Regions that have the largest and most complex Source Protection Plans to update (ie CTC, Grand River).  The current Section 36 process and future update</w:t>
      </w:r>
      <w:r w:rsidR="00FA27EA" w:rsidRPr="00CD61BE">
        <w:rPr>
          <w:rFonts w:ascii="Arial" w:hAnsi="Arial" w:cs="Arial"/>
          <w:sz w:val="24"/>
          <w:szCs w:val="24"/>
        </w:rPr>
        <w:t xml:space="preserve"> process to reflect future technical rule changes take years.  Water </w:t>
      </w:r>
      <w:r w:rsidR="00F11779" w:rsidRPr="00CD61BE">
        <w:rPr>
          <w:rFonts w:ascii="Arial" w:hAnsi="Arial" w:cs="Arial"/>
          <w:sz w:val="24"/>
          <w:szCs w:val="24"/>
        </w:rPr>
        <w:t xml:space="preserve">being distributed to residents should not be held up for a replacement well or intake that happens to </w:t>
      </w:r>
      <w:proofErr w:type="gramStart"/>
      <w:r w:rsidR="00F11779" w:rsidRPr="00CD61BE">
        <w:rPr>
          <w:rFonts w:ascii="Arial" w:hAnsi="Arial" w:cs="Arial"/>
          <w:sz w:val="24"/>
          <w:szCs w:val="24"/>
        </w:rPr>
        <w:t>be located in</w:t>
      </w:r>
      <w:proofErr w:type="gramEnd"/>
      <w:r w:rsidR="00F11779" w:rsidRPr="00CD61BE">
        <w:rPr>
          <w:rFonts w:ascii="Arial" w:hAnsi="Arial" w:cs="Arial"/>
          <w:sz w:val="24"/>
          <w:szCs w:val="24"/>
        </w:rPr>
        <w:t xml:space="preserve"> a more complex Source Protection Plan.</w:t>
      </w:r>
      <w:r w:rsidR="00092B17" w:rsidRPr="00CD61BE">
        <w:rPr>
          <w:rFonts w:ascii="Arial" w:hAnsi="Arial" w:cs="Arial"/>
          <w:sz w:val="24"/>
          <w:szCs w:val="24"/>
        </w:rPr>
        <w:t xml:space="preserve">  The remaining of the municipal system is still being protected under the previous technical rules and a slight change in mapped vulnerable areas for a replacement well should not result in years of delay </w:t>
      </w:r>
      <w:proofErr w:type="gramStart"/>
      <w:r w:rsidR="00092B17" w:rsidRPr="00CD61BE">
        <w:rPr>
          <w:rFonts w:ascii="Arial" w:hAnsi="Arial" w:cs="Arial"/>
          <w:sz w:val="24"/>
          <w:szCs w:val="24"/>
        </w:rPr>
        <w:t>to bring</w:t>
      </w:r>
      <w:proofErr w:type="gramEnd"/>
      <w:r w:rsidR="00092B17" w:rsidRPr="00CD61BE">
        <w:rPr>
          <w:rFonts w:ascii="Arial" w:hAnsi="Arial" w:cs="Arial"/>
          <w:sz w:val="24"/>
          <w:szCs w:val="24"/>
        </w:rPr>
        <w:t xml:space="preserve"> that replacement well online.</w:t>
      </w:r>
    </w:p>
    <w:p w14:paraId="7FB1C25E" w14:textId="77777777" w:rsidR="00D675BA" w:rsidRPr="00CD61BE" w:rsidRDefault="00D675BA" w:rsidP="00D675BA">
      <w:pPr>
        <w:pStyle w:val="ListParagraph"/>
        <w:rPr>
          <w:rFonts w:ascii="Arial" w:hAnsi="Arial" w:cs="Arial"/>
          <w:sz w:val="24"/>
          <w:szCs w:val="24"/>
        </w:rPr>
      </w:pPr>
    </w:p>
    <w:p w14:paraId="1F399910" w14:textId="14E73F6B" w:rsidR="00D675BA" w:rsidRPr="00CD61BE" w:rsidRDefault="002E5BEA" w:rsidP="00D675BA">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Add to Section </w:t>
      </w:r>
      <w:proofErr w:type="gramStart"/>
      <w:r>
        <w:rPr>
          <w:rFonts w:ascii="Arial" w:hAnsi="Arial" w:cs="Arial"/>
          <w:sz w:val="24"/>
          <w:szCs w:val="24"/>
        </w:rPr>
        <w:t>51,b</w:t>
      </w:r>
      <w:r w:rsidR="00D675BA" w:rsidRPr="00CD61BE">
        <w:rPr>
          <w:rFonts w:ascii="Arial" w:hAnsi="Arial" w:cs="Arial"/>
          <w:sz w:val="24"/>
          <w:szCs w:val="24"/>
        </w:rPr>
        <w:t>ack</w:t>
      </w:r>
      <w:proofErr w:type="gramEnd"/>
      <w:r w:rsidR="00D675BA" w:rsidRPr="00CD61BE">
        <w:rPr>
          <w:rFonts w:ascii="Arial" w:hAnsi="Arial" w:cs="Arial"/>
          <w:sz w:val="24"/>
          <w:szCs w:val="24"/>
        </w:rPr>
        <w:t xml:space="preserve">-up </w:t>
      </w:r>
      <w:r>
        <w:rPr>
          <w:rFonts w:ascii="Arial" w:hAnsi="Arial" w:cs="Arial"/>
          <w:sz w:val="24"/>
          <w:szCs w:val="24"/>
        </w:rPr>
        <w:t>w</w:t>
      </w:r>
      <w:r w:rsidR="00D675BA" w:rsidRPr="00CD61BE">
        <w:rPr>
          <w:rFonts w:ascii="Arial" w:hAnsi="Arial" w:cs="Arial"/>
          <w:sz w:val="24"/>
          <w:szCs w:val="24"/>
        </w:rPr>
        <w:t xml:space="preserve">ells or </w:t>
      </w:r>
      <w:r>
        <w:rPr>
          <w:rFonts w:ascii="Arial" w:hAnsi="Arial" w:cs="Arial"/>
          <w:sz w:val="24"/>
          <w:szCs w:val="24"/>
        </w:rPr>
        <w:t>i</w:t>
      </w:r>
      <w:r w:rsidR="00D675BA" w:rsidRPr="00CD61BE">
        <w:rPr>
          <w:rFonts w:ascii="Arial" w:hAnsi="Arial" w:cs="Arial"/>
          <w:sz w:val="24"/>
          <w:szCs w:val="24"/>
        </w:rPr>
        <w:t xml:space="preserve">ntakes.  The proposed </w:t>
      </w:r>
      <w:r w:rsidR="00385ED5" w:rsidRPr="00CD61BE">
        <w:rPr>
          <w:rFonts w:ascii="Arial" w:hAnsi="Arial" w:cs="Arial"/>
          <w:sz w:val="24"/>
          <w:szCs w:val="24"/>
        </w:rPr>
        <w:t>changes</w:t>
      </w:r>
      <w:r w:rsidR="00D675BA" w:rsidRPr="00CD61BE">
        <w:rPr>
          <w:rFonts w:ascii="Arial" w:hAnsi="Arial" w:cs="Arial"/>
          <w:sz w:val="24"/>
          <w:szCs w:val="24"/>
        </w:rPr>
        <w:t xml:space="preserve">, including our </w:t>
      </w:r>
      <w:r w:rsidR="00385ED5" w:rsidRPr="00CD61BE">
        <w:rPr>
          <w:rFonts w:ascii="Arial" w:hAnsi="Arial" w:cs="Arial"/>
          <w:sz w:val="24"/>
          <w:szCs w:val="24"/>
        </w:rPr>
        <w:t>recommendation above, should also apply to back-up wells or intakes</w:t>
      </w:r>
      <w:r w:rsidR="001D11C5" w:rsidRPr="00CD61BE">
        <w:rPr>
          <w:rFonts w:ascii="Arial" w:hAnsi="Arial" w:cs="Arial"/>
          <w:sz w:val="24"/>
          <w:szCs w:val="24"/>
        </w:rPr>
        <w:t xml:space="preserve"> that are being installed</w:t>
      </w:r>
      <w:r w:rsidR="00DB2538" w:rsidRPr="00CD61BE">
        <w:rPr>
          <w:rFonts w:ascii="Arial" w:hAnsi="Arial" w:cs="Arial"/>
          <w:sz w:val="24"/>
          <w:szCs w:val="24"/>
        </w:rPr>
        <w:t xml:space="preserve">.  Back-up wells or intakes are </w:t>
      </w:r>
      <w:proofErr w:type="gramStart"/>
      <w:r w:rsidR="00DB2538" w:rsidRPr="00CD61BE">
        <w:rPr>
          <w:rFonts w:ascii="Arial" w:hAnsi="Arial" w:cs="Arial"/>
          <w:sz w:val="24"/>
          <w:szCs w:val="24"/>
        </w:rPr>
        <w:t>similar to</w:t>
      </w:r>
      <w:proofErr w:type="gramEnd"/>
      <w:r w:rsidR="00DB2538" w:rsidRPr="00CD61BE">
        <w:rPr>
          <w:rFonts w:ascii="Arial" w:hAnsi="Arial" w:cs="Arial"/>
          <w:sz w:val="24"/>
          <w:szCs w:val="24"/>
        </w:rPr>
        <w:t xml:space="preserve"> replacement wells or intakes</w:t>
      </w:r>
      <w:r w:rsidR="008040DA" w:rsidRPr="00CD61BE">
        <w:rPr>
          <w:rFonts w:ascii="Arial" w:hAnsi="Arial" w:cs="Arial"/>
          <w:sz w:val="24"/>
          <w:szCs w:val="24"/>
        </w:rPr>
        <w:t xml:space="preserve"> as they are often located </w:t>
      </w:r>
      <w:proofErr w:type="gramStart"/>
      <w:r w:rsidR="008040DA" w:rsidRPr="00CD61BE">
        <w:rPr>
          <w:rFonts w:ascii="Arial" w:hAnsi="Arial" w:cs="Arial"/>
          <w:sz w:val="24"/>
          <w:szCs w:val="24"/>
        </w:rPr>
        <w:t>in close proximity to</w:t>
      </w:r>
      <w:proofErr w:type="gramEnd"/>
      <w:r w:rsidR="008040DA" w:rsidRPr="00CD61BE">
        <w:rPr>
          <w:rFonts w:ascii="Arial" w:hAnsi="Arial" w:cs="Arial"/>
          <w:sz w:val="24"/>
          <w:szCs w:val="24"/>
        </w:rPr>
        <w:t xml:space="preserve"> the original wells or intakes and result in slight changes to the mapped vulnerable areas.</w:t>
      </w:r>
      <w:r w:rsidR="00865E82" w:rsidRPr="00CD61BE">
        <w:rPr>
          <w:rFonts w:ascii="Arial" w:hAnsi="Arial" w:cs="Arial"/>
          <w:sz w:val="24"/>
          <w:szCs w:val="24"/>
        </w:rPr>
        <w:t xml:space="preserve">  It is our experience that, </w:t>
      </w:r>
      <w:proofErr w:type="gramStart"/>
      <w:r w:rsidR="00865E82" w:rsidRPr="00CD61BE">
        <w:rPr>
          <w:rFonts w:ascii="Arial" w:hAnsi="Arial" w:cs="Arial"/>
          <w:sz w:val="24"/>
          <w:szCs w:val="24"/>
        </w:rPr>
        <w:t>similar to</w:t>
      </w:r>
      <w:proofErr w:type="gramEnd"/>
      <w:r w:rsidR="00865E82" w:rsidRPr="00CD61BE">
        <w:rPr>
          <w:rFonts w:ascii="Arial" w:hAnsi="Arial" w:cs="Arial"/>
          <w:sz w:val="24"/>
          <w:szCs w:val="24"/>
        </w:rPr>
        <w:t xml:space="preserve"> replacement wells or intakes, back-up wells or intakes can be installed in locations that do not generate new significant drinking water threat activit</w:t>
      </w:r>
      <w:r w:rsidR="00611CB9" w:rsidRPr="00CD61BE">
        <w:rPr>
          <w:rFonts w:ascii="Arial" w:hAnsi="Arial" w:cs="Arial"/>
          <w:sz w:val="24"/>
          <w:szCs w:val="24"/>
        </w:rPr>
        <w:t xml:space="preserve">ies and result in a slight change to the mapped vulnerable areas.  We have experienced back-up wells </w:t>
      </w:r>
      <w:r w:rsidR="009C69B7" w:rsidRPr="00CD61BE">
        <w:rPr>
          <w:rFonts w:ascii="Arial" w:hAnsi="Arial" w:cs="Arial"/>
          <w:sz w:val="24"/>
          <w:szCs w:val="24"/>
        </w:rPr>
        <w:t xml:space="preserve">delayed for years to come online </w:t>
      </w:r>
      <w:r w:rsidR="00325C92" w:rsidRPr="00CD61BE">
        <w:rPr>
          <w:rFonts w:ascii="Arial" w:hAnsi="Arial" w:cs="Arial"/>
          <w:sz w:val="24"/>
          <w:szCs w:val="24"/>
        </w:rPr>
        <w:t>as they are required to go through the same Source Protection Plan amendment process as a new well in a new location.</w:t>
      </w:r>
    </w:p>
    <w:p w14:paraId="523203E1" w14:textId="77777777" w:rsidR="0006096B" w:rsidRPr="00CD61BE" w:rsidRDefault="0006096B" w:rsidP="0006096B">
      <w:pPr>
        <w:pStyle w:val="ListParagraph"/>
        <w:rPr>
          <w:rFonts w:ascii="Arial" w:hAnsi="Arial" w:cs="Arial"/>
          <w:sz w:val="24"/>
          <w:szCs w:val="24"/>
        </w:rPr>
      </w:pPr>
    </w:p>
    <w:p w14:paraId="3696CC8D" w14:textId="2D4D4339" w:rsidR="0006096B" w:rsidRPr="00CD61BE" w:rsidRDefault="00E67708" w:rsidP="00D675BA">
      <w:pPr>
        <w:pStyle w:val="ListParagraph"/>
        <w:numPr>
          <w:ilvl w:val="1"/>
          <w:numId w:val="2"/>
        </w:numPr>
        <w:spacing w:after="0" w:line="240" w:lineRule="auto"/>
        <w:rPr>
          <w:rFonts w:ascii="Arial" w:hAnsi="Arial" w:cs="Arial"/>
          <w:sz w:val="24"/>
          <w:szCs w:val="24"/>
        </w:rPr>
      </w:pPr>
      <w:r>
        <w:rPr>
          <w:rFonts w:ascii="Arial" w:hAnsi="Arial" w:cs="Arial"/>
          <w:sz w:val="24"/>
          <w:szCs w:val="24"/>
        </w:rPr>
        <w:t>Add to Source Protection Authority Approval, n</w:t>
      </w:r>
      <w:r w:rsidR="007051E0" w:rsidRPr="00CD61BE">
        <w:rPr>
          <w:rFonts w:ascii="Arial" w:hAnsi="Arial" w:cs="Arial"/>
          <w:sz w:val="24"/>
          <w:szCs w:val="24"/>
        </w:rPr>
        <w:t xml:space="preserve">ew or </w:t>
      </w:r>
      <w:r>
        <w:rPr>
          <w:rFonts w:ascii="Arial" w:hAnsi="Arial" w:cs="Arial"/>
          <w:sz w:val="24"/>
          <w:szCs w:val="24"/>
        </w:rPr>
        <w:t>r</w:t>
      </w:r>
      <w:r w:rsidR="007051E0" w:rsidRPr="00CD61BE">
        <w:rPr>
          <w:rFonts w:ascii="Arial" w:hAnsi="Arial" w:cs="Arial"/>
          <w:sz w:val="24"/>
          <w:szCs w:val="24"/>
        </w:rPr>
        <w:t xml:space="preserve">eplacement Wells within </w:t>
      </w:r>
      <w:r w:rsidR="000E5EBB">
        <w:rPr>
          <w:rFonts w:ascii="Arial" w:hAnsi="Arial" w:cs="Arial"/>
          <w:sz w:val="24"/>
          <w:szCs w:val="24"/>
        </w:rPr>
        <w:t>existing w</w:t>
      </w:r>
      <w:r w:rsidR="007051E0" w:rsidRPr="00CD61BE">
        <w:rPr>
          <w:rFonts w:ascii="Arial" w:hAnsi="Arial" w:cs="Arial"/>
          <w:sz w:val="24"/>
          <w:szCs w:val="24"/>
        </w:rPr>
        <w:t xml:space="preserve">ellfields.  The Ministry should consider whether a new or replacement well that is </w:t>
      </w:r>
      <w:proofErr w:type="gramStart"/>
      <w:r w:rsidR="007051E0" w:rsidRPr="00CD61BE">
        <w:rPr>
          <w:rFonts w:ascii="Arial" w:hAnsi="Arial" w:cs="Arial"/>
          <w:sz w:val="24"/>
          <w:szCs w:val="24"/>
        </w:rPr>
        <w:t>being located</w:t>
      </w:r>
      <w:proofErr w:type="gramEnd"/>
      <w:r w:rsidR="007051E0" w:rsidRPr="00CD61BE">
        <w:rPr>
          <w:rFonts w:ascii="Arial" w:hAnsi="Arial" w:cs="Arial"/>
          <w:sz w:val="24"/>
          <w:szCs w:val="24"/>
        </w:rPr>
        <w:t xml:space="preserve"> within an existing wellfield and therefore within existing wellhead protection areas for other wells </w:t>
      </w:r>
      <w:r w:rsidR="000F6B7E" w:rsidRPr="00CD61BE">
        <w:rPr>
          <w:rFonts w:ascii="Arial" w:hAnsi="Arial" w:cs="Arial"/>
          <w:sz w:val="24"/>
          <w:szCs w:val="24"/>
        </w:rPr>
        <w:t xml:space="preserve">could be approved </w:t>
      </w:r>
      <w:r w:rsidR="000E5EBB">
        <w:rPr>
          <w:rFonts w:ascii="Arial" w:hAnsi="Arial" w:cs="Arial"/>
          <w:sz w:val="24"/>
          <w:szCs w:val="24"/>
        </w:rPr>
        <w:t>locally</w:t>
      </w:r>
      <w:r w:rsidR="00BA34EC" w:rsidRPr="00CD61BE">
        <w:rPr>
          <w:rFonts w:ascii="Arial" w:hAnsi="Arial" w:cs="Arial"/>
          <w:sz w:val="24"/>
          <w:szCs w:val="24"/>
        </w:rPr>
        <w:t xml:space="preserve">.  Since these wells are being installed in already approved wellhead protection areas most of the significant drinking water threats have already been </w:t>
      </w:r>
      <w:r w:rsidR="00582AC7" w:rsidRPr="00CD61BE">
        <w:rPr>
          <w:rFonts w:ascii="Arial" w:hAnsi="Arial" w:cs="Arial"/>
          <w:sz w:val="24"/>
          <w:szCs w:val="24"/>
        </w:rPr>
        <w:t xml:space="preserve">notified and may already be managed, whether through risk management plans or other policies.  Often the changes resulting from these new wells </w:t>
      </w:r>
      <w:proofErr w:type="gramStart"/>
      <w:r w:rsidR="00582AC7" w:rsidRPr="00CD61BE">
        <w:rPr>
          <w:rFonts w:ascii="Arial" w:hAnsi="Arial" w:cs="Arial"/>
          <w:sz w:val="24"/>
          <w:szCs w:val="24"/>
        </w:rPr>
        <w:t>is</w:t>
      </w:r>
      <w:proofErr w:type="gramEnd"/>
      <w:r w:rsidR="00582AC7" w:rsidRPr="00CD61BE">
        <w:rPr>
          <w:rFonts w:ascii="Arial" w:hAnsi="Arial" w:cs="Arial"/>
          <w:sz w:val="24"/>
          <w:szCs w:val="24"/>
        </w:rPr>
        <w:t xml:space="preserve"> the addition of a WHPA-A and </w:t>
      </w:r>
      <w:r w:rsidR="006F1197" w:rsidRPr="00CD61BE">
        <w:rPr>
          <w:rFonts w:ascii="Arial" w:hAnsi="Arial" w:cs="Arial"/>
          <w:sz w:val="24"/>
          <w:szCs w:val="24"/>
        </w:rPr>
        <w:t xml:space="preserve">the moving of the boundary of the WHPA-B, C and D.  In an urban environment, the significant drinking water threats in </w:t>
      </w:r>
      <w:proofErr w:type="gramStart"/>
      <w:r w:rsidR="006F1197" w:rsidRPr="00CD61BE">
        <w:rPr>
          <w:rFonts w:ascii="Arial" w:hAnsi="Arial" w:cs="Arial"/>
          <w:sz w:val="24"/>
          <w:szCs w:val="24"/>
        </w:rPr>
        <w:t>a WHPA</w:t>
      </w:r>
      <w:proofErr w:type="gramEnd"/>
      <w:r w:rsidR="006F1197" w:rsidRPr="00CD61BE">
        <w:rPr>
          <w:rFonts w:ascii="Arial" w:hAnsi="Arial" w:cs="Arial"/>
          <w:sz w:val="24"/>
          <w:szCs w:val="24"/>
        </w:rPr>
        <w:t xml:space="preserve">-A are </w:t>
      </w:r>
      <w:r w:rsidR="00FF651D" w:rsidRPr="00CD61BE">
        <w:rPr>
          <w:rFonts w:ascii="Arial" w:hAnsi="Arial" w:cs="Arial"/>
          <w:sz w:val="24"/>
          <w:szCs w:val="24"/>
        </w:rPr>
        <w:t xml:space="preserve">often </w:t>
      </w:r>
      <w:r w:rsidR="006F1197" w:rsidRPr="00CD61BE">
        <w:rPr>
          <w:rFonts w:ascii="Arial" w:hAnsi="Arial" w:cs="Arial"/>
          <w:sz w:val="24"/>
          <w:szCs w:val="24"/>
        </w:rPr>
        <w:lastRenderedPageBreak/>
        <w:t>limited (</w:t>
      </w:r>
      <w:r w:rsidR="00FF651D" w:rsidRPr="00CD61BE">
        <w:rPr>
          <w:rFonts w:ascii="Arial" w:hAnsi="Arial" w:cs="Arial"/>
          <w:sz w:val="24"/>
          <w:szCs w:val="24"/>
        </w:rPr>
        <w:t xml:space="preserve">ie </w:t>
      </w:r>
      <w:r w:rsidR="006F1197" w:rsidRPr="00CD61BE">
        <w:rPr>
          <w:rFonts w:ascii="Arial" w:hAnsi="Arial" w:cs="Arial"/>
          <w:sz w:val="24"/>
          <w:szCs w:val="24"/>
        </w:rPr>
        <w:t>winter maintenance related</w:t>
      </w:r>
      <w:r w:rsidR="00FF651D" w:rsidRPr="00CD61BE">
        <w:rPr>
          <w:rFonts w:ascii="Arial" w:hAnsi="Arial" w:cs="Arial"/>
          <w:sz w:val="24"/>
          <w:szCs w:val="24"/>
        </w:rPr>
        <w:t xml:space="preserve"> </w:t>
      </w:r>
      <w:r w:rsidR="0072574A">
        <w:rPr>
          <w:rFonts w:ascii="Arial" w:hAnsi="Arial" w:cs="Arial"/>
          <w:sz w:val="24"/>
          <w:szCs w:val="24"/>
        </w:rPr>
        <w:t xml:space="preserve">via risk management plan </w:t>
      </w:r>
      <w:r w:rsidR="00FF651D" w:rsidRPr="00CD61BE">
        <w:rPr>
          <w:rFonts w:ascii="Arial" w:hAnsi="Arial" w:cs="Arial"/>
          <w:sz w:val="24"/>
          <w:szCs w:val="24"/>
        </w:rPr>
        <w:t xml:space="preserve">and liquid fuel or sewage </w:t>
      </w:r>
      <w:r w:rsidR="002D00C0" w:rsidRPr="00CD61BE">
        <w:rPr>
          <w:rFonts w:ascii="Arial" w:hAnsi="Arial" w:cs="Arial"/>
          <w:sz w:val="24"/>
          <w:szCs w:val="24"/>
        </w:rPr>
        <w:t>covered by prescribed instruments</w:t>
      </w:r>
      <w:r w:rsidR="006F1197" w:rsidRPr="00CD61BE">
        <w:rPr>
          <w:rFonts w:ascii="Arial" w:hAnsi="Arial" w:cs="Arial"/>
          <w:sz w:val="24"/>
          <w:szCs w:val="24"/>
        </w:rPr>
        <w:t>)</w:t>
      </w:r>
      <w:r w:rsidR="00CD2516" w:rsidRPr="00CD61BE">
        <w:rPr>
          <w:rFonts w:ascii="Arial" w:hAnsi="Arial" w:cs="Arial"/>
          <w:sz w:val="24"/>
          <w:szCs w:val="24"/>
        </w:rPr>
        <w:t>.  In an urban environment, significant drinking water threats in WHPA-B and C</w:t>
      </w:r>
      <w:r w:rsidR="009C4BF0" w:rsidRPr="00CD61BE">
        <w:rPr>
          <w:rFonts w:ascii="Arial" w:hAnsi="Arial" w:cs="Arial"/>
          <w:sz w:val="24"/>
          <w:szCs w:val="24"/>
        </w:rPr>
        <w:t xml:space="preserve"> are DNAPL related and significant whether they are in a WHPA-B or C, therefore, a boundary change between </w:t>
      </w:r>
      <w:r w:rsidR="00ED40E0" w:rsidRPr="00CD61BE">
        <w:rPr>
          <w:rFonts w:ascii="Arial" w:hAnsi="Arial" w:cs="Arial"/>
          <w:sz w:val="24"/>
          <w:szCs w:val="24"/>
        </w:rPr>
        <w:t>these WHPAs does not affect the significant drinking water threat enumeration.</w:t>
      </w:r>
    </w:p>
    <w:p w14:paraId="4E576978" w14:textId="77777777" w:rsidR="00FA7A35" w:rsidRPr="00CD61BE" w:rsidRDefault="00FA7A35" w:rsidP="00FA7A35">
      <w:pPr>
        <w:pStyle w:val="ListParagraph"/>
        <w:rPr>
          <w:rFonts w:ascii="Arial" w:hAnsi="Arial" w:cs="Arial"/>
          <w:sz w:val="24"/>
          <w:szCs w:val="24"/>
        </w:rPr>
      </w:pPr>
    </w:p>
    <w:p w14:paraId="0BA732AC" w14:textId="0BD30A8F" w:rsidR="00FE7308" w:rsidRPr="00097237" w:rsidRDefault="0072574A" w:rsidP="00097237">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Add to Section 51 and Source Protection Authority Approval, </w:t>
      </w:r>
      <w:r w:rsidR="00FA7A35" w:rsidRPr="00CD61BE">
        <w:rPr>
          <w:rFonts w:ascii="Arial" w:hAnsi="Arial" w:cs="Arial"/>
          <w:sz w:val="24"/>
          <w:szCs w:val="24"/>
        </w:rPr>
        <w:t>Director approval</w:t>
      </w:r>
      <w:r w:rsidR="008A5AD6" w:rsidRPr="00CD61BE">
        <w:rPr>
          <w:rFonts w:ascii="Arial" w:hAnsi="Arial" w:cs="Arial"/>
          <w:sz w:val="24"/>
          <w:szCs w:val="24"/>
        </w:rPr>
        <w:t xml:space="preserve">.  The Ministry should consider providing the Director of the Conservation and Source Protection Branch to review and approve </w:t>
      </w:r>
      <w:r>
        <w:rPr>
          <w:rFonts w:ascii="Arial" w:hAnsi="Arial" w:cs="Arial"/>
          <w:sz w:val="24"/>
          <w:szCs w:val="24"/>
        </w:rPr>
        <w:t>additions to the allowed scenarios under both</w:t>
      </w:r>
      <w:r w:rsidR="00022CC0">
        <w:rPr>
          <w:rFonts w:ascii="Arial" w:hAnsi="Arial" w:cs="Arial"/>
          <w:sz w:val="24"/>
          <w:szCs w:val="24"/>
        </w:rPr>
        <w:t xml:space="preserve"> Section 51 and Source Protection Authority Approval</w:t>
      </w:r>
      <w:r w:rsidR="008A5AD6" w:rsidRPr="00CD61BE">
        <w:rPr>
          <w:rFonts w:ascii="Arial" w:hAnsi="Arial" w:cs="Arial"/>
          <w:sz w:val="24"/>
          <w:szCs w:val="24"/>
        </w:rPr>
        <w:t xml:space="preserve"> for scenarios not considered or thought of at this time.  A process could be put in place to ensure </w:t>
      </w:r>
      <w:r w:rsidR="002546DF" w:rsidRPr="00CD61BE">
        <w:rPr>
          <w:rFonts w:ascii="Arial" w:hAnsi="Arial" w:cs="Arial"/>
          <w:sz w:val="24"/>
          <w:szCs w:val="24"/>
        </w:rPr>
        <w:t xml:space="preserve">proper </w:t>
      </w:r>
      <w:proofErr w:type="gramStart"/>
      <w:r w:rsidR="002546DF" w:rsidRPr="00CD61BE">
        <w:rPr>
          <w:rFonts w:ascii="Arial" w:hAnsi="Arial" w:cs="Arial"/>
          <w:sz w:val="24"/>
          <w:szCs w:val="24"/>
        </w:rPr>
        <w:t>review,</w:t>
      </w:r>
      <w:proofErr w:type="gramEnd"/>
      <w:r w:rsidR="002546DF" w:rsidRPr="00CD61BE">
        <w:rPr>
          <w:rFonts w:ascii="Arial" w:hAnsi="Arial" w:cs="Arial"/>
          <w:sz w:val="24"/>
          <w:szCs w:val="24"/>
        </w:rPr>
        <w:t xml:space="preserve"> however, it is likely there will be other scenarios that come up during implementation that are not thought of currently</w:t>
      </w:r>
      <w:r w:rsidR="00022CC0">
        <w:rPr>
          <w:rFonts w:ascii="Arial" w:hAnsi="Arial" w:cs="Arial"/>
          <w:sz w:val="24"/>
          <w:szCs w:val="24"/>
        </w:rPr>
        <w:t>.  This flexibility will help to future proof the program.</w:t>
      </w:r>
    </w:p>
    <w:p w14:paraId="023E2809" w14:textId="77777777" w:rsidR="001F0EA9" w:rsidRPr="00CD61BE" w:rsidRDefault="001F0EA9" w:rsidP="001F0EA9">
      <w:pPr>
        <w:pStyle w:val="ListParagraph"/>
        <w:rPr>
          <w:rFonts w:ascii="Arial" w:hAnsi="Arial" w:cs="Arial"/>
          <w:sz w:val="24"/>
          <w:szCs w:val="24"/>
        </w:rPr>
      </w:pPr>
    </w:p>
    <w:p w14:paraId="01DAC85D" w14:textId="33946389" w:rsidR="00097237" w:rsidRDefault="00097237" w:rsidP="009D3DDC">
      <w:pPr>
        <w:pStyle w:val="ListParagraph"/>
        <w:numPr>
          <w:ilvl w:val="0"/>
          <w:numId w:val="2"/>
        </w:numPr>
        <w:rPr>
          <w:rFonts w:ascii="Arial" w:hAnsi="Arial" w:cs="Arial"/>
          <w:sz w:val="24"/>
          <w:szCs w:val="24"/>
        </w:rPr>
      </w:pPr>
      <w:r>
        <w:rPr>
          <w:rFonts w:ascii="Arial" w:hAnsi="Arial" w:cs="Arial"/>
          <w:sz w:val="24"/>
          <w:szCs w:val="24"/>
        </w:rPr>
        <w:t xml:space="preserve">Clear guidance from the Ministry is needed on what scenarios and criteria are acceptable for local Source Protection Authority Approval to ensure the process is implemented consistently and </w:t>
      </w:r>
      <w:r w:rsidR="00781971">
        <w:rPr>
          <w:rFonts w:ascii="Arial" w:hAnsi="Arial" w:cs="Arial"/>
          <w:sz w:val="24"/>
          <w:szCs w:val="24"/>
        </w:rPr>
        <w:t xml:space="preserve">efficiently across the </w:t>
      </w:r>
      <w:proofErr w:type="gramStart"/>
      <w:r w:rsidR="00781971">
        <w:rPr>
          <w:rFonts w:ascii="Arial" w:hAnsi="Arial" w:cs="Arial"/>
          <w:sz w:val="24"/>
          <w:szCs w:val="24"/>
        </w:rPr>
        <w:t>Province</w:t>
      </w:r>
      <w:proofErr w:type="gramEnd"/>
      <w:r w:rsidR="00781971">
        <w:rPr>
          <w:rFonts w:ascii="Arial" w:hAnsi="Arial" w:cs="Arial"/>
          <w:sz w:val="24"/>
          <w:szCs w:val="24"/>
        </w:rPr>
        <w:t>.</w:t>
      </w:r>
    </w:p>
    <w:p w14:paraId="54E702F9" w14:textId="77777777" w:rsidR="00781971" w:rsidRDefault="00781971" w:rsidP="00781971">
      <w:pPr>
        <w:pStyle w:val="ListParagraph"/>
        <w:rPr>
          <w:rFonts w:ascii="Arial" w:hAnsi="Arial" w:cs="Arial"/>
          <w:sz w:val="24"/>
          <w:szCs w:val="24"/>
        </w:rPr>
      </w:pPr>
    </w:p>
    <w:p w14:paraId="62201DD3" w14:textId="582E435A" w:rsidR="00DA2B59" w:rsidRDefault="00133ACD" w:rsidP="009D3DDC">
      <w:pPr>
        <w:pStyle w:val="ListParagraph"/>
        <w:numPr>
          <w:ilvl w:val="0"/>
          <w:numId w:val="2"/>
        </w:numPr>
        <w:rPr>
          <w:rFonts w:ascii="Arial" w:hAnsi="Arial" w:cs="Arial"/>
          <w:sz w:val="24"/>
          <w:szCs w:val="24"/>
        </w:rPr>
      </w:pPr>
      <w:r>
        <w:rPr>
          <w:rFonts w:ascii="Arial" w:hAnsi="Arial" w:cs="Arial"/>
          <w:sz w:val="24"/>
          <w:szCs w:val="24"/>
        </w:rPr>
        <w:t xml:space="preserve">Based on discussion, it is our understanding that the proposed limitation on the use of Part IV policies only applies where prescribed instruments are </w:t>
      </w:r>
      <w:r w:rsidR="000B7726">
        <w:rPr>
          <w:rFonts w:ascii="Arial" w:hAnsi="Arial" w:cs="Arial"/>
          <w:sz w:val="24"/>
          <w:szCs w:val="24"/>
        </w:rPr>
        <w:t xml:space="preserve">used.  Therefore, existing use of Part IV policies for prescribed </w:t>
      </w:r>
      <w:proofErr w:type="gramStart"/>
      <w:r w:rsidR="000B7726">
        <w:rPr>
          <w:rFonts w:ascii="Arial" w:hAnsi="Arial" w:cs="Arial"/>
          <w:sz w:val="24"/>
          <w:szCs w:val="24"/>
        </w:rPr>
        <w:t>instrument</w:t>
      </w:r>
      <w:proofErr w:type="gramEnd"/>
      <w:r w:rsidR="000B7726">
        <w:rPr>
          <w:rFonts w:ascii="Arial" w:hAnsi="Arial" w:cs="Arial"/>
          <w:sz w:val="24"/>
          <w:szCs w:val="24"/>
        </w:rPr>
        <w:t xml:space="preserve"> exempt sewage (storm water) and waste (waste generating facilities) will be allowed to continue.  If that is the case, we support that approach.  If the existing use of Part IV policies for these </w:t>
      </w:r>
      <w:proofErr w:type="spellStart"/>
      <w:r w:rsidR="000B7726">
        <w:rPr>
          <w:rFonts w:ascii="Arial" w:hAnsi="Arial" w:cs="Arial"/>
          <w:sz w:val="24"/>
          <w:szCs w:val="24"/>
        </w:rPr>
        <w:t>subthreats</w:t>
      </w:r>
      <w:proofErr w:type="spellEnd"/>
      <w:r w:rsidR="000B7726">
        <w:rPr>
          <w:rFonts w:ascii="Arial" w:hAnsi="Arial" w:cs="Arial"/>
          <w:sz w:val="24"/>
          <w:szCs w:val="24"/>
        </w:rPr>
        <w:t xml:space="preserve"> is being </w:t>
      </w:r>
      <w:proofErr w:type="gramStart"/>
      <w:r w:rsidR="000B7726">
        <w:rPr>
          <w:rFonts w:ascii="Arial" w:hAnsi="Arial" w:cs="Arial"/>
          <w:sz w:val="24"/>
          <w:szCs w:val="24"/>
        </w:rPr>
        <w:t>limited</w:t>
      </w:r>
      <w:proofErr w:type="gramEnd"/>
      <w:r w:rsidR="000B7726">
        <w:rPr>
          <w:rFonts w:ascii="Arial" w:hAnsi="Arial" w:cs="Arial"/>
          <w:sz w:val="24"/>
          <w:szCs w:val="24"/>
        </w:rPr>
        <w:t xml:space="preserve"> then there are concerns including that in force risk management plans will need to be modified or revoked.</w:t>
      </w:r>
    </w:p>
    <w:p w14:paraId="40576CD6" w14:textId="77777777" w:rsidR="000B7726" w:rsidRDefault="000B7726" w:rsidP="000B7726">
      <w:pPr>
        <w:pStyle w:val="ListParagraph"/>
        <w:rPr>
          <w:rFonts w:ascii="Arial" w:hAnsi="Arial" w:cs="Arial"/>
          <w:sz w:val="24"/>
          <w:szCs w:val="24"/>
        </w:rPr>
      </w:pPr>
    </w:p>
    <w:p w14:paraId="55F55AE7" w14:textId="4386208C" w:rsidR="00CE758C" w:rsidRDefault="00CE758C" w:rsidP="009D3DDC">
      <w:pPr>
        <w:pStyle w:val="ListParagraph"/>
        <w:numPr>
          <w:ilvl w:val="0"/>
          <w:numId w:val="2"/>
        </w:numPr>
        <w:rPr>
          <w:rFonts w:ascii="Arial" w:hAnsi="Arial" w:cs="Arial"/>
          <w:sz w:val="24"/>
          <w:szCs w:val="24"/>
        </w:rPr>
      </w:pPr>
      <w:r>
        <w:rPr>
          <w:rFonts w:ascii="Arial" w:hAnsi="Arial" w:cs="Arial"/>
          <w:sz w:val="24"/>
          <w:szCs w:val="24"/>
        </w:rPr>
        <w:t xml:space="preserve">Clarification is needed on whether Part IV Prohibition policies </w:t>
      </w:r>
      <w:r w:rsidR="00503C85">
        <w:rPr>
          <w:rFonts w:ascii="Arial" w:hAnsi="Arial" w:cs="Arial"/>
          <w:sz w:val="24"/>
          <w:szCs w:val="24"/>
        </w:rPr>
        <w:t>are allowed to remain in Source Protection Plans when a similar prescribed instrument prohibition policy may be removed under this proposal.  The example is for manure application under both Part IV and Nutrient Management Plans.</w:t>
      </w:r>
    </w:p>
    <w:p w14:paraId="40AD33F3" w14:textId="77777777" w:rsidR="00CE758C" w:rsidRPr="00CE758C" w:rsidRDefault="00CE758C" w:rsidP="00CE758C">
      <w:pPr>
        <w:pStyle w:val="ListParagraph"/>
        <w:rPr>
          <w:rFonts w:ascii="Arial" w:hAnsi="Arial" w:cs="Arial"/>
          <w:sz w:val="24"/>
          <w:szCs w:val="24"/>
        </w:rPr>
      </w:pPr>
    </w:p>
    <w:p w14:paraId="4815580B" w14:textId="5E21E905" w:rsidR="000B7726" w:rsidRDefault="000B7726" w:rsidP="009D3DDC">
      <w:pPr>
        <w:pStyle w:val="ListParagraph"/>
        <w:numPr>
          <w:ilvl w:val="0"/>
          <w:numId w:val="2"/>
        </w:numPr>
        <w:rPr>
          <w:rFonts w:ascii="Arial" w:hAnsi="Arial" w:cs="Arial"/>
          <w:sz w:val="24"/>
          <w:szCs w:val="24"/>
        </w:rPr>
      </w:pPr>
      <w:r>
        <w:rPr>
          <w:rFonts w:ascii="Arial" w:hAnsi="Arial" w:cs="Arial"/>
          <w:sz w:val="24"/>
          <w:szCs w:val="24"/>
        </w:rPr>
        <w:t>The proposed change to clarify the review of Nutrient Management Plans is welcome and supported.</w:t>
      </w:r>
    </w:p>
    <w:p w14:paraId="621BF800" w14:textId="77777777" w:rsidR="009B7B44" w:rsidRPr="009B7B44" w:rsidRDefault="009B7B44" w:rsidP="009B7B44">
      <w:pPr>
        <w:pStyle w:val="ListParagraph"/>
        <w:rPr>
          <w:rFonts w:ascii="Arial" w:hAnsi="Arial" w:cs="Arial"/>
          <w:sz w:val="24"/>
          <w:szCs w:val="24"/>
        </w:rPr>
      </w:pPr>
    </w:p>
    <w:p w14:paraId="4FB15BCF" w14:textId="16BD7683" w:rsidR="009B7B44" w:rsidRDefault="00F91308" w:rsidP="009D3DDC">
      <w:pPr>
        <w:pStyle w:val="ListParagraph"/>
        <w:numPr>
          <w:ilvl w:val="0"/>
          <w:numId w:val="2"/>
        </w:numPr>
        <w:rPr>
          <w:rFonts w:ascii="Arial" w:hAnsi="Arial" w:cs="Arial"/>
          <w:sz w:val="24"/>
          <w:szCs w:val="24"/>
        </w:rPr>
      </w:pPr>
      <w:r>
        <w:rPr>
          <w:rFonts w:ascii="Arial" w:hAnsi="Arial" w:cs="Arial"/>
          <w:sz w:val="24"/>
          <w:szCs w:val="24"/>
        </w:rPr>
        <w:t xml:space="preserve">With the proposed standardization of prescribed instrument policies, </w:t>
      </w:r>
      <w:r w:rsidR="00FE7308">
        <w:rPr>
          <w:rFonts w:ascii="Arial" w:hAnsi="Arial" w:cs="Arial"/>
          <w:sz w:val="24"/>
          <w:szCs w:val="24"/>
        </w:rPr>
        <w:t>we encourage the Provincial Ministries to ensure there is a source protection requirements section and rationale in the prescribed instrument and a clear statement of conformity.  The Consolidated Linear Infrastructure – Environmental Compliance Approvals and the Municipal Drinking Water Licences are good examples of this.</w:t>
      </w:r>
    </w:p>
    <w:p w14:paraId="7D51B6B0" w14:textId="77777777" w:rsidR="006B6E80" w:rsidRPr="006B6E80" w:rsidRDefault="006B6E80" w:rsidP="006B6E80">
      <w:pPr>
        <w:pStyle w:val="ListParagraph"/>
        <w:rPr>
          <w:rFonts w:ascii="Arial" w:hAnsi="Arial" w:cs="Arial"/>
          <w:sz w:val="24"/>
          <w:szCs w:val="24"/>
        </w:rPr>
      </w:pPr>
    </w:p>
    <w:p w14:paraId="42A63525" w14:textId="656747FA" w:rsidR="006B6E80" w:rsidRDefault="006B6E80" w:rsidP="009D3DDC">
      <w:pPr>
        <w:pStyle w:val="ListParagraph"/>
        <w:numPr>
          <w:ilvl w:val="0"/>
          <w:numId w:val="2"/>
        </w:numPr>
        <w:rPr>
          <w:rFonts w:ascii="Arial" w:hAnsi="Arial" w:cs="Arial"/>
          <w:sz w:val="24"/>
          <w:szCs w:val="24"/>
        </w:rPr>
      </w:pPr>
      <w:r>
        <w:rPr>
          <w:rFonts w:ascii="Arial" w:hAnsi="Arial" w:cs="Arial"/>
          <w:sz w:val="24"/>
          <w:szCs w:val="24"/>
        </w:rPr>
        <w:t xml:space="preserve">We note that </w:t>
      </w:r>
      <w:proofErr w:type="gramStart"/>
      <w:r>
        <w:rPr>
          <w:rFonts w:ascii="Arial" w:hAnsi="Arial" w:cs="Arial"/>
          <w:sz w:val="24"/>
          <w:szCs w:val="24"/>
        </w:rPr>
        <w:t>the Section</w:t>
      </w:r>
      <w:proofErr w:type="gramEnd"/>
      <w:r>
        <w:rPr>
          <w:rFonts w:ascii="Arial" w:hAnsi="Arial" w:cs="Arial"/>
          <w:sz w:val="24"/>
          <w:szCs w:val="24"/>
        </w:rPr>
        <w:t xml:space="preserve"> 61 exemption </w:t>
      </w:r>
      <w:r w:rsidR="009C0E38">
        <w:rPr>
          <w:rFonts w:ascii="Arial" w:hAnsi="Arial" w:cs="Arial"/>
          <w:sz w:val="24"/>
          <w:szCs w:val="24"/>
        </w:rPr>
        <w:t xml:space="preserve">under the general regulation would benefit from the addition of a notice issued by the </w:t>
      </w:r>
      <w:proofErr w:type="gramStart"/>
      <w:r w:rsidR="009C0E38">
        <w:rPr>
          <w:rFonts w:ascii="Arial" w:hAnsi="Arial" w:cs="Arial"/>
          <w:sz w:val="24"/>
          <w:szCs w:val="24"/>
        </w:rPr>
        <w:t>Risk Management Official</w:t>
      </w:r>
      <w:proofErr w:type="gramEnd"/>
      <w:r w:rsidR="009F670B">
        <w:rPr>
          <w:rFonts w:ascii="Arial" w:hAnsi="Arial" w:cs="Arial"/>
          <w:sz w:val="24"/>
          <w:szCs w:val="24"/>
        </w:rPr>
        <w:t xml:space="preserve"> </w:t>
      </w:r>
      <w:proofErr w:type="gramStart"/>
      <w:r w:rsidR="009F670B">
        <w:rPr>
          <w:rFonts w:ascii="Arial" w:hAnsi="Arial" w:cs="Arial"/>
          <w:sz w:val="24"/>
          <w:szCs w:val="24"/>
        </w:rPr>
        <w:t>acknowledging</w:t>
      </w:r>
      <w:proofErr w:type="gramEnd"/>
      <w:r w:rsidR="009F670B">
        <w:rPr>
          <w:rFonts w:ascii="Arial" w:hAnsi="Arial" w:cs="Arial"/>
          <w:sz w:val="24"/>
          <w:szCs w:val="24"/>
        </w:rPr>
        <w:t xml:space="preserve"> acceptance </w:t>
      </w:r>
      <w:r w:rsidR="009B7B44">
        <w:rPr>
          <w:rFonts w:ascii="Arial" w:hAnsi="Arial" w:cs="Arial"/>
          <w:sz w:val="24"/>
          <w:szCs w:val="24"/>
        </w:rPr>
        <w:t xml:space="preserve">or receipt </w:t>
      </w:r>
      <w:r w:rsidR="009F670B">
        <w:rPr>
          <w:rFonts w:ascii="Arial" w:hAnsi="Arial" w:cs="Arial"/>
          <w:sz w:val="24"/>
          <w:szCs w:val="24"/>
        </w:rPr>
        <w:t xml:space="preserve">of the prescribed instrument exemption </w:t>
      </w:r>
      <w:r w:rsidR="00754197">
        <w:rPr>
          <w:rFonts w:ascii="Arial" w:hAnsi="Arial" w:cs="Arial"/>
          <w:sz w:val="24"/>
          <w:szCs w:val="24"/>
        </w:rPr>
        <w:t>notice from the applicant.  This regulation section is unique as it appears to be the only section that has a notice being issued by an applicant to the Risk Management Official and not vice versa.  In our experience, this causes an administrative problem</w:t>
      </w:r>
      <w:r w:rsidR="00CC5D14">
        <w:rPr>
          <w:rFonts w:ascii="Arial" w:hAnsi="Arial" w:cs="Arial"/>
          <w:sz w:val="24"/>
          <w:szCs w:val="24"/>
        </w:rPr>
        <w:t xml:space="preserve"> in completing the exemption process and serving the Risk Management Official’s decision as it is not a notice under the Clean Water Act.</w:t>
      </w:r>
      <w:r>
        <w:rPr>
          <w:rFonts w:ascii="Arial" w:hAnsi="Arial" w:cs="Arial"/>
          <w:sz w:val="24"/>
          <w:szCs w:val="24"/>
        </w:rPr>
        <w:t xml:space="preserve"> </w:t>
      </w:r>
    </w:p>
    <w:p w14:paraId="75DF7822" w14:textId="77777777" w:rsidR="000B7726" w:rsidRPr="000B7726" w:rsidRDefault="000B7726" w:rsidP="000B7726">
      <w:pPr>
        <w:pStyle w:val="ListParagraph"/>
        <w:rPr>
          <w:rFonts w:ascii="Arial" w:hAnsi="Arial" w:cs="Arial"/>
          <w:sz w:val="24"/>
          <w:szCs w:val="24"/>
        </w:rPr>
      </w:pPr>
    </w:p>
    <w:p w14:paraId="3C0F1D14" w14:textId="74F72362" w:rsidR="00ED0021" w:rsidRDefault="00512168" w:rsidP="009D3DDC">
      <w:pPr>
        <w:pStyle w:val="ListParagraph"/>
        <w:numPr>
          <w:ilvl w:val="0"/>
          <w:numId w:val="2"/>
        </w:numPr>
        <w:rPr>
          <w:rFonts w:ascii="Arial" w:hAnsi="Arial" w:cs="Arial"/>
          <w:sz w:val="24"/>
          <w:szCs w:val="24"/>
        </w:rPr>
      </w:pPr>
      <w:r w:rsidRPr="009D3DDC">
        <w:rPr>
          <w:rFonts w:ascii="Arial" w:hAnsi="Arial" w:cs="Arial"/>
          <w:sz w:val="24"/>
          <w:szCs w:val="24"/>
        </w:rPr>
        <w:t xml:space="preserve">It is unclear from the proposal how the consolidation of conservation authority boards affects the Source Protection Authority Boards </w:t>
      </w:r>
      <w:r w:rsidR="009D3DDC">
        <w:rPr>
          <w:rFonts w:ascii="Arial" w:hAnsi="Arial" w:cs="Arial"/>
          <w:sz w:val="24"/>
          <w:szCs w:val="24"/>
        </w:rPr>
        <w:t xml:space="preserve">and Source Protection Committees </w:t>
      </w:r>
      <w:r w:rsidRPr="009D3DDC">
        <w:rPr>
          <w:rFonts w:ascii="Arial" w:hAnsi="Arial" w:cs="Arial"/>
          <w:sz w:val="24"/>
          <w:szCs w:val="24"/>
        </w:rPr>
        <w:t xml:space="preserve">as currently required under the Clean Water Act.  </w:t>
      </w:r>
      <w:r w:rsidR="00D0571D" w:rsidRPr="009D3DDC">
        <w:rPr>
          <w:rFonts w:ascii="Arial" w:hAnsi="Arial" w:cs="Arial"/>
          <w:sz w:val="24"/>
          <w:szCs w:val="24"/>
        </w:rPr>
        <w:t xml:space="preserve">It </w:t>
      </w:r>
      <w:proofErr w:type="gramStart"/>
      <w:r w:rsidR="00D0571D" w:rsidRPr="009D3DDC">
        <w:rPr>
          <w:rFonts w:ascii="Arial" w:hAnsi="Arial" w:cs="Arial"/>
          <w:sz w:val="24"/>
          <w:szCs w:val="24"/>
        </w:rPr>
        <w:t>is also is</w:t>
      </w:r>
      <w:proofErr w:type="gramEnd"/>
      <w:r w:rsidR="00D0571D" w:rsidRPr="009D3DDC">
        <w:rPr>
          <w:rFonts w:ascii="Arial" w:hAnsi="Arial" w:cs="Arial"/>
          <w:sz w:val="24"/>
          <w:szCs w:val="24"/>
        </w:rPr>
        <w:t xml:space="preserve"> unclear how the consolidation will impact timelines for Section 34 and 36 amendments that are already in progress with the </w:t>
      </w:r>
      <w:r w:rsidR="006321B6" w:rsidRPr="009D3DDC">
        <w:rPr>
          <w:rFonts w:ascii="Arial" w:hAnsi="Arial" w:cs="Arial"/>
          <w:sz w:val="24"/>
          <w:szCs w:val="24"/>
        </w:rPr>
        <w:t>current Source Protection Authorities, their Boards and the Source Protection Committees</w:t>
      </w:r>
      <w:r w:rsidR="00287FA2">
        <w:rPr>
          <w:rFonts w:ascii="Arial" w:hAnsi="Arial" w:cs="Arial"/>
          <w:sz w:val="24"/>
          <w:szCs w:val="24"/>
        </w:rPr>
        <w:t xml:space="preserve"> and the transfer payment agreements </w:t>
      </w:r>
      <w:r w:rsidR="006D0AA1">
        <w:rPr>
          <w:rFonts w:ascii="Arial" w:hAnsi="Arial" w:cs="Arial"/>
          <w:sz w:val="24"/>
          <w:szCs w:val="24"/>
        </w:rPr>
        <w:t>required for the Source Protection Authority work to continue</w:t>
      </w:r>
      <w:r w:rsidR="006321B6" w:rsidRPr="009D3DDC">
        <w:rPr>
          <w:rFonts w:ascii="Arial" w:hAnsi="Arial" w:cs="Arial"/>
          <w:sz w:val="24"/>
          <w:szCs w:val="24"/>
        </w:rPr>
        <w:t xml:space="preserve">.  </w:t>
      </w:r>
    </w:p>
    <w:p w14:paraId="6D7180CA" w14:textId="77777777" w:rsidR="009D3DDC" w:rsidRPr="009D3DDC" w:rsidRDefault="009D3DDC" w:rsidP="009D3DDC">
      <w:pPr>
        <w:pStyle w:val="ListParagraph"/>
        <w:rPr>
          <w:rFonts w:ascii="Arial" w:hAnsi="Arial" w:cs="Arial"/>
          <w:sz w:val="24"/>
          <w:szCs w:val="24"/>
        </w:rPr>
      </w:pPr>
    </w:p>
    <w:p w14:paraId="21A1B235" w14:textId="297E6733" w:rsidR="00781971" w:rsidRDefault="00781971" w:rsidP="0067514F">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Although not directly consulted on in this posting, </w:t>
      </w:r>
      <w:r w:rsidR="006E3B64">
        <w:rPr>
          <w:rFonts w:ascii="Arial" w:hAnsi="Arial" w:cs="Arial"/>
          <w:sz w:val="24"/>
          <w:szCs w:val="24"/>
        </w:rPr>
        <w:t>an update is needed to the electronic service methods in the Service Regulation as they are currently cumbersome and unusable in most situations as they require the recipient to confirm receipt.</w:t>
      </w:r>
    </w:p>
    <w:p w14:paraId="77215F57" w14:textId="77777777" w:rsidR="009217E8" w:rsidRPr="009217E8" w:rsidRDefault="009217E8" w:rsidP="009217E8">
      <w:pPr>
        <w:pStyle w:val="ListParagraph"/>
        <w:rPr>
          <w:rFonts w:ascii="Arial" w:hAnsi="Arial" w:cs="Arial"/>
          <w:sz w:val="24"/>
          <w:szCs w:val="24"/>
        </w:rPr>
      </w:pPr>
    </w:p>
    <w:p w14:paraId="546D1091" w14:textId="6000BCBC" w:rsidR="009217E8" w:rsidRDefault="009217E8" w:rsidP="0067514F">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Ontario Regulation 287/07 </w:t>
      </w:r>
      <w:r w:rsidR="00F76888">
        <w:rPr>
          <w:rFonts w:ascii="Arial" w:hAnsi="Arial" w:cs="Arial"/>
          <w:sz w:val="24"/>
          <w:szCs w:val="24"/>
        </w:rPr>
        <w:t>Section 62 should reference</w:t>
      </w:r>
      <w:r>
        <w:rPr>
          <w:rFonts w:ascii="Arial" w:hAnsi="Arial" w:cs="Arial"/>
          <w:sz w:val="24"/>
          <w:szCs w:val="24"/>
        </w:rPr>
        <w:t xml:space="preserve"> </w:t>
      </w:r>
      <w:r w:rsidR="00CF316D">
        <w:rPr>
          <w:rFonts w:ascii="Arial" w:hAnsi="Arial" w:cs="Arial"/>
          <w:sz w:val="24"/>
          <w:szCs w:val="24"/>
        </w:rPr>
        <w:t>Condominium</w:t>
      </w:r>
      <w:r>
        <w:rPr>
          <w:rFonts w:ascii="Arial" w:hAnsi="Arial" w:cs="Arial"/>
          <w:sz w:val="24"/>
          <w:szCs w:val="24"/>
        </w:rPr>
        <w:t xml:space="preserve"> Act </w:t>
      </w:r>
      <w:r w:rsidR="00F76888">
        <w:rPr>
          <w:rFonts w:ascii="Arial" w:hAnsi="Arial" w:cs="Arial"/>
          <w:sz w:val="24"/>
          <w:szCs w:val="24"/>
        </w:rPr>
        <w:t>plans of condominium as this is a common development application that is reviewed and commented on during development reviews and the Section 59 process.</w:t>
      </w:r>
    </w:p>
    <w:p w14:paraId="2B174F2B" w14:textId="77777777" w:rsidR="002D39B1" w:rsidRPr="0067514F" w:rsidRDefault="002D39B1" w:rsidP="0067514F">
      <w:pPr>
        <w:rPr>
          <w:rFonts w:ascii="Arial" w:hAnsi="Arial" w:cs="Arial"/>
          <w:szCs w:val="24"/>
        </w:rPr>
      </w:pPr>
    </w:p>
    <w:p w14:paraId="7BD20FAF" w14:textId="77777777" w:rsidR="002D39B1" w:rsidRDefault="002D39B1" w:rsidP="0067514F">
      <w:pPr>
        <w:rPr>
          <w:rFonts w:ascii="Arial" w:hAnsi="Arial" w:cs="Arial"/>
          <w:szCs w:val="24"/>
        </w:rPr>
      </w:pPr>
    </w:p>
    <w:p w14:paraId="7169B85F" w14:textId="77777777" w:rsidR="0050587F" w:rsidRDefault="0050587F">
      <w:pPr>
        <w:rPr>
          <w:rFonts w:ascii="Arial" w:hAnsi="Arial" w:cs="Arial"/>
          <w:szCs w:val="24"/>
        </w:rPr>
      </w:pPr>
      <w:r>
        <w:rPr>
          <w:rFonts w:ascii="Arial" w:hAnsi="Arial" w:cs="Arial"/>
          <w:szCs w:val="24"/>
        </w:rPr>
        <w:br w:type="page"/>
      </w:r>
    </w:p>
    <w:p w14:paraId="15CBEDC6" w14:textId="371D12DF" w:rsidR="00E1417B" w:rsidRDefault="00E1417B" w:rsidP="0067514F">
      <w:pPr>
        <w:rPr>
          <w:rFonts w:ascii="Arial" w:hAnsi="Arial" w:cs="Arial"/>
          <w:szCs w:val="24"/>
        </w:rPr>
      </w:pPr>
      <w:r>
        <w:rPr>
          <w:rFonts w:ascii="Arial" w:hAnsi="Arial" w:cs="Arial"/>
          <w:szCs w:val="24"/>
        </w:rPr>
        <w:lastRenderedPageBreak/>
        <w:t>Thank you for this opportunity to comment on these ERO proposals.  Please do not hesitate to contact the undersigned for further information.</w:t>
      </w:r>
    </w:p>
    <w:p w14:paraId="1B056C6C" w14:textId="77777777" w:rsidR="00E1417B" w:rsidRDefault="00E1417B" w:rsidP="0067514F">
      <w:pPr>
        <w:rPr>
          <w:rFonts w:ascii="Arial" w:hAnsi="Arial" w:cs="Arial"/>
          <w:szCs w:val="24"/>
        </w:rPr>
      </w:pPr>
    </w:p>
    <w:p w14:paraId="0AA018C0" w14:textId="77777777" w:rsidR="00E1417B" w:rsidRDefault="00E1417B" w:rsidP="0067514F">
      <w:pPr>
        <w:rPr>
          <w:rFonts w:ascii="Arial" w:hAnsi="Arial" w:cs="Arial"/>
          <w:szCs w:val="24"/>
        </w:rPr>
      </w:pPr>
    </w:p>
    <w:p w14:paraId="115F3D11" w14:textId="253A7742" w:rsidR="00E1417B" w:rsidRDefault="00E1417B" w:rsidP="0067514F">
      <w:pPr>
        <w:rPr>
          <w:rFonts w:ascii="Arial" w:hAnsi="Arial" w:cs="Arial"/>
          <w:szCs w:val="24"/>
        </w:rPr>
      </w:pPr>
      <w:r>
        <w:rPr>
          <w:rFonts w:ascii="Arial" w:hAnsi="Arial" w:cs="Arial"/>
          <w:szCs w:val="24"/>
        </w:rPr>
        <w:t>Regards,</w:t>
      </w:r>
    </w:p>
    <w:p w14:paraId="7FF47EF5" w14:textId="77777777" w:rsidR="00E1417B" w:rsidRDefault="00E1417B" w:rsidP="0067514F">
      <w:pPr>
        <w:rPr>
          <w:rFonts w:ascii="Arial" w:hAnsi="Arial" w:cs="Arial"/>
          <w:szCs w:val="24"/>
        </w:rPr>
      </w:pPr>
    </w:p>
    <w:p w14:paraId="56093A7C" w14:textId="77777777" w:rsidR="00E1417B" w:rsidRDefault="00E1417B" w:rsidP="0067514F">
      <w:pPr>
        <w:rPr>
          <w:rFonts w:ascii="Arial" w:hAnsi="Arial" w:cs="Arial"/>
          <w:szCs w:val="24"/>
        </w:rPr>
      </w:pPr>
    </w:p>
    <w:p w14:paraId="442668D1" w14:textId="77777777" w:rsidR="00E1417B" w:rsidRDefault="00E1417B" w:rsidP="0067514F">
      <w:pPr>
        <w:rPr>
          <w:rFonts w:ascii="Arial" w:hAnsi="Arial" w:cs="Arial"/>
          <w:szCs w:val="24"/>
        </w:rPr>
      </w:pPr>
    </w:p>
    <w:p w14:paraId="7D175CEA" w14:textId="77777777" w:rsidR="00E1417B" w:rsidRDefault="00E1417B" w:rsidP="0067514F">
      <w:pPr>
        <w:rPr>
          <w:rFonts w:ascii="Arial" w:hAnsi="Arial" w:cs="Arial"/>
          <w:szCs w:val="24"/>
        </w:rPr>
      </w:pPr>
    </w:p>
    <w:p w14:paraId="3959E6AC" w14:textId="77777777" w:rsidR="00E1417B" w:rsidRDefault="00E1417B" w:rsidP="0067514F">
      <w:pPr>
        <w:rPr>
          <w:rFonts w:ascii="Arial" w:hAnsi="Arial" w:cs="Arial"/>
          <w:szCs w:val="24"/>
        </w:rPr>
      </w:pPr>
    </w:p>
    <w:p w14:paraId="31D533E4" w14:textId="77777777" w:rsidR="00E1417B" w:rsidRDefault="00E1417B" w:rsidP="0067514F">
      <w:pPr>
        <w:rPr>
          <w:rFonts w:ascii="Arial" w:hAnsi="Arial" w:cs="Arial"/>
          <w:szCs w:val="24"/>
        </w:rPr>
      </w:pPr>
    </w:p>
    <w:p w14:paraId="05D6FF3A" w14:textId="77777777" w:rsidR="00E1417B" w:rsidRDefault="00E1417B" w:rsidP="0067514F">
      <w:pPr>
        <w:rPr>
          <w:rFonts w:ascii="Arial" w:hAnsi="Arial" w:cs="Arial"/>
          <w:szCs w:val="24"/>
        </w:rPr>
      </w:pPr>
    </w:p>
    <w:p w14:paraId="2D3E1526" w14:textId="61A0D5DE" w:rsidR="00E1417B" w:rsidRDefault="00E1417B" w:rsidP="0067514F">
      <w:pPr>
        <w:rPr>
          <w:rFonts w:ascii="Arial" w:hAnsi="Arial" w:cs="Arial"/>
          <w:szCs w:val="24"/>
        </w:rPr>
      </w:pPr>
      <w:r>
        <w:rPr>
          <w:rFonts w:ascii="Arial" w:hAnsi="Arial" w:cs="Arial"/>
          <w:szCs w:val="24"/>
        </w:rPr>
        <w:t>Kyle Davis</w:t>
      </w:r>
    </w:p>
    <w:p w14:paraId="238EE811" w14:textId="4B078346" w:rsidR="00E1417B" w:rsidRDefault="00E1417B" w:rsidP="0067514F">
      <w:pPr>
        <w:rPr>
          <w:rFonts w:ascii="Arial" w:hAnsi="Arial" w:cs="Arial"/>
          <w:szCs w:val="24"/>
        </w:rPr>
      </w:pPr>
      <w:r>
        <w:rPr>
          <w:rFonts w:ascii="Arial" w:hAnsi="Arial" w:cs="Arial"/>
          <w:szCs w:val="24"/>
        </w:rPr>
        <w:t>Risk Management Official</w:t>
      </w:r>
    </w:p>
    <w:p w14:paraId="1C7FEE93" w14:textId="2706CB2E" w:rsidR="00E1417B" w:rsidRDefault="00740DA4" w:rsidP="0067514F">
      <w:pPr>
        <w:rPr>
          <w:rFonts w:ascii="Arial" w:hAnsi="Arial" w:cs="Arial"/>
          <w:szCs w:val="24"/>
        </w:rPr>
      </w:pPr>
      <w:hyperlink r:id="rId11" w:history="1">
        <w:r w:rsidRPr="003762DB">
          <w:rPr>
            <w:rStyle w:val="Hyperlink"/>
            <w:rFonts w:ascii="Arial" w:hAnsi="Arial" w:cs="Arial"/>
            <w:szCs w:val="24"/>
          </w:rPr>
          <w:t>kdavis@centrewellington.ca</w:t>
        </w:r>
      </w:hyperlink>
    </w:p>
    <w:p w14:paraId="3840AF46" w14:textId="6127164C" w:rsidR="00740DA4" w:rsidRPr="0067514F" w:rsidRDefault="00740DA4" w:rsidP="0067514F">
      <w:pPr>
        <w:rPr>
          <w:rFonts w:ascii="Arial" w:hAnsi="Arial" w:cs="Arial"/>
          <w:szCs w:val="24"/>
        </w:rPr>
      </w:pPr>
      <w:r>
        <w:rPr>
          <w:rFonts w:ascii="Arial" w:hAnsi="Arial" w:cs="Arial"/>
          <w:szCs w:val="24"/>
        </w:rPr>
        <w:t xml:space="preserve">519-846-9691 </w:t>
      </w:r>
      <w:proofErr w:type="spellStart"/>
      <w:r>
        <w:rPr>
          <w:rFonts w:ascii="Arial" w:hAnsi="Arial" w:cs="Arial"/>
          <w:szCs w:val="24"/>
        </w:rPr>
        <w:t>ext</w:t>
      </w:r>
      <w:proofErr w:type="spellEnd"/>
      <w:r>
        <w:rPr>
          <w:rFonts w:ascii="Arial" w:hAnsi="Arial" w:cs="Arial"/>
          <w:szCs w:val="24"/>
        </w:rPr>
        <w:t xml:space="preserve"> 362</w:t>
      </w:r>
    </w:p>
    <w:sectPr w:rsidR="00740DA4" w:rsidRPr="0067514F" w:rsidSect="00F77640">
      <w:headerReference w:type="default" r:id="rId12"/>
      <w:footerReference w:type="default" r:id="rId13"/>
      <w:headerReference w:type="first" r:id="rId14"/>
      <w:footerReference w:type="first" r:id="rId15"/>
      <w:pgSz w:w="12240" w:h="15840"/>
      <w:pgMar w:top="1440" w:right="1531" w:bottom="1440" w:left="1418"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BFB8" w14:textId="77777777" w:rsidR="005D00DD" w:rsidRDefault="005D00DD" w:rsidP="0003741F">
      <w:r>
        <w:separator/>
      </w:r>
    </w:p>
  </w:endnote>
  <w:endnote w:type="continuationSeparator" w:id="0">
    <w:p w14:paraId="68746CDC" w14:textId="77777777" w:rsidR="005D00DD" w:rsidRDefault="005D00DD" w:rsidP="0003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C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DD16" w14:textId="1F6D2F31" w:rsidR="005D69B3" w:rsidRDefault="005D69B3" w:rsidP="0001666D">
    <w:pPr>
      <w:pStyle w:val="BasicParagraph"/>
      <w:tabs>
        <w:tab w:val="left" w:pos="320"/>
      </w:tabs>
      <w:spacing w:line="360" w:lineRule="auto"/>
      <w:ind w:left="-1134"/>
      <w:rPr>
        <w:noProof/>
        <w:color w:val="7F7F7F" w:themeColor="background1" w:themeShade="7F"/>
        <w:spacing w:val="60"/>
      </w:rPr>
    </w:pPr>
    <w:r>
      <w:rPr>
        <w:rFonts w:ascii="Frutiger-Cn" w:hAnsi="Frutiger-Cn" w:cs="Frutiger-Cn"/>
        <w:noProof/>
        <w:lang w:eastAsia="en-US"/>
      </w:rPr>
      <mc:AlternateContent>
        <mc:Choice Requires="wps">
          <w:drawing>
            <wp:anchor distT="0" distB="0" distL="114300" distR="114300" simplePos="0" relativeHeight="251658240" behindDoc="0" locked="0" layoutInCell="1" allowOverlap="1" wp14:anchorId="56D2619C" wp14:editId="5FF779C2">
              <wp:simplePos x="0" y="0"/>
              <wp:positionH relativeFrom="column">
                <wp:posOffset>-862965</wp:posOffset>
              </wp:positionH>
              <wp:positionV relativeFrom="paragraph">
                <wp:posOffset>-100965</wp:posOffset>
              </wp:positionV>
              <wp:extent cx="7200900" cy="38100"/>
              <wp:effectExtent l="0" t="0" r="38100" b="38100"/>
              <wp:wrapNone/>
              <wp:docPr id="6" name="Straight Connector 6"/>
              <wp:cNvGraphicFramePr/>
              <a:graphic xmlns:a="http://schemas.openxmlformats.org/drawingml/2006/main">
                <a:graphicData uri="http://schemas.microsoft.com/office/word/2010/wordprocessingShape">
                  <wps:wsp>
                    <wps:cNvCnPr/>
                    <wps:spPr>
                      <a:xfrm>
                        <a:off x="0" y="0"/>
                        <a:ext cx="7200900" cy="38100"/>
                      </a:xfrm>
                      <a:prstGeom prst="line">
                        <a:avLst/>
                      </a:prstGeom>
                      <a:ln>
                        <a:solidFill>
                          <a:srgbClr val="0046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8393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7.95pt" to="499.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" strokecolor="#004689" strokeweight="2pt"/>
          </w:pict>
        </mc:Fallback>
      </mc:AlternateContent>
    </w:r>
    <w:r>
      <w:rPr>
        <w:rFonts w:ascii="Arial Narrow" w:hAnsi="Arial Narrow" w:cs="Frutiger-Cn"/>
      </w:rPr>
      <w:tab/>
    </w:r>
    <w:r>
      <w:rPr>
        <w:rFonts w:ascii="Arial Narrow" w:hAnsi="Arial Narrow" w:cs="Frutiger-Cn"/>
      </w:rPr>
      <w:tab/>
    </w:r>
    <w:r>
      <w:rPr>
        <w:rFonts w:ascii="Arial Narrow" w:hAnsi="Arial Narrow" w:cs="Frutiger-Cn"/>
      </w:rPr>
      <w:tab/>
    </w:r>
    <w:r>
      <w:rPr>
        <w:rFonts w:ascii="Arial Narrow" w:hAnsi="Arial Narrow" w:cs="Frutiger-Cn"/>
      </w:rPr>
      <w:tab/>
    </w:r>
    <w:r>
      <w:rPr>
        <w:rFonts w:ascii="Arial Narrow" w:hAnsi="Arial Narrow" w:cs="Frutiger-Cn"/>
      </w:rPr>
      <w:tab/>
    </w:r>
    <w:r>
      <w:rPr>
        <w:rFonts w:ascii="Arial Narrow" w:hAnsi="Arial Narrow" w:cs="Frutiger-Cn"/>
      </w:rPr>
      <w:tab/>
    </w:r>
    <w:r>
      <w:rPr>
        <w:rFonts w:ascii="Arial Narrow" w:hAnsi="Arial Narrow" w:cs="Frutiger-Cn"/>
      </w:rPr>
      <w:tab/>
    </w:r>
    <w:r>
      <w:t>|</w:t>
    </w:r>
    <w:r>
      <w:rPr>
        <w:b/>
        <w:bCs/>
      </w:rPr>
      <w:t xml:space="preserve"> </w:t>
    </w:r>
    <w:r>
      <w:rPr>
        <w:color w:val="7F7F7F" w:themeColor="background1" w:themeShade="7F"/>
        <w:spacing w:val="60"/>
      </w:rPr>
      <w:t xml:space="preserve">Page </w:t>
    </w:r>
    <w:r w:rsidRPr="00CD5FF0">
      <w:rPr>
        <w:color w:val="7F7F7F" w:themeColor="background1" w:themeShade="7F"/>
        <w:spacing w:val="60"/>
      </w:rPr>
      <w:fldChar w:fldCharType="begin"/>
    </w:r>
    <w:r w:rsidRPr="00CD5FF0">
      <w:rPr>
        <w:color w:val="7F7F7F" w:themeColor="background1" w:themeShade="7F"/>
        <w:spacing w:val="60"/>
      </w:rPr>
      <w:instrText xml:space="preserve"> PAGE   \* MERGEFORMAT </w:instrText>
    </w:r>
    <w:r w:rsidRPr="00CD5FF0">
      <w:rPr>
        <w:color w:val="7F7F7F" w:themeColor="background1" w:themeShade="7F"/>
        <w:spacing w:val="60"/>
      </w:rPr>
      <w:fldChar w:fldCharType="separate"/>
    </w:r>
    <w:r w:rsidR="00F77640">
      <w:rPr>
        <w:noProof/>
        <w:color w:val="7F7F7F" w:themeColor="background1" w:themeShade="7F"/>
        <w:spacing w:val="60"/>
      </w:rPr>
      <w:t>2</w:t>
    </w:r>
    <w:r w:rsidRPr="00CD5FF0">
      <w:rPr>
        <w:noProof/>
        <w:color w:val="7F7F7F" w:themeColor="background1" w:themeShade="7F"/>
        <w:spacing w:val="60"/>
      </w:rPr>
      <w:fldChar w:fldCharType="end"/>
    </w:r>
  </w:p>
  <w:p w14:paraId="3EEA7C2B" w14:textId="77777777" w:rsidR="005D69B3" w:rsidRPr="00AD3C23" w:rsidRDefault="005D69B3" w:rsidP="0001666D">
    <w:pPr>
      <w:pStyle w:val="BasicParagraph"/>
      <w:tabs>
        <w:tab w:val="left" w:pos="320"/>
      </w:tabs>
      <w:spacing w:line="360" w:lineRule="auto"/>
      <w:ind w:left="-1134"/>
    </w:pPr>
    <w:r w:rsidRPr="00AD3C2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818C" w14:textId="77777777" w:rsidR="005D69B3" w:rsidRDefault="00847543" w:rsidP="00C82BB2">
    <w:pPr>
      <w:pStyle w:val="BasicParagraph"/>
      <w:tabs>
        <w:tab w:val="left" w:pos="320"/>
      </w:tabs>
      <w:spacing w:line="360" w:lineRule="auto"/>
      <w:ind w:left="-1134"/>
      <w:rPr>
        <w:rFonts w:ascii="Frutiger-Cn" w:hAnsi="Frutiger-Cn" w:cs="Frutiger-Cn"/>
      </w:rPr>
    </w:pPr>
    <w:r>
      <w:rPr>
        <w:rFonts w:ascii="Frutiger-Cn" w:hAnsi="Frutiger-Cn" w:cs="Frutiger-Cn"/>
        <w:noProof/>
        <w:lang w:eastAsia="en-US"/>
      </w:rPr>
      <mc:AlternateContent>
        <mc:Choice Requires="wps">
          <w:drawing>
            <wp:anchor distT="0" distB="0" distL="114300" distR="114300" simplePos="0" relativeHeight="251658241" behindDoc="0" locked="0" layoutInCell="1" allowOverlap="1" wp14:anchorId="134B4F3F" wp14:editId="4B2BD2B7">
              <wp:simplePos x="0" y="0"/>
              <wp:positionH relativeFrom="column">
                <wp:posOffset>-862965</wp:posOffset>
              </wp:positionH>
              <wp:positionV relativeFrom="paragraph">
                <wp:posOffset>100965</wp:posOffset>
              </wp:positionV>
              <wp:extent cx="7200900" cy="38100"/>
              <wp:effectExtent l="0" t="0" r="38100" b="38100"/>
              <wp:wrapNone/>
              <wp:docPr id="8" name="Straight Connector 8"/>
              <wp:cNvGraphicFramePr/>
              <a:graphic xmlns:a="http://schemas.openxmlformats.org/drawingml/2006/main">
                <a:graphicData uri="http://schemas.microsoft.com/office/word/2010/wordprocessingShape">
                  <wps:wsp>
                    <wps:cNvCnPr/>
                    <wps:spPr>
                      <a:xfrm>
                        <a:off x="0" y="0"/>
                        <a:ext cx="7200900" cy="38100"/>
                      </a:xfrm>
                      <a:prstGeom prst="line">
                        <a:avLst/>
                      </a:prstGeom>
                      <a:ln>
                        <a:solidFill>
                          <a:srgbClr val="00468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121F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7.95pt" to="49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" strokecolor="#004689" strokeweight="2pt"/>
          </w:pict>
        </mc:Fallback>
      </mc:AlternateContent>
    </w:r>
  </w:p>
  <w:p w14:paraId="4CE790DB" w14:textId="77777777" w:rsidR="001B3AE7" w:rsidRDefault="001B3AE7" w:rsidP="001B3AE7">
    <w:pPr>
      <w:widowControl w:val="0"/>
      <w:autoSpaceDE w:val="0"/>
      <w:autoSpaceDN w:val="0"/>
      <w:adjustRightInd w:val="0"/>
      <w:jc w:val="center"/>
      <w:rPr>
        <w:rFonts w:ascii="Calibri" w:hAnsi="Calibri"/>
        <w:color w:val="0B5B9F"/>
        <w:sz w:val="16"/>
        <w:szCs w:val="16"/>
      </w:rPr>
    </w:pPr>
    <w:r w:rsidRPr="00D00CF0">
      <w:rPr>
        <w:rFonts w:ascii="Calibri" w:hAnsi="Calibri"/>
        <w:color w:val="0B5B9F"/>
        <w:sz w:val="16"/>
        <w:szCs w:val="16"/>
      </w:rPr>
      <w:t>Wellington Source Water Protection</w:t>
    </w:r>
  </w:p>
  <w:p w14:paraId="6AAD001E" w14:textId="67A7935C" w:rsidR="001B3AE7" w:rsidRDefault="001B3AE7" w:rsidP="001B3AE7">
    <w:pPr>
      <w:widowControl w:val="0"/>
      <w:autoSpaceDE w:val="0"/>
      <w:autoSpaceDN w:val="0"/>
      <w:adjustRightInd w:val="0"/>
      <w:jc w:val="center"/>
      <w:rPr>
        <w:rFonts w:ascii="Calibri" w:hAnsi="Calibri"/>
        <w:color w:val="0B5B9F"/>
        <w:sz w:val="16"/>
        <w:szCs w:val="16"/>
      </w:rPr>
    </w:pPr>
    <w:r w:rsidRPr="00D00CF0">
      <w:rPr>
        <w:rFonts w:ascii="Calibri" w:hAnsi="Calibri"/>
        <w:color w:val="0B5B9F"/>
        <w:sz w:val="16"/>
        <w:szCs w:val="16"/>
      </w:rPr>
      <w:t>Risk Management Office</w:t>
    </w:r>
    <w:r>
      <w:rPr>
        <w:rFonts w:ascii="Calibri" w:hAnsi="Calibri"/>
        <w:color w:val="0B5B9F"/>
        <w:sz w:val="16"/>
        <w:szCs w:val="16"/>
      </w:rPr>
      <w:t xml:space="preserve"> | </w:t>
    </w:r>
    <w:r>
      <w:rPr>
        <w:rFonts w:ascii="Calibri" w:hAnsi="Calibri"/>
        <w:color w:val="0B5B9F"/>
        <w:sz w:val="16"/>
        <w:szCs w:val="16"/>
      </w:rPr>
      <w:t>1 MacDonald Square</w:t>
    </w:r>
    <w:r>
      <w:rPr>
        <w:rFonts w:ascii="Calibri" w:hAnsi="Calibri"/>
        <w:color w:val="0B5B9F"/>
        <w:sz w:val="16"/>
        <w:szCs w:val="16"/>
      </w:rPr>
      <w:t xml:space="preserve">, </w:t>
    </w:r>
    <w:r w:rsidRPr="00D00CF0">
      <w:rPr>
        <w:rFonts w:ascii="Calibri" w:hAnsi="Calibri"/>
        <w:color w:val="0B5B9F"/>
        <w:sz w:val="16"/>
        <w:szCs w:val="16"/>
      </w:rPr>
      <w:t>Elora, ON, N0B 1S0</w:t>
    </w:r>
  </w:p>
  <w:p w14:paraId="09EA6195" w14:textId="77777777" w:rsidR="001B3AE7" w:rsidRPr="00976B2F" w:rsidRDefault="001B3AE7" w:rsidP="001B3AE7">
    <w:pPr>
      <w:widowControl w:val="0"/>
      <w:autoSpaceDE w:val="0"/>
      <w:autoSpaceDN w:val="0"/>
      <w:adjustRightInd w:val="0"/>
      <w:jc w:val="center"/>
      <w:rPr>
        <w:rFonts w:ascii="Calibri" w:hAnsi="Calibri"/>
        <w:color w:val="0000FF" w:themeColor="hyperlink"/>
        <w:sz w:val="16"/>
        <w:szCs w:val="16"/>
        <w:u w:val="single"/>
      </w:rPr>
    </w:pPr>
    <w:r w:rsidRPr="00D00CF0">
      <w:rPr>
        <w:rFonts w:ascii="Calibri" w:hAnsi="Calibri"/>
        <w:color w:val="0B5B9F"/>
        <w:sz w:val="16"/>
        <w:szCs w:val="16"/>
      </w:rPr>
      <w:t>1-844-383-9800</w:t>
    </w:r>
    <w:r>
      <w:rPr>
        <w:rFonts w:ascii="Calibri" w:hAnsi="Calibri"/>
        <w:color w:val="0B5B9F"/>
        <w:sz w:val="16"/>
        <w:szCs w:val="16"/>
      </w:rPr>
      <w:t xml:space="preserve"> | </w:t>
    </w:r>
    <w:hyperlink r:id="rId1" w:history="1">
      <w:r w:rsidRPr="00C2279A">
        <w:rPr>
          <w:rStyle w:val="Hyperlink"/>
          <w:rFonts w:ascii="Calibri" w:hAnsi="Calibri"/>
          <w:sz w:val="16"/>
          <w:szCs w:val="16"/>
          <w:u w:val="none"/>
        </w:rPr>
        <w:t>sourcewater@centrewellington.ca</w:t>
      </w:r>
    </w:hyperlink>
    <w:r w:rsidRPr="00976B2F">
      <w:rPr>
        <w:rStyle w:val="Hyperlink"/>
        <w:rFonts w:ascii="Calibri" w:hAnsi="Calibri"/>
        <w:sz w:val="16"/>
        <w:szCs w:val="16"/>
        <w:u w:val="none"/>
      </w:rPr>
      <w:t xml:space="preserve"> |</w:t>
    </w:r>
    <w:r>
      <w:rPr>
        <w:rStyle w:val="Hyperlink"/>
        <w:rFonts w:ascii="Calibri" w:hAnsi="Calibri"/>
        <w:sz w:val="16"/>
        <w:szCs w:val="16"/>
        <w:u w:val="none"/>
      </w:rPr>
      <w:t xml:space="preserve"> </w:t>
    </w:r>
    <w:r w:rsidRPr="00114D93">
      <w:rPr>
        <w:b/>
        <w:color w:val="8DBC28"/>
        <w:sz w:val="16"/>
        <w:szCs w:val="16"/>
      </w:rPr>
      <w:t>wellingtonwater.ca</w:t>
    </w:r>
  </w:p>
  <w:p w14:paraId="10A2F866" w14:textId="77777777" w:rsidR="005D69B3" w:rsidRDefault="005D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BD70" w14:textId="77777777" w:rsidR="005D00DD" w:rsidRDefault="005D00DD" w:rsidP="0003741F">
      <w:r>
        <w:separator/>
      </w:r>
    </w:p>
  </w:footnote>
  <w:footnote w:type="continuationSeparator" w:id="0">
    <w:p w14:paraId="70AA5D7D" w14:textId="77777777" w:rsidR="005D00DD" w:rsidRDefault="005D00DD" w:rsidP="0003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EC5A" w14:textId="77777777" w:rsidR="005D69B3" w:rsidRDefault="005D69B3" w:rsidP="00C82BB2">
    <w:pPr>
      <w:pStyle w:val="Header"/>
      <w:tabs>
        <w:tab w:val="clear" w:pos="4320"/>
        <w:tab w:val="clear" w:pos="8640"/>
        <w:tab w:val="left" w:pos="1680"/>
      </w:tabs>
      <w:ind w:left="-113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91DA" w14:textId="31731386" w:rsidR="005D69B3" w:rsidRDefault="00F77640" w:rsidP="00346DE5">
    <w:pPr>
      <w:pStyle w:val="Header"/>
      <w:tabs>
        <w:tab w:val="clear" w:pos="4320"/>
        <w:tab w:val="clear" w:pos="8640"/>
        <w:tab w:val="left" w:pos="1680"/>
      </w:tabs>
      <w:ind w:left="-1134"/>
    </w:pPr>
    <w:r>
      <w:rPr>
        <w:noProof/>
      </w:rPr>
      <w:t xml:space="preserve">          </w:t>
    </w:r>
    <w:r w:rsidR="00D86A5C">
      <w:rPr>
        <w:rFonts w:ascii="Arial" w:hAnsi="Arial" w:cs="Arial"/>
        <w:noProof/>
        <w:szCs w:val="24"/>
      </w:rPr>
      <w:drawing>
        <wp:anchor distT="0" distB="0" distL="114300" distR="114300" simplePos="0" relativeHeight="251658242" behindDoc="1" locked="0" layoutInCell="1" allowOverlap="1" wp14:anchorId="15DD279E" wp14:editId="2D647FA5">
          <wp:simplePos x="0" y="0"/>
          <wp:positionH relativeFrom="column">
            <wp:align>right</wp:align>
          </wp:positionH>
          <wp:positionV relativeFrom="paragraph">
            <wp:posOffset>251460</wp:posOffset>
          </wp:positionV>
          <wp:extent cx="1576800" cy="907200"/>
          <wp:effectExtent l="0" t="0" r="4445" b="7620"/>
          <wp:wrapTight wrapText="bothSides">
            <wp:wrapPolygon edited="0">
              <wp:start x="0" y="0"/>
              <wp:lineTo x="0" y="21328"/>
              <wp:lineTo x="21400" y="21328"/>
              <wp:lineTo x="21400" y="0"/>
              <wp:lineTo x="0" y="0"/>
            </wp:wrapPolygon>
          </wp:wrapTight>
          <wp:docPr id="2838717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71768" name="Picture 1" descr="A close-up of a logo&#10;&#10;Description automatically generated"/>
                  <pic:cNvPicPr/>
                </pic:nvPicPr>
                <pic:blipFill>
                  <a:blip r:embed="rId1"/>
                  <a:stretch>
                    <a:fillRect/>
                  </a:stretch>
                </pic:blipFill>
                <pic:spPr>
                  <a:xfrm>
                    <a:off x="0" y="0"/>
                    <a:ext cx="1576800" cy="90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EE4"/>
    <w:multiLevelType w:val="hybridMultilevel"/>
    <w:tmpl w:val="6602E3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D0F89"/>
    <w:multiLevelType w:val="hybridMultilevel"/>
    <w:tmpl w:val="6602E3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570C3D"/>
    <w:multiLevelType w:val="hybridMultilevel"/>
    <w:tmpl w:val="416E82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0A31CBB"/>
    <w:multiLevelType w:val="hybridMultilevel"/>
    <w:tmpl w:val="D3BA27DC"/>
    <w:lvl w:ilvl="0" w:tplc="528ADD5A">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CA514A8"/>
    <w:multiLevelType w:val="hybridMultilevel"/>
    <w:tmpl w:val="3A08CE68"/>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3128794">
    <w:abstractNumId w:val="3"/>
  </w:num>
  <w:num w:numId="2" w16cid:durableId="923538810">
    <w:abstractNumId w:val="1"/>
  </w:num>
  <w:num w:numId="3" w16cid:durableId="695933474">
    <w:abstractNumId w:val="2"/>
  </w:num>
  <w:num w:numId="4" w16cid:durableId="1241909971">
    <w:abstractNumId w:val="0"/>
  </w:num>
  <w:num w:numId="5" w16cid:durableId="194094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F"/>
    <w:rsid w:val="00000978"/>
    <w:rsid w:val="0001666D"/>
    <w:rsid w:val="00022CC0"/>
    <w:rsid w:val="0003741F"/>
    <w:rsid w:val="00043BBE"/>
    <w:rsid w:val="000570FF"/>
    <w:rsid w:val="0006096B"/>
    <w:rsid w:val="0006648D"/>
    <w:rsid w:val="000718DB"/>
    <w:rsid w:val="0007787D"/>
    <w:rsid w:val="00086B70"/>
    <w:rsid w:val="00092B17"/>
    <w:rsid w:val="00097237"/>
    <w:rsid w:val="000B7726"/>
    <w:rsid w:val="000D676E"/>
    <w:rsid w:val="000E5EBB"/>
    <w:rsid w:val="000F6B7E"/>
    <w:rsid w:val="001310D3"/>
    <w:rsid w:val="00133260"/>
    <w:rsid w:val="00133ACD"/>
    <w:rsid w:val="00164DDF"/>
    <w:rsid w:val="001A1FFF"/>
    <w:rsid w:val="001A20D6"/>
    <w:rsid w:val="001B3AE7"/>
    <w:rsid w:val="001B5D5C"/>
    <w:rsid w:val="001D11C5"/>
    <w:rsid w:val="001D6794"/>
    <w:rsid w:val="001E7E9F"/>
    <w:rsid w:val="001F0EA9"/>
    <w:rsid w:val="002546DF"/>
    <w:rsid w:val="00270398"/>
    <w:rsid w:val="00286337"/>
    <w:rsid w:val="00287FA2"/>
    <w:rsid w:val="002B2DAC"/>
    <w:rsid w:val="002D00C0"/>
    <w:rsid w:val="002D39B1"/>
    <w:rsid w:val="002E52A4"/>
    <w:rsid w:val="002E5BEA"/>
    <w:rsid w:val="00312C3E"/>
    <w:rsid w:val="00325C92"/>
    <w:rsid w:val="00327E29"/>
    <w:rsid w:val="00346DE5"/>
    <w:rsid w:val="0037565A"/>
    <w:rsid w:val="00385ED5"/>
    <w:rsid w:val="003970A6"/>
    <w:rsid w:val="003A37CB"/>
    <w:rsid w:val="003A5B2F"/>
    <w:rsid w:val="003C14AC"/>
    <w:rsid w:val="003E678B"/>
    <w:rsid w:val="00447840"/>
    <w:rsid w:val="00462ED2"/>
    <w:rsid w:val="004A2B47"/>
    <w:rsid w:val="00503C85"/>
    <w:rsid w:val="0050587F"/>
    <w:rsid w:val="00512168"/>
    <w:rsid w:val="005130AB"/>
    <w:rsid w:val="00514FD9"/>
    <w:rsid w:val="00572092"/>
    <w:rsid w:val="0057457F"/>
    <w:rsid w:val="00576F4C"/>
    <w:rsid w:val="00582AC7"/>
    <w:rsid w:val="0059049C"/>
    <w:rsid w:val="005A1012"/>
    <w:rsid w:val="005A799C"/>
    <w:rsid w:val="005C0820"/>
    <w:rsid w:val="005D00DD"/>
    <w:rsid w:val="005D2FCC"/>
    <w:rsid w:val="005D69B3"/>
    <w:rsid w:val="005D711C"/>
    <w:rsid w:val="00604E67"/>
    <w:rsid w:val="00605EDF"/>
    <w:rsid w:val="00611CB9"/>
    <w:rsid w:val="006202E7"/>
    <w:rsid w:val="006321B6"/>
    <w:rsid w:val="0067514F"/>
    <w:rsid w:val="006B3C59"/>
    <w:rsid w:val="006B6E80"/>
    <w:rsid w:val="006D0AA1"/>
    <w:rsid w:val="006E2479"/>
    <w:rsid w:val="006E3B64"/>
    <w:rsid w:val="006E3E7A"/>
    <w:rsid w:val="006F0CF8"/>
    <w:rsid w:val="006F1197"/>
    <w:rsid w:val="007051E0"/>
    <w:rsid w:val="00715EC5"/>
    <w:rsid w:val="0072138C"/>
    <w:rsid w:val="0072574A"/>
    <w:rsid w:val="00740DA4"/>
    <w:rsid w:val="00754197"/>
    <w:rsid w:val="00755D95"/>
    <w:rsid w:val="00766F9D"/>
    <w:rsid w:val="00781971"/>
    <w:rsid w:val="00785A90"/>
    <w:rsid w:val="007A1760"/>
    <w:rsid w:val="008040DA"/>
    <w:rsid w:val="00806496"/>
    <w:rsid w:val="008404B3"/>
    <w:rsid w:val="00847543"/>
    <w:rsid w:val="00857A20"/>
    <w:rsid w:val="00865E82"/>
    <w:rsid w:val="00876F8B"/>
    <w:rsid w:val="008844C2"/>
    <w:rsid w:val="008A5AD6"/>
    <w:rsid w:val="008D0431"/>
    <w:rsid w:val="008E5DF9"/>
    <w:rsid w:val="008F7D5F"/>
    <w:rsid w:val="009217E8"/>
    <w:rsid w:val="0093779B"/>
    <w:rsid w:val="0095056B"/>
    <w:rsid w:val="00951B14"/>
    <w:rsid w:val="009539DE"/>
    <w:rsid w:val="00966B77"/>
    <w:rsid w:val="00970A8A"/>
    <w:rsid w:val="00970EC9"/>
    <w:rsid w:val="009B4616"/>
    <w:rsid w:val="009B7B44"/>
    <w:rsid w:val="009C0E38"/>
    <w:rsid w:val="009C4BF0"/>
    <w:rsid w:val="009C69B7"/>
    <w:rsid w:val="009D3DDC"/>
    <w:rsid w:val="009E5118"/>
    <w:rsid w:val="009F172C"/>
    <w:rsid w:val="009F45D8"/>
    <w:rsid w:val="009F670B"/>
    <w:rsid w:val="009F796C"/>
    <w:rsid w:val="00A0271C"/>
    <w:rsid w:val="00A155B2"/>
    <w:rsid w:val="00A1613D"/>
    <w:rsid w:val="00A23089"/>
    <w:rsid w:val="00A32B16"/>
    <w:rsid w:val="00A6348B"/>
    <w:rsid w:val="00AD3C23"/>
    <w:rsid w:val="00B33B6E"/>
    <w:rsid w:val="00B66F28"/>
    <w:rsid w:val="00B83811"/>
    <w:rsid w:val="00B96511"/>
    <w:rsid w:val="00B96C00"/>
    <w:rsid w:val="00BA34EC"/>
    <w:rsid w:val="00BF7672"/>
    <w:rsid w:val="00C54E74"/>
    <w:rsid w:val="00C73AAF"/>
    <w:rsid w:val="00C7425B"/>
    <w:rsid w:val="00C82BB2"/>
    <w:rsid w:val="00CC5D14"/>
    <w:rsid w:val="00CD2516"/>
    <w:rsid w:val="00CD61BE"/>
    <w:rsid w:val="00CE3F51"/>
    <w:rsid w:val="00CE4354"/>
    <w:rsid w:val="00CE758C"/>
    <w:rsid w:val="00CF316D"/>
    <w:rsid w:val="00CF32A1"/>
    <w:rsid w:val="00CF4888"/>
    <w:rsid w:val="00D0571D"/>
    <w:rsid w:val="00D1430C"/>
    <w:rsid w:val="00D177A0"/>
    <w:rsid w:val="00D25C46"/>
    <w:rsid w:val="00D502EF"/>
    <w:rsid w:val="00D675BA"/>
    <w:rsid w:val="00D86A5C"/>
    <w:rsid w:val="00DA2B59"/>
    <w:rsid w:val="00DB2538"/>
    <w:rsid w:val="00DD039B"/>
    <w:rsid w:val="00DE7CA8"/>
    <w:rsid w:val="00DF7707"/>
    <w:rsid w:val="00E02369"/>
    <w:rsid w:val="00E1417B"/>
    <w:rsid w:val="00E15063"/>
    <w:rsid w:val="00E67708"/>
    <w:rsid w:val="00EB3884"/>
    <w:rsid w:val="00ED0021"/>
    <w:rsid w:val="00ED40E0"/>
    <w:rsid w:val="00ED4A52"/>
    <w:rsid w:val="00ED55CF"/>
    <w:rsid w:val="00F11779"/>
    <w:rsid w:val="00F11B26"/>
    <w:rsid w:val="00F309D7"/>
    <w:rsid w:val="00F35640"/>
    <w:rsid w:val="00F360FD"/>
    <w:rsid w:val="00F458BC"/>
    <w:rsid w:val="00F554EF"/>
    <w:rsid w:val="00F64740"/>
    <w:rsid w:val="00F76888"/>
    <w:rsid w:val="00F77640"/>
    <w:rsid w:val="00F91308"/>
    <w:rsid w:val="00FA27EA"/>
    <w:rsid w:val="00FA7A35"/>
    <w:rsid w:val="00FB60FF"/>
    <w:rsid w:val="00FC5A55"/>
    <w:rsid w:val="00FE7308"/>
    <w:rsid w:val="00FF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0395A8AD"/>
  <w14:defaultImageDpi w14:val="300"/>
  <w15:docId w15:val="{01B3FF2C-A06C-431A-BABD-B00C1AF6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348B"/>
    <w:rPr>
      <w:rFonts w:ascii="Lucida Grande" w:hAnsi="Lucida Grande"/>
      <w:sz w:val="18"/>
      <w:szCs w:val="18"/>
    </w:rPr>
  </w:style>
  <w:style w:type="paragraph" w:styleId="Header">
    <w:name w:val="header"/>
    <w:basedOn w:val="Normal"/>
    <w:link w:val="HeaderChar"/>
    <w:uiPriority w:val="99"/>
    <w:unhideWhenUsed/>
    <w:rsid w:val="0003741F"/>
    <w:pPr>
      <w:tabs>
        <w:tab w:val="center" w:pos="4320"/>
        <w:tab w:val="right" w:pos="8640"/>
      </w:tabs>
    </w:pPr>
  </w:style>
  <w:style w:type="character" w:customStyle="1" w:styleId="HeaderChar">
    <w:name w:val="Header Char"/>
    <w:basedOn w:val="DefaultParagraphFont"/>
    <w:link w:val="Header"/>
    <w:uiPriority w:val="99"/>
    <w:rsid w:val="0003741F"/>
    <w:rPr>
      <w:sz w:val="24"/>
      <w:lang w:eastAsia="en-US"/>
    </w:rPr>
  </w:style>
  <w:style w:type="paragraph" w:styleId="Footer">
    <w:name w:val="footer"/>
    <w:basedOn w:val="Normal"/>
    <w:link w:val="FooterChar"/>
    <w:uiPriority w:val="99"/>
    <w:unhideWhenUsed/>
    <w:rsid w:val="0003741F"/>
    <w:pPr>
      <w:tabs>
        <w:tab w:val="center" w:pos="4320"/>
        <w:tab w:val="right" w:pos="8640"/>
      </w:tabs>
    </w:pPr>
  </w:style>
  <w:style w:type="character" w:customStyle="1" w:styleId="FooterChar">
    <w:name w:val="Footer Char"/>
    <w:basedOn w:val="DefaultParagraphFont"/>
    <w:link w:val="Footer"/>
    <w:uiPriority w:val="99"/>
    <w:rsid w:val="0003741F"/>
    <w:rPr>
      <w:sz w:val="24"/>
      <w:lang w:eastAsia="en-US"/>
    </w:rPr>
  </w:style>
  <w:style w:type="paragraph" w:customStyle="1" w:styleId="BasicParagraph">
    <w:name w:val="[Basic Paragraph]"/>
    <w:basedOn w:val="Normal"/>
    <w:uiPriority w:val="99"/>
    <w:rsid w:val="0003741F"/>
    <w:pPr>
      <w:widowControl w:val="0"/>
      <w:autoSpaceDE w:val="0"/>
      <w:autoSpaceDN w:val="0"/>
      <w:adjustRightInd w:val="0"/>
      <w:spacing w:line="288" w:lineRule="auto"/>
      <w:textAlignment w:val="center"/>
    </w:pPr>
    <w:rPr>
      <w:rFonts w:ascii="MinionPro-Regular" w:hAnsi="MinionPro-Regular" w:cs="MinionPro-Regular"/>
      <w:color w:val="000000"/>
      <w:szCs w:val="24"/>
      <w:lang w:eastAsia="ja-JP"/>
    </w:rPr>
  </w:style>
  <w:style w:type="character" w:styleId="Hyperlink">
    <w:name w:val="Hyperlink"/>
    <w:basedOn w:val="DefaultParagraphFont"/>
    <w:uiPriority w:val="99"/>
    <w:unhideWhenUsed/>
    <w:rsid w:val="00F77640"/>
    <w:rPr>
      <w:color w:val="0000FF" w:themeColor="hyperlink"/>
      <w:u w:val="single"/>
    </w:rPr>
  </w:style>
  <w:style w:type="table" w:customStyle="1" w:styleId="TableGrid">
    <w:name w:val="TableGrid"/>
    <w:rsid w:val="007A1760"/>
    <w:rPr>
      <w:rFonts w:asciiTheme="minorHAnsi" w:hAnsiTheme="minorHAnsi" w:cstheme="minorBidi"/>
      <w:sz w:val="22"/>
      <w:szCs w:val="22"/>
      <w:lang w:val="en-CA" w:eastAsia="en-CA"/>
    </w:rPr>
    <w:tblPr>
      <w:tblCellMar>
        <w:top w:w="0" w:type="dxa"/>
        <w:left w:w="0" w:type="dxa"/>
        <w:bottom w:w="0" w:type="dxa"/>
        <w:right w:w="0" w:type="dxa"/>
      </w:tblCellMar>
    </w:tblPr>
  </w:style>
  <w:style w:type="paragraph" w:styleId="ListParagraph">
    <w:name w:val="List Paragraph"/>
    <w:basedOn w:val="Normal"/>
    <w:uiPriority w:val="34"/>
    <w:qFormat/>
    <w:rsid w:val="002D39B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field-wrapper">
    <w:name w:val="field-wrapper"/>
    <w:basedOn w:val="DefaultParagraphFont"/>
    <w:rsid w:val="00970EC9"/>
  </w:style>
  <w:style w:type="paragraph" w:customStyle="1" w:styleId="address">
    <w:name w:val="address"/>
    <w:basedOn w:val="Normal"/>
    <w:rsid w:val="00970EC9"/>
    <w:pPr>
      <w:spacing w:before="100" w:beforeAutospacing="1" w:after="100" w:afterAutospacing="1"/>
    </w:pPr>
    <w:rPr>
      <w:rFonts w:eastAsia="Times New Roman"/>
      <w:szCs w:val="24"/>
      <w:lang w:val="en-CA" w:eastAsia="en-CA"/>
    </w:rPr>
  </w:style>
  <w:style w:type="character" w:styleId="UnresolvedMention">
    <w:name w:val="Unresolved Mention"/>
    <w:basedOn w:val="DefaultParagraphFont"/>
    <w:uiPriority w:val="99"/>
    <w:semiHidden/>
    <w:unhideWhenUsed/>
    <w:rsid w:val="0074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18277">
      <w:bodyDiv w:val="1"/>
      <w:marLeft w:val="0"/>
      <w:marRight w:val="0"/>
      <w:marTop w:val="0"/>
      <w:marBottom w:val="0"/>
      <w:divBdr>
        <w:top w:val="none" w:sz="0" w:space="0" w:color="auto"/>
        <w:left w:val="none" w:sz="0" w:space="0" w:color="auto"/>
        <w:bottom w:val="none" w:sz="0" w:space="0" w:color="auto"/>
        <w:right w:val="none" w:sz="0" w:space="0" w:color="auto"/>
      </w:divBdr>
      <w:divsChild>
        <w:div w:id="295993334">
          <w:marLeft w:val="0"/>
          <w:marRight w:val="0"/>
          <w:marTop w:val="0"/>
          <w:marBottom w:val="0"/>
          <w:divBdr>
            <w:top w:val="none" w:sz="0" w:space="0" w:color="auto"/>
            <w:left w:val="none" w:sz="0" w:space="0" w:color="auto"/>
            <w:bottom w:val="none" w:sz="0" w:space="0" w:color="auto"/>
            <w:right w:val="none" w:sz="0" w:space="0" w:color="auto"/>
          </w:divBdr>
        </w:div>
        <w:div w:id="949819572">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779448945">
                  <w:marLeft w:val="0"/>
                  <w:marRight w:val="0"/>
                  <w:marTop w:val="0"/>
                  <w:marBottom w:val="0"/>
                  <w:divBdr>
                    <w:top w:val="none" w:sz="0" w:space="0" w:color="auto"/>
                    <w:left w:val="none" w:sz="0" w:space="0" w:color="auto"/>
                    <w:bottom w:val="none" w:sz="0" w:space="0" w:color="auto"/>
                    <w:right w:val="none" w:sz="0" w:space="0" w:color="auto"/>
                  </w:divBdr>
                </w:div>
                <w:div w:id="1778480045">
                  <w:marLeft w:val="0"/>
                  <w:marRight w:val="0"/>
                  <w:marTop w:val="0"/>
                  <w:marBottom w:val="0"/>
                  <w:divBdr>
                    <w:top w:val="none" w:sz="0" w:space="0" w:color="auto"/>
                    <w:left w:val="none" w:sz="0" w:space="0" w:color="auto"/>
                    <w:bottom w:val="none" w:sz="0" w:space="0" w:color="auto"/>
                    <w:right w:val="none" w:sz="0" w:space="0" w:color="auto"/>
                  </w:divBdr>
                  <w:divsChild>
                    <w:div w:id="1171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avis@centrewellington.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ourcewater@centrewellingt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637504-e084-4a68-9836-ee58b38da95a" xsi:nil="true"/>
    <lcf76f155ced4ddcb4097134ff3c332f xmlns="73cf8ce7-0122-47b3-8343-51e7ea1737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25D1A0C6C264C96DA54BE5675A2BF" ma:contentTypeVersion="16" ma:contentTypeDescription="Create a new document." ma:contentTypeScope="" ma:versionID="ccc2e3566ffa09093c4cd1a969075044">
  <xsd:schema xmlns:xsd="http://www.w3.org/2001/XMLSchema" xmlns:xs="http://www.w3.org/2001/XMLSchema" xmlns:p="http://schemas.microsoft.com/office/2006/metadata/properties" xmlns:ns2="73cf8ce7-0122-47b3-8343-51e7ea1737ab" xmlns:ns3="78637504-e084-4a68-9836-ee58b38da95a" targetNamespace="http://schemas.microsoft.com/office/2006/metadata/properties" ma:root="true" ma:fieldsID="a207e623e18389ea0962609993725d7a" ns2:_="" ns3:_="">
    <xsd:import namespace="73cf8ce7-0122-47b3-8343-51e7ea1737ab"/>
    <xsd:import namespace="78637504-e084-4a68-9836-ee58b38da9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f8ce7-0122-47b3-8343-51e7ea173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3b643f-de72-45e5-a65e-4b4a65566f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37504-e084-4a68-9836-ee58b38da9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0a3346-714e-4b7e-a582-d3a1b546ff8e}" ma:internalName="TaxCatchAll" ma:showField="CatchAllData" ma:web="78637504-e084-4a68-9836-ee58b38da9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26EF-2816-4EE5-A8A5-13660F793F45}">
  <ds:schemaRefs>
    <ds:schemaRef ds:uri="http://schemas.microsoft.com/sharepoint/v3/contenttype/forms"/>
  </ds:schemaRefs>
</ds:datastoreItem>
</file>

<file path=customXml/itemProps2.xml><?xml version="1.0" encoding="utf-8"?>
<ds:datastoreItem xmlns:ds="http://schemas.openxmlformats.org/officeDocument/2006/customXml" ds:itemID="{4208EAA7-E046-440B-A5BD-E87510427D02}">
  <ds:schemaRefs>
    <ds:schemaRef ds:uri="http://schemas.microsoft.com/office/2006/metadata/properties"/>
    <ds:schemaRef ds:uri="http://schemas.microsoft.com/office/infopath/2007/PartnerControls"/>
    <ds:schemaRef ds:uri="78637504-e084-4a68-9836-ee58b38da95a"/>
    <ds:schemaRef ds:uri="73cf8ce7-0122-47b3-8343-51e7ea1737ab"/>
  </ds:schemaRefs>
</ds:datastoreItem>
</file>

<file path=customXml/itemProps3.xml><?xml version="1.0" encoding="utf-8"?>
<ds:datastoreItem xmlns:ds="http://schemas.openxmlformats.org/officeDocument/2006/customXml" ds:itemID="{D4BFC771-D2F8-4EE5-9E05-012498AC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f8ce7-0122-47b3-8343-51e7ea1737ab"/>
    <ds:schemaRef ds:uri="78637504-e084-4a68-9836-ee58b38da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18A6D-9324-470B-8AEB-1C2310E6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1477</Words>
  <Characters>8187</Characters>
  <Application>Microsoft Office Word</Application>
  <DocSecurity>0</DocSecurity>
  <Lines>181</Lines>
  <Paragraphs>41</Paragraphs>
  <ScaleCrop>false</ScaleCrop>
  <HeadingPairs>
    <vt:vector size="2" baseType="variant">
      <vt:variant>
        <vt:lpstr>Title</vt:lpstr>
      </vt:variant>
      <vt:variant>
        <vt:i4>1</vt:i4>
      </vt:variant>
    </vt:vector>
  </HeadingPairs>
  <TitlesOfParts>
    <vt:vector size="1" baseType="lpstr">
      <vt:lpstr/>
    </vt:vector>
  </TitlesOfParts>
  <Company>Mach One</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Ranahan</dc:creator>
  <cp:keywords/>
  <dc:description/>
  <cp:lastModifiedBy>Kyle Davis</cp:lastModifiedBy>
  <cp:revision>148</cp:revision>
  <cp:lastPrinted>2018-05-07T19:02:00Z</cp:lastPrinted>
  <dcterms:created xsi:type="dcterms:W3CDTF">2023-10-30T19:26:00Z</dcterms:created>
  <dcterms:modified xsi:type="dcterms:W3CDTF">2025-12-04T21:53:00Z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0x010100ECB25D1A0C6C264C96DA54BE5675A2BF</vt:lpwstr>
  </property>
  <property fmtid="{D5CDD505-2E9C-101B-9397-08002B2CF9AE}" pid="3" name="MediaServiceImageTags">
    <vt:lpwstr/>
  </property>
</Properties>
</file>