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474747"/>
        <w:tblCellMar>
          <w:left w:w="0" w:type="dxa"/>
          <w:right w:w="0" w:type="dxa"/>
        </w:tblCellMar>
        <w:tblLook w:val="04A0" w:firstRow="1" w:lastRow="0" w:firstColumn="1" w:lastColumn="0" w:noHBand="0" w:noVBand="1"/>
      </w:tblPr>
      <w:tblGrid>
        <w:gridCol w:w="9360"/>
      </w:tblGrid>
      <w:tr w:rsidR="00784D60">
        <w:trPr>
          <w:tblCellSpacing w:w="0" w:type="dxa"/>
        </w:trPr>
        <w:tc>
          <w:tcPr>
            <w:tcW w:w="0" w:type="auto"/>
            <w:shd w:val="clear" w:color="auto" w:fill="474747"/>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84D60">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194"/>
                  </w:tblGrid>
                  <w:tr w:rsidR="00784D60">
                    <w:trPr>
                      <w:tblCellSpacing w:w="0" w:type="dxa"/>
                      <w:jc w:val="center"/>
                    </w:trPr>
                    <w:tc>
                      <w:tcPr>
                        <w:tcW w:w="0" w:type="auto"/>
                        <w:tcBorders>
                          <w:top w:val="single" w:sz="2" w:space="0" w:color="3E3E3E"/>
                          <w:left w:val="single" w:sz="2" w:space="0" w:color="3E3E3E"/>
                          <w:bottom w:val="single" w:sz="2" w:space="0" w:color="3E3E3E"/>
                          <w:right w:val="single" w:sz="2" w:space="0" w:color="3E3E3E"/>
                        </w:tcBorders>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9360"/>
                                    </w:tblGrid>
                                    <w:tr w:rsidR="00784D60">
                                      <w:trPr>
                                        <w:tblCellSpacing w:w="0" w:type="dxa"/>
                                        <w:jc w:val="center"/>
                                      </w:trPr>
                                      <w:tc>
                                        <w:tcPr>
                                          <w:tcW w:w="0" w:type="auto"/>
                                          <w:vAlign w:val="center"/>
                                          <w:hideMark/>
                                        </w:tcPr>
                                        <w:p w:rsidR="00784D60" w:rsidRDefault="00784D60">
                                          <w:pPr>
                                            <w:jc w:val="center"/>
                                            <w:rPr>
                                              <w:rFonts w:ascii="Arial" w:eastAsia="Times New Roman" w:hAnsi="Arial" w:cs="Arial"/>
                                              <w:color w:val="3E3E3E"/>
                                              <w:sz w:val="21"/>
                                              <w:szCs w:val="21"/>
                                            </w:rPr>
                                          </w:pPr>
                                          <w:r>
                                            <w:rPr>
                                              <w:rStyle w:val="Hyperlink"/>
                                              <w:rFonts w:ascii="Arial" w:eastAsia="Times New Roman" w:hAnsi="Arial" w:cs="Arial"/>
                                              <w:b/>
                                              <w:bCs/>
                                              <w:noProof/>
                                              <w:color w:val="2C74FF"/>
                                              <w:sz w:val="21"/>
                                              <w:szCs w:val="21"/>
                                            </w:rPr>
                                            <w:drawing>
                                              <wp:inline distT="0" distB="0" distL="0" distR="0">
                                                <wp:extent cx="5943600" cy="3959225"/>
                                                <wp:effectExtent l="0" t="0" r="0" b="3175"/>
                                                <wp:docPr id="110698169" name="Picture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59225"/>
                                                        </a:xfrm>
                                                        <a:prstGeom prst="rect">
                                                          <a:avLst/>
                                                        </a:prstGeom>
                                                        <a:noFill/>
                                                        <a:ln>
                                                          <a:noFill/>
                                                        </a:ln>
                                                      </pic:spPr>
                                                    </pic:pic>
                                                  </a:graphicData>
                                                </a:graphic>
                                              </wp:inline>
                                            </w:drawing>
                                          </w:r>
                                        </w:p>
                                      </w:tc>
                                    </w:tr>
                                  </w:tbl>
                                  <w:p w:rsidR="00784D60" w:rsidRDefault="00784D60">
                                    <w:pPr>
                                      <w:jc w:val="center"/>
                                      <w:rPr>
                                        <w:rFonts w:ascii="Times New Roman" w:eastAsia="Times New Roman" w:hAnsi="Times New Roman" w:cs="Times New Roman"/>
                                        <w:sz w:val="20"/>
                                        <w:szCs w:val="20"/>
                                      </w:rPr>
                                    </w:pPr>
                                  </w:p>
                                </w:tc>
                              </w:tr>
                            </w:tbl>
                            <w:p w:rsidR="00784D60" w:rsidRDefault="00784D60">
                              <w:pPr>
                                <w:jc w:val="center"/>
                                <w:rPr>
                                  <w:rFonts w:ascii="Times New Roman" w:eastAsia="Times New Roman" w:hAnsi="Times New Roman" w:cs="Times New Roman"/>
                                  <w:sz w:val="20"/>
                                  <w:szCs w:val="20"/>
                                </w:rPr>
                              </w:pPr>
                            </w:p>
                          </w:tc>
                        </w:tr>
                      </w:tbl>
                      <w:p w:rsidR="00784D60" w:rsidRDefault="00784D6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0" w:type="auto"/>
                                    <w:tcMar>
                                      <w:top w:w="150" w:type="dxa"/>
                                      <w:left w:w="600" w:type="dxa"/>
                                      <w:bottom w:w="150" w:type="dxa"/>
                                      <w:right w:w="600" w:type="dxa"/>
                                    </w:tcMar>
                                    <w:hideMark/>
                                  </w:tcPr>
                                  <w:p w:rsidR="00784D60" w:rsidRDefault="00784D60">
                                    <w:pPr>
                                      <w:pStyle w:val="Heading1"/>
                                      <w:spacing w:before="0" w:after="0"/>
                                      <w:jc w:val="center"/>
                                      <w:rPr>
                                        <w:rFonts w:ascii="Tahoma" w:eastAsia="Times New Roman" w:hAnsi="Tahoma" w:cs="Tahoma"/>
                                        <w:color w:val="3E3E3E"/>
                                        <w:sz w:val="36"/>
                                        <w:szCs w:val="36"/>
                                      </w:rPr>
                                    </w:pPr>
                                    <w:r>
                                      <w:rPr>
                                        <w:rFonts w:ascii="Arial" w:eastAsia="Times New Roman" w:hAnsi="Arial" w:cs="Arial"/>
                                        <w:color w:val="000000"/>
                                        <w:sz w:val="36"/>
                                        <w:szCs w:val="36"/>
                                      </w:rPr>
                                      <w:t>Media Release</w:t>
                                    </w:r>
                                  </w:p>
                                </w:tc>
                              </w:tr>
                            </w:tbl>
                            <w:p w:rsidR="00784D60" w:rsidRDefault="00784D60">
                              <w:pPr>
                                <w:jc w:val="center"/>
                                <w:rPr>
                                  <w:rFonts w:ascii="Times New Roman" w:eastAsia="Times New Roman" w:hAnsi="Times New Roman" w:cs="Times New Roman"/>
                                  <w:sz w:val="20"/>
                                  <w:szCs w:val="20"/>
                                </w:rPr>
                              </w:pPr>
                            </w:p>
                          </w:tc>
                        </w:tr>
                      </w:tbl>
                      <w:p w:rsidR="00784D60" w:rsidRDefault="00784D6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5000" w:type="pct"/>
                                    <w:tcMar>
                                      <w:top w:w="150" w:type="dxa"/>
                                      <w:left w:w="600" w:type="dxa"/>
                                      <w:bottom w:w="150" w:type="dxa"/>
                                      <w:right w:w="6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784D60">
                                      <w:trPr>
                                        <w:trHeight w:val="15"/>
                                        <w:tblCellSpacing w:w="0" w:type="dxa"/>
                                        <w:jc w:val="center"/>
                                      </w:trPr>
                                      <w:tc>
                                        <w:tcPr>
                                          <w:tcW w:w="0" w:type="auto"/>
                                          <w:shd w:val="clear" w:color="auto" w:fill="000000"/>
                                          <w:vAlign w:val="center"/>
                                          <w:hideMark/>
                                        </w:tcPr>
                                        <w:p w:rsidR="00784D60" w:rsidRDefault="00784D60">
                                          <w:pPr>
                                            <w:spacing w:line="15" w:lineRule="atLeast"/>
                                            <w:jc w:val="center"/>
                                            <w:rPr>
                                              <w:rFonts w:eastAsia="Times New Roman"/>
                                            </w:rPr>
                                          </w:pPr>
                                          <w:r>
                                            <w:rPr>
                                              <w:rFonts w:eastAsia="Times New Roman"/>
                                              <w:noProof/>
                                            </w:rPr>
                                            <w:drawing>
                                              <wp:inline distT="0" distB="0" distL="0" distR="0">
                                                <wp:extent cx="47625" cy="9525"/>
                                                <wp:effectExtent l="0" t="0" r="0" b="0"/>
                                                <wp:docPr id="15168789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784D60" w:rsidRDefault="00784D60">
                                    <w:pPr>
                                      <w:jc w:val="center"/>
                                      <w:rPr>
                                        <w:rFonts w:ascii="Times New Roman" w:eastAsia="Times New Roman" w:hAnsi="Times New Roman" w:cs="Times New Roman"/>
                                        <w:sz w:val="20"/>
                                        <w:szCs w:val="20"/>
                                      </w:rPr>
                                    </w:pPr>
                                  </w:p>
                                </w:tc>
                              </w:tr>
                            </w:tbl>
                            <w:p w:rsidR="00784D60" w:rsidRDefault="00784D60">
                              <w:pPr>
                                <w:jc w:val="center"/>
                                <w:rPr>
                                  <w:rFonts w:ascii="Times New Roman" w:eastAsia="Times New Roman" w:hAnsi="Times New Roman" w:cs="Times New Roman"/>
                                  <w:sz w:val="20"/>
                                  <w:szCs w:val="20"/>
                                </w:rPr>
                              </w:pPr>
                            </w:p>
                          </w:tc>
                        </w:tr>
                      </w:tbl>
                      <w:p w:rsidR="00784D60" w:rsidRDefault="00784D6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0" w:type="auto"/>
                                    <w:tcMar>
                                      <w:top w:w="150" w:type="dxa"/>
                                      <w:left w:w="600" w:type="dxa"/>
                                      <w:bottom w:w="150" w:type="dxa"/>
                                      <w:right w:w="600" w:type="dxa"/>
                                    </w:tcMar>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4020"/>
                                    </w:tblGrid>
                                    <w:tr w:rsidR="00784D60">
                                      <w:trPr>
                                        <w:trHeight w:val="15"/>
                                        <w:tblCellSpacing w:w="0" w:type="dxa"/>
                                      </w:trPr>
                                      <w:tc>
                                        <w:tcPr>
                                          <w:tcW w:w="225" w:type="dxa"/>
                                          <w:hideMark/>
                                        </w:tcPr>
                                        <w:p w:rsidR="00784D60" w:rsidRDefault="00784D60">
                                          <w:pPr>
                                            <w:spacing w:line="15" w:lineRule="atLeast"/>
                                            <w:jc w:val="center"/>
                                            <w:rPr>
                                              <w:rFonts w:eastAsia="Times New Roman"/>
                                            </w:rPr>
                                          </w:pPr>
                                          <w:r>
                                            <w:rPr>
                                              <w:rFonts w:eastAsia="Times New Roman"/>
                                              <w:noProof/>
                                            </w:rPr>
                                            <w:drawing>
                                              <wp:inline distT="0" distB="0" distL="0" distR="0">
                                                <wp:extent cx="142875" cy="9525"/>
                                                <wp:effectExtent l="0" t="0" r="0" b="0"/>
                                                <wp:docPr id="1021982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4020"/>
                                          </w:tblGrid>
                                          <w:tr w:rsidR="00784D60">
                                            <w:trPr>
                                              <w:tblCellSpacing w:w="0" w:type="dxa"/>
                                            </w:trPr>
                                            <w:tc>
                                              <w:tcPr>
                                                <w:tcW w:w="0" w:type="auto"/>
                                                <w:vAlign w:val="center"/>
                                                <w:hideMark/>
                                              </w:tcPr>
                                              <w:p w:rsidR="00784D60" w:rsidRDefault="00784D60">
                                                <w:pPr>
                                                  <w:jc w:val="center"/>
                                                  <w:rPr>
                                                    <w:rFonts w:ascii="Arial" w:eastAsia="Times New Roman" w:hAnsi="Arial" w:cs="Arial"/>
                                                    <w:color w:val="343332"/>
                                                  </w:rPr>
                                                </w:pPr>
                                                <w:r>
                                                  <w:rPr>
                                                    <w:rStyle w:val="Hyperlink"/>
                                                    <w:rFonts w:ascii="Arial" w:eastAsia="Times New Roman" w:hAnsi="Arial" w:cs="Arial"/>
                                                    <w:b/>
                                                    <w:bCs/>
                                                    <w:noProof/>
                                                    <w:color w:val="2C74FF"/>
                                                  </w:rPr>
                                                  <w:drawing>
                                                    <wp:inline distT="0" distB="0" distL="0" distR="0">
                                                      <wp:extent cx="2552700" cy="1647825"/>
                                                      <wp:effectExtent l="0" t="0" r="0" b="9525"/>
                                                      <wp:docPr id="1292618269" name="Picture 3" descr="Proposed ELORCA jurisdiction ma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posed ELORCA jurisdiction m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1647825"/>
                                                              </a:xfrm>
                                                              <a:prstGeom prst="rect">
                                                                <a:avLst/>
                                                              </a:prstGeom>
                                                              <a:noFill/>
                                                              <a:ln>
                                                                <a:noFill/>
                                                              </a:ln>
                                                            </pic:spPr>
                                                          </pic:pic>
                                                        </a:graphicData>
                                                      </a:graphic>
                                                    </wp:inline>
                                                  </w:drawing>
                                                </w:r>
                                              </w:p>
                                            </w:tc>
                                          </w:tr>
                                        </w:tbl>
                                        <w:p w:rsidR="00784D60" w:rsidRDefault="00784D60">
                                          <w:pPr>
                                            <w:rPr>
                                              <w:rFonts w:ascii="Times New Roman" w:eastAsia="Times New Roman" w:hAnsi="Times New Roman" w:cs="Times New Roman"/>
                                              <w:sz w:val="20"/>
                                              <w:szCs w:val="20"/>
                                            </w:rPr>
                                          </w:pPr>
                                        </w:p>
                                      </w:tc>
                                    </w:tr>
                                  </w:tbl>
                                  <w:p w:rsidR="00784D60" w:rsidRDefault="00784D60">
                                    <w:pPr>
                                      <w:pStyle w:val="Heading2"/>
                                      <w:spacing w:before="0" w:after="0"/>
                                      <w:jc w:val="center"/>
                                      <w:rPr>
                                        <w:rFonts w:ascii="Tahoma" w:eastAsia="Times New Roman" w:hAnsi="Tahoma" w:cs="Tahoma"/>
                                        <w:color w:val="3E3E3E"/>
                                        <w:sz w:val="30"/>
                                        <w:szCs w:val="30"/>
                                      </w:rPr>
                                    </w:pPr>
                                    <w:proofErr w:type="spellStart"/>
                                    <w:r>
                                      <w:rPr>
                                        <w:rFonts w:ascii="Arial" w:eastAsia="Times New Roman" w:hAnsi="Arial" w:cs="Arial"/>
                                        <w:color w:val="315FC3"/>
                                        <w:sz w:val="30"/>
                                        <w:szCs w:val="30"/>
                                      </w:rPr>
                                      <w:t>Ganaraska</w:t>
                                    </w:r>
                                    <w:proofErr w:type="spellEnd"/>
                                    <w:r>
                                      <w:rPr>
                                        <w:rFonts w:ascii="Arial" w:eastAsia="Times New Roman" w:hAnsi="Arial" w:cs="Arial"/>
                                        <w:color w:val="315FC3"/>
                                        <w:sz w:val="30"/>
                                        <w:szCs w:val="30"/>
                                      </w:rPr>
                                      <w:t xml:space="preserve"> Conservation Board Opposes Proposed Conservation Authority Consolidation</w:t>
                                    </w:r>
                                  </w:p>
                                  <w:p w:rsidR="00784D60" w:rsidRDefault="00784D60">
                                    <w:pPr>
                                      <w:pStyle w:val="Heading3"/>
                                      <w:spacing w:before="0" w:after="0"/>
                                      <w:rPr>
                                        <w:rFonts w:ascii="Tahoma" w:eastAsia="Times New Roman" w:hAnsi="Tahoma" w:cs="Tahoma"/>
                                        <w:color w:val="3E3E3E"/>
                                        <w:sz w:val="27"/>
                                        <w:szCs w:val="27"/>
                                      </w:rPr>
                                    </w:pPr>
                                  </w:p>
                                  <w:p w:rsidR="00784D60" w:rsidRDefault="00784D60">
                                    <w:pPr>
                                      <w:pStyle w:val="Heading2"/>
                                      <w:spacing w:before="0" w:after="0"/>
                                      <w:jc w:val="center"/>
                                      <w:rPr>
                                        <w:rFonts w:ascii="Tahoma" w:eastAsia="Times New Roman" w:hAnsi="Tahoma" w:cs="Tahoma"/>
                                        <w:color w:val="3E3E3E"/>
                                        <w:sz w:val="30"/>
                                        <w:szCs w:val="30"/>
                                      </w:rPr>
                                    </w:pPr>
                                    <w:r>
                                      <w:rPr>
                                        <w:rFonts w:ascii="Arial" w:eastAsia="Times New Roman" w:hAnsi="Arial" w:cs="Arial"/>
                                        <w:color w:val="000000"/>
                                        <w:sz w:val="27"/>
                                        <w:szCs w:val="27"/>
                                      </w:rPr>
                                      <w:t>Local, Watershed-Based Representation Matters</w:t>
                                    </w:r>
                                  </w:p>
                                  <w:p w:rsidR="00784D60" w:rsidRDefault="00784D60">
                                    <w:pPr>
                                      <w:pStyle w:val="Heading3"/>
                                      <w:spacing w:before="0" w:after="0"/>
                                      <w:rPr>
                                        <w:rFonts w:ascii="Tahoma" w:eastAsia="Times New Roman" w:hAnsi="Tahoma" w:cs="Tahoma"/>
                                        <w:color w:val="3E3E3E"/>
                                        <w:sz w:val="27"/>
                                        <w:szCs w:val="27"/>
                                      </w:rPr>
                                    </w:pPr>
                                  </w:p>
                                  <w:p w:rsidR="00784D60" w:rsidRDefault="00784D60">
                                    <w:pPr>
                                      <w:pStyle w:val="NormalWeb"/>
                                      <w:rPr>
                                        <w:rFonts w:ascii="Arial" w:hAnsi="Arial" w:cs="Arial"/>
                                        <w:color w:val="343332"/>
                                      </w:rPr>
                                    </w:pPr>
                                    <w:r>
                                      <w:rPr>
                                        <w:rFonts w:ascii="Arial" w:hAnsi="Arial" w:cs="Arial"/>
                                        <w:b/>
                                        <w:bCs/>
                                        <w:color w:val="000000"/>
                                        <w:sz w:val="23"/>
                                        <w:szCs w:val="23"/>
                                      </w:rPr>
                                      <w:t xml:space="preserve">FOR IMMEDIATE RELEASE (Dec. 3, 2025): </w:t>
                                    </w:r>
                                    <w:r>
                                      <w:rPr>
                                        <w:rFonts w:ascii="Arial" w:hAnsi="Arial" w:cs="Arial"/>
                                        <w:color w:val="000000"/>
                                      </w:rPr>
                                      <w:t>The Province is proposing consolidating Ontario's 36 local Conservation Authorities into seven Regional Authorities.</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color w:val="000000"/>
                                        <w:sz w:val="23"/>
                                        <w:szCs w:val="23"/>
                                      </w:rPr>
                                      <w:t xml:space="preserve">As proposed, the </w:t>
                                    </w:r>
                                    <w:proofErr w:type="spellStart"/>
                                    <w:r>
                                      <w:rPr>
                                        <w:rFonts w:ascii="Arial" w:hAnsi="Arial" w:cs="Arial"/>
                                        <w:b/>
                                        <w:bCs/>
                                        <w:color w:val="000000"/>
                                        <w:sz w:val="23"/>
                                        <w:szCs w:val="23"/>
                                      </w:rPr>
                                      <w:t>Ganaraska</w:t>
                                    </w:r>
                                    <w:proofErr w:type="spellEnd"/>
                                    <w:r>
                                      <w:rPr>
                                        <w:rFonts w:ascii="Arial" w:hAnsi="Arial" w:cs="Arial"/>
                                        <w:b/>
                                        <w:bCs/>
                                        <w:color w:val="000000"/>
                                        <w:sz w:val="23"/>
                                        <w:szCs w:val="23"/>
                                      </w:rPr>
                                      <w:t xml:space="preserve"> Region Conservation Authority (GRCA)</w:t>
                                    </w:r>
                                    <w:r>
                                      <w:rPr>
                                        <w:rFonts w:ascii="Arial" w:hAnsi="Arial" w:cs="Arial"/>
                                        <w:color w:val="000000"/>
                                        <w:sz w:val="23"/>
                                        <w:szCs w:val="23"/>
                                      </w:rPr>
                                      <w:t xml:space="preserve"> would become part of the </w:t>
                                    </w:r>
                                    <w:r>
                                      <w:rPr>
                                        <w:rFonts w:ascii="Arial" w:hAnsi="Arial" w:cs="Arial"/>
                                        <w:b/>
                                        <w:bCs/>
                                        <w:color w:val="000000"/>
                                        <w:sz w:val="23"/>
                                        <w:szCs w:val="23"/>
                                      </w:rPr>
                                      <w:t>Eastern Lake Ontario Regional Conservation Authority (ELORCA)</w:t>
                                    </w:r>
                                    <w:r>
                                      <w:rPr>
                                        <w:rFonts w:ascii="Arial" w:hAnsi="Arial" w:cs="Arial"/>
                                        <w:color w:val="000000"/>
                                        <w:sz w:val="23"/>
                                        <w:szCs w:val="23"/>
                                      </w:rPr>
                                      <w:t xml:space="preserve">, which will include </w:t>
                                    </w:r>
                                    <w:r>
                                      <w:rPr>
                                        <w:rFonts w:ascii="Arial" w:hAnsi="Arial" w:cs="Arial"/>
                                        <w:b/>
                                        <w:bCs/>
                                        <w:color w:val="000000"/>
                                        <w:sz w:val="23"/>
                                        <w:szCs w:val="23"/>
                                      </w:rPr>
                                      <w:t>48 municipalities</w:t>
                                    </w:r>
                                    <w:r>
                                      <w:rPr>
                                        <w:rFonts w:ascii="Arial" w:hAnsi="Arial" w:cs="Arial"/>
                                        <w:color w:val="000000"/>
                                        <w:sz w:val="23"/>
                                        <w:szCs w:val="23"/>
                                      </w:rPr>
                                      <w:t xml:space="preserve"> across the proposed region. The planned ELORCA jurisdiction will be </w:t>
                                    </w:r>
                                    <w:r>
                                      <w:rPr>
                                        <w:rFonts w:ascii="Arial" w:hAnsi="Arial" w:cs="Arial"/>
                                        <w:b/>
                                        <w:bCs/>
                                        <w:color w:val="000000"/>
                                        <w:sz w:val="23"/>
                                        <w:szCs w:val="23"/>
                                      </w:rPr>
                                      <w:t>16 times the size</w:t>
                                    </w:r>
                                    <w:r>
                                      <w:rPr>
                                        <w:rFonts w:ascii="Arial" w:hAnsi="Arial" w:cs="Arial"/>
                                        <w:color w:val="000000"/>
                                        <w:sz w:val="23"/>
                                        <w:szCs w:val="23"/>
                                      </w:rPr>
                                      <w:t xml:space="preserve"> of the current GRCA jurisdiction, covering an area </w:t>
                                    </w:r>
                                    <w:r>
                                      <w:rPr>
                                        <w:rFonts w:ascii="Arial" w:hAnsi="Arial" w:cs="Arial"/>
                                        <w:color w:val="000000"/>
                                        <w:sz w:val="23"/>
                                        <w:szCs w:val="23"/>
                                      </w:rPr>
                                      <w:lastRenderedPageBreak/>
                                      <w:t>larger than the island of Jamaica, including a population larger than some Canadian Provinces.</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color w:val="000000"/>
                                        <w:sz w:val="23"/>
                                        <w:szCs w:val="23"/>
                                      </w:rPr>
                                      <w:t>The GRCA Board of Directors supports the desired outcome of improved consistency of watershed management BUT are concerned with the potential loss of local voices and representation within the proposed regional conservation authorities.</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color w:val="000000"/>
                                        <w:sz w:val="23"/>
                                        <w:szCs w:val="23"/>
                                      </w:rPr>
                                      <w:t xml:space="preserve">During their November 27, 2025, meeting, the GRCA Board received a staff report and presentation entitled, </w:t>
                                    </w:r>
                                    <w:r>
                                      <w:rPr>
                                        <w:rFonts w:ascii="Arial" w:hAnsi="Arial" w:cs="Arial"/>
                                        <w:i/>
                                        <w:iCs/>
                                        <w:color w:val="000000"/>
                                        <w:sz w:val="23"/>
                                        <w:szCs w:val="23"/>
                                      </w:rPr>
                                      <w:t>Bill 68, Schedule 3, Proposed Changes to the Conservation Authorities Act and proposed Boundaries for Regional Consolidation of Ontario Conservation Authorities</w:t>
                                    </w:r>
                                    <w:r>
                                      <w:rPr>
                                        <w:rFonts w:ascii="Arial" w:hAnsi="Arial" w:cs="Arial"/>
                                        <w:color w:val="000000"/>
                                        <w:sz w:val="23"/>
                                        <w:szCs w:val="23"/>
                                      </w:rPr>
                                      <w:t xml:space="preserve">, </w:t>
                                    </w:r>
                                    <w:hyperlink r:id="rId11" w:tgtFrame="_blank" w:history="1">
                                      <w:r>
                                        <w:rPr>
                                          <w:rStyle w:val="Hyperlink"/>
                                          <w:rFonts w:ascii="Arial" w:hAnsi="Arial" w:cs="Arial"/>
                                          <w:b/>
                                          <w:bCs/>
                                          <w:color w:val="315FC3"/>
                                          <w:sz w:val="23"/>
                                          <w:szCs w:val="23"/>
                                        </w:rPr>
                                        <w:t>available here</w:t>
                                      </w:r>
                                    </w:hyperlink>
                                    <w:r>
                                      <w:rPr>
                                        <w:rFonts w:ascii="Arial" w:hAnsi="Arial" w:cs="Arial"/>
                                        <w:color w:val="000000"/>
                                        <w:sz w:val="23"/>
                                        <w:szCs w:val="23"/>
                                      </w:rPr>
                                      <w:t>. As a result, the GRCA Board of Directors voted unanimously to oppose the consolidated Eastern Lake Ontario Region Conservation Authority (ELORCA) proposed by the Government of Ontario.</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color w:val="000000"/>
                                        <w:sz w:val="23"/>
                                        <w:szCs w:val="23"/>
                                      </w:rPr>
                                      <w:t xml:space="preserve">The presentation detailed the proposed consolidation that was initially announced by Minister of the Environment, Conservation and Parks (MECP) Todd McCarthy, on October 31, 2025. The Minister said the provincial government planned to introduce legislation to amend the </w:t>
                                    </w:r>
                                    <w:r>
                                      <w:rPr>
                                        <w:rFonts w:ascii="Arial" w:hAnsi="Arial" w:cs="Arial"/>
                                        <w:i/>
                                        <w:iCs/>
                                        <w:color w:val="000000"/>
                                        <w:sz w:val="23"/>
                                        <w:szCs w:val="23"/>
                                      </w:rPr>
                                      <w:t>Conservation Authorities Act</w:t>
                                    </w:r>
                                    <w:r>
                                      <w:rPr>
                                        <w:rFonts w:ascii="Arial" w:hAnsi="Arial" w:cs="Arial"/>
                                        <w:color w:val="000000"/>
                                        <w:sz w:val="23"/>
                                        <w:szCs w:val="23"/>
                                      </w:rPr>
                                      <w:t xml:space="preserve">, creating a new provincial agency, the </w:t>
                                    </w:r>
                                    <w:r>
                                      <w:rPr>
                                        <w:rFonts w:ascii="Arial" w:hAnsi="Arial" w:cs="Arial"/>
                                        <w:b/>
                                        <w:bCs/>
                                        <w:color w:val="000000"/>
                                        <w:sz w:val="23"/>
                                        <w:szCs w:val="23"/>
                                      </w:rPr>
                                      <w:t>Ontario Provincial Conservation Agency (OPCA)</w:t>
                                    </w:r>
                                    <w:r>
                                      <w:rPr>
                                        <w:rFonts w:ascii="Arial" w:hAnsi="Arial" w:cs="Arial"/>
                                        <w:color w:val="000000"/>
                                        <w:sz w:val="23"/>
                                        <w:szCs w:val="23"/>
                                      </w:rPr>
                                      <w:t>, which would provide centralized leadership, efficient governance, strategic direction and oversight of Ontario’s 36 Conservation Authorities (CAs), while consolidating them into seven regional authorities.</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color w:val="000000"/>
                                        <w:sz w:val="23"/>
                                        <w:szCs w:val="23"/>
                                      </w:rPr>
                                      <w:t xml:space="preserve">The legislation introduced, </w:t>
                                    </w:r>
                                    <w:hyperlink r:id="rId12" w:tgtFrame="_blank" w:history="1">
                                      <w:r>
                                        <w:rPr>
                                          <w:rStyle w:val="Hyperlink"/>
                                          <w:rFonts w:ascii="Arial" w:hAnsi="Arial" w:cs="Arial"/>
                                          <w:b/>
                                          <w:bCs/>
                                          <w:color w:val="315FC3"/>
                                          <w:sz w:val="23"/>
                                          <w:szCs w:val="23"/>
                                        </w:rPr>
                                        <w:t>Bill 68, Plan to Protect Ontario Act (Budget Measures), 2025 (No. 2)</w:t>
                                      </w:r>
                                    </w:hyperlink>
                                    <w:r>
                                      <w:rPr>
                                        <w:rFonts w:ascii="Arial" w:hAnsi="Arial" w:cs="Arial"/>
                                        <w:color w:val="000000"/>
                                        <w:sz w:val="23"/>
                                        <w:szCs w:val="23"/>
                                      </w:rPr>
                                      <w:t>, received Royal Assent on November 27, 2025.</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color w:val="000000"/>
                                        <w:sz w:val="23"/>
                                        <w:szCs w:val="23"/>
                                      </w:rPr>
                                      <w:t>On November 7th, the MECP posted</w:t>
                                    </w:r>
                                    <w:r>
                                      <w:rPr>
                                        <w:rFonts w:ascii="Arial" w:hAnsi="Arial" w:cs="Arial"/>
                                        <w:color w:val="343332"/>
                                        <w:sz w:val="23"/>
                                        <w:szCs w:val="23"/>
                                      </w:rPr>
                                      <w:t xml:space="preserve"> </w:t>
                                    </w:r>
                                    <w:hyperlink r:id="rId13" w:tgtFrame="_blank" w:history="1">
                                      <w:r>
                                        <w:rPr>
                                          <w:rStyle w:val="Hyperlink"/>
                                          <w:rFonts w:ascii="Arial" w:hAnsi="Arial" w:cs="Arial"/>
                                          <w:b/>
                                          <w:bCs/>
                                          <w:color w:val="315FC3"/>
                                          <w:sz w:val="23"/>
                                          <w:szCs w:val="23"/>
                                        </w:rPr>
                                        <w:t>Environmental Registry Notice No. 025-1257 (Proposed Boundaries for the Regional Consolidation of Ontario’s Conservation Authorities)</w:t>
                                      </w:r>
                                    </w:hyperlink>
                                    <w:r>
                                      <w:rPr>
                                        <w:rFonts w:ascii="Arial" w:hAnsi="Arial" w:cs="Arial"/>
                                        <w:color w:val="343332"/>
                                        <w:sz w:val="23"/>
                                        <w:szCs w:val="23"/>
                                      </w:rPr>
                                      <w:t xml:space="preserve"> </w:t>
                                    </w:r>
                                    <w:r>
                                      <w:rPr>
                                        <w:rFonts w:ascii="Arial" w:hAnsi="Arial" w:cs="Arial"/>
                                        <w:color w:val="000000"/>
                                        <w:sz w:val="23"/>
                                        <w:szCs w:val="23"/>
                                      </w:rPr>
                                      <w:t>to gather public input. The ERO posting remains open for public comment for a total of 45 days, until December 22, 2025, at 11:59 p.m.</w:t>
                                    </w:r>
                                  </w:p>
                                </w:tc>
                              </w:tr>
                            </w:tbl>
                            <w:p w:rsidR="00784D60" w:rsidRDefault="00784D60">
                              <w:pPr>
                                <w:jc w:val="center"/>
                                <w:rPr>
                                  <w:rFonts w:ascii="Times New Roman" w:eastAsia="Times New Roman" w:hAnsi="Times New Roman" w:cs="Times New Roman"/>
                                  <w:sz w:val="20"/>
                                  <w:szCs w:val="20"/>
                                </w:rPr>
                              </w:pPr>
                            </w:p>
                          </w:tc>
                        </w:tr>
                      </w:tbl>
                      <w:p w:rsidR="00784D60" w:rsidRDefault="00784D6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0" w:type="auto"/>
                                    <w:shd w:val="clear" w:color="auto" w:fill="FFFFFF"/>
                                    <w:tcMar>
                                      <w:top w:w="150" w:type="dxa"/>
                                      <w:left w:w="600" w:type="dxa"/>
                                      <w:bottom w:w="150" w:type="dxa"/>
                                      <w:right w:w="600" w:type="dxa"/>
                                    </w:tcMar>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4350"/>
                                    </w:tblGrid>
                                    <w:tr w:rsidR="00784D60">
                                      <w:trPr>
                                        <w:trHeight w:val="15"/>
                                        <w:tblCellSpacing w:w="0" w:type="dxa"/>
                                      </w:trPr>
                                      <w:tc>
                                        <w:tcPr>
                                          <w:tcW w:w="225" w:type="dxa"/>
                                          <w:hideMark/>
                                        </w:tcPr>
                                        <w:p w:rsidR="00784D60" w:rsidRDefault="00784D60">
                                          <w:pPr>
                                            <w:spacing w:line="15" w:lineRule="atLeast"/>
                                            <w:jc w:val="center"/>
                                            <w:rPr>
                                              <w:rFonts w:eastAsia="Times New Roman"/>
                                            </w:rPr>
                                          </w:pPr>
                                          <w:r>
                                            <w:rPr>
                                              <w:rFonts w:eastAsia="Times New Roman"/>
                                              <w:noProof/>
                                            </w:rPr>
                                            <w:drawing>
                                              <wp:inline distT="0" distB="0" distL="0" distR="0">
                                                <wp:extent cx="142875" cy="9525"/>
                                                <wp:effectExtent l="0" t="0" r="0" b="0"/>
                                                <wp:docPr id="1317298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4350"/>
                                          </w:tblGrid>
                                          <w:tr w:rsidR="00784D60">
                                            <w:trPr>
                                              <w:tblCellSpacing w:w="0" w:type="dxa"/>
                                              <w:jc w:val="center"/>
                                            </w:trPr>
                                            <w:tc>
                                              <w:tcPr>
                                                <w:tcW w:w="0" w:type="auto"/>
                                                <w:vAlign w:val="center"/>
                                                <w:hideMark/>
                                              </w:tcPr>
                                              <w:p w:rsidR="00784D60" w:rsidRDefault="00784D60">
                                                <w:pPr>
                                                  <w:jc w:val="center"/>
                                                  <w:rPr>
                                                    <w:rFonts w:ascii="Arial" w:eastAsia="Times New Roman" w:hAnsi="Arial" w:cs="Arial"/>
                                                    <w:color w:val="343332"/>
                                                  </w:rPr>
                                                </w:pPr>
                                                <w:r>
                                                  <w:rPr>
                                                    <w:rStyle w:val="Hyperlink"/>
                                                    <w:rFonts w:ascii="Arial" w:eastAsia="Times New Roman" w:hAnsi="Arial" w:cs="Arial"/>
                                                    <w:b/>
                                                    <w:bCs/>
                                                    <w:noProof/>
                                                    <w:color w:val="2C74FF"/>
                                                  </w:rPr>
                                                  <w:drawing>
                                                    <wp:inline distT="0" distB="0" distL="0" distR="0">
                                                      <wp:extent cx="2762250" cy="1790700"/>
                                                      <wp:effectExtent l="0" t="0" r="0" b="0"/>
                                                      <wp:docPr id="1821156114" name="Picture 1" descr="Proposed consolidated ELORCA jurisdiction with Jamaica overlai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posed consolidated ELORCA jurisdiction with Jamaica overlai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0" cy="1790700"/>
                                                              </a:xfrm>
                                                              <a:prstGeom prst="rect">
                                                                <a:avLst/>
                                                              </a:prstGeom>
                                                              <a:noFill/>
                                                              <a:ln>
                                                                <a:noFill/>
                                                              </a:ln>
                                                            </pic:spPr>
                                                          </pic:pic>
                                                        </a:graphicData>
                                                      </a:graphic>
                                                    </wp:inline>
                                                  </w:drawing>
                                                </w:r>
                                              </w:p>
                                            </w:tc>
                                          </w:tr>
                                        </w:tbl>
                                        <w:p w:rsidR="00784D60" w:rsidRDefault="00784D60">
                                          <w:pPr>
                                            <w:jc w:val="center"/>
                                            <w:rPr>
                                              <w:rFonts w:ascii="Times New Roman" w:eastAsia="Times New Roman" w:hAnsi="Times New Roman" w:cs="Times New Roman"/>
                                              <w:sz w:val="20"/>
                                              <w:szCs w:val="20"/>
                                            </w:rPr>
                                          </w:pPr>
                                        </w:p>
                                      </w:tc>
                                    </w:tr>
                                  </w:tbl>
                                  <w:p w:rsidR="00784D60" w:rsidRDefault="00784D60">
                                    <w:pPr>
                                      <w:pStyle w:val="Heading3"/>
                                      <w:spacing w:before="0" w:after="0"/>
                                      <w:rPr>
                                        <w:rFonts w:ascii="Tahoma" w:eastAsia="Times New Roman" w:hAnsi="Tahoma" w:cs="Tahoma"/>
                                        <w:color w:val="3E3E3E"/>
                                        <w:sz w:val="27"/>
                                        <w:szCs w:val="27"/>
                                      </w:rPr>
                                    </w:pPr>
                                    <w:r>
                                      <w:rPr>
                                        <w:rFonts w:ascii="Arial" w:eastAsia="Times New Roman" w:hAnsi="Arial" w:cs="Arial"/>
                                        <w:color w:val="005AA9"/>
                                      </w:rPr>
                                      <w:t>Proposed Consolidation</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color w:val="000000"/>
                                        <w:sz w:val="23"/>
                                        <w:szCs w:val="23"/>
                                      </w:rPr>
                                      <w:t xml:space="preserve">The proposed consolidation recommends the </w:t>
                                    </w:r>
                                    <w:proofErr w:type="spellStart"/>
                                    <w:r>
                                      <w:rPr>
                                        <w:rFonts w:ascii="Arial" w:hAnsi="Arial" w:cs="Arial"/>
                                        <w:color w:val="000000"/>
                                        <w:sz w:val="23"/>
                                        <w:szCs w:val="23"/>
                                      </w:rPr>
                                      <w:t>Ganaraska</w:t>
                                    </w:r>
                                    <w:proofErr w:type="spellEnd"/>
                                    <w:r>
                                      <w:rPr>
                                        <w:rFonts w:ascii="Arial" w:hAnsi="Arial" w:cs="Arial"/>
                                        <w:color w:val="000000"/>
                                        <w:sz w:val="23"/>
                                        <w:szCs w:val="23"/>
                                      </w:rPr>
                                      <w:t xml:space="preserve"> Region Conservation Authority join with </w:t>
                                    </w:r>
                                    <w:r>
                                      <w:rPr>
                                        <w:rFonts w:ascii="Arial" w:hAnsi="Arial" w:cs="Arial"/>
                                        <w:b/>
                                        <w:bCs/>
                                        <w:color w:val="000000"/>
                                        <w:sz w:val="23"/>
                                        <w:szCs w:val="23"/>
                                      </w:rPr>
                                      <w:t>six other conservation authorities</w:t>
                                    </w:r>
                                    <w:r>
                                      <w:rPr>
                                        <w:rFonts w:ascii="Arial" w:hAnsi="Arial" w:cs="Arial"/>
                                        <w:color w:val="000000"/>
                                        <w:sz w:val="23"/>
                                        <w:szCs w:val="23"/>
                                      </w:rPr>
                                      <w:t>, including Central Lake Ontario, Kawartha Region, Otonabee Region, Lower Trent Region, Crowe Valley and Quinte Region Conservation Authorities, to form the Eastern Lake Ontario Region Conservation Authority (ELORCA).</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color w:val="000000"/>
                                        <w:sz w:val="23"/>
                                        <w:szCs w:val="23"/>
                                      </w:rPr>
                                      <w:lastRenderedPageBreak/>
                                      <w:t>This consolidation will include 48 municipalities across the proposed region, a jurisdiction 16 times the size of the current GRCA jurisdiction, covering an area larger than the island of Jamaica, while including a population larger than some Canadian Provinces.</w:t>
                                    </w:r>
                                  </w:p>
                                </w:tc>
                              </w:tr>
                            </w:tbl>
                            <w:p w:rsidR="00784D60" w:rsidRDefault="00784D60">
                              <w:pPr>
                                <w:jc w:val="center"/>
                                <w:rPr>
                                  <w:rFonts w:ascii="Times New Roman" w:eastAsia="Times New Roman" w:hAnsi="Times New Roman" w:cs="Times New Roman"/>
                                  <w:sz w:val="20"/>
                                  <w:szCs w:val="20"/>
                                </w:rPr>
                              </w:pPr>
                            </w:p>
                          </w:tc>
                        </w:tr>
                      </w:tbl>
                      <w:p w:rsidR="00784D60" w:rsidRDefault="00784D6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0" w:type="auto"/>
                                    <w:tcMar>
                                      <w:top w:w="150" w:type="dxa"/>
                                      <w:left w:w="600" w:type="dxa"/>
                                      <w:bottom w:w="150" w:type="dxa"/>
                                      <w:right w:w="600" w:type="dxa"/>
                                    </w:tcMar>
                                  </w:tcPr>
                                  <w:p w:rsidR="00784D60" w:rsidRDefault="00784D60">
                                    <w:pPr>
                                      <w:pStyle w:val="Heading3"/>
                                      <w:spacing w:before="0" w:after="0"/>
                                      <w:rPr>
                                        <w:rFonts w:ascii="Tahoma" w:eastAsia="Times New Roman" w:hAnsi="Tahoma" w:cs="Tahoma"/>
                                        <w:color w:val="3E3E3E"/>
                                      </w:rPr>
                                    </w:pPr>
                                    <w:r>
                                      <w:rPr>
                                        <w:rFonts w:ascii="Arial" w:eastAsia="Times New Roman" w:hAnsi="Arial" w:cs="Arial"/>
                                        <w:color w:val="005AA9"/>
                                      </w:rPr>
                                      <w:t xml:space="preserve">Action Taken </w:t>
                                    </w:r>
                                    <w:proofErr w:type="gramStart"/>
                                    <w:r>
                                      <w:rPr>
                                        <w:rFonts w:ascii="Arial" w:eastAsia="Times New Roman" w:hAnsi="Arial" w:cs="Arial"/>
                                        <w:color w:val="005AA9"/>
                                      </w:rPr>
                                      <w:t>By</w:t>
                                    </w:r>
                                    <w:proofErr w:type="gramEnd"/>
                                    <w:r>
                                      <w:rPr>
                                        <w:rFonts w:ascii="Arial" w:eastAsia="Times New Roman" w:hAnsi="Arial" w:cs="Arial"/>
                                        <w:color w:val="005AA9"/>
                                      </w:rPr>
                                      <w:t xml:space="preserve"> GRCA Board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color w:val="000000"/>
                                        <w:sz w:val="23"/>
                                        <w:szCs w:val="23"/>
                                      </w:rPr>
                                      <w:t>After receiving the report and presentation, the GRCA Board of Directors voted to support the following resolution, as written in the report:</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Resolution GRCA 50/25</w:t>
                                    </w:r>
                                  </w:p>
                                  <w:p w:rsidR="00784D60" w:rsidRDefault="00784D60">
                                    <w:pPr>
                                      <w:pStyle w:val="NormalWeb"/>
                                      <w:rPr>
                                        <w:rFonts w:ascii="Arial" w:hAnsi="Arial" w:cs="Arial"/>
                                        <w:color w:val="343332"/>
                                      </w:rPr>
                                    </w:pPr>
                                    <w:r>
                                      <w:rPr>
                                        <w:rFonts w:ascii="Arial" w:hAnsi="Arial" w:cs="Arial"/>
                                        <w:b/>
                                        <w:bCs/>
                                        <w:color w:val="000000"/>
                                        <w:sz w:val="23"/>
                                        <w:szCs w:val="23"/>
                                      </w:rPr>
                                      <w:t xml:space="preserve">Moved By: </w:t>
                                    </w:r>
                                    <w:r>
                                      <w:rPr>
                                        <w:rFonts w:ascii="Arial" w:hAnsi="Arial" w:cs="Arial"/>
                                        <w:color w:val="000000"/>
                                        <w:sz w:val="23"/>
                                        <w:szCs w:val="23"/>
                                      </w:rPr>
                                      <w:t>Joan Stover</w:t>
                                    </w:r>
                                  </w:p>
                                  <w:p w:rsidR="00784D60" w:rsidRDefault="00784D60">
                                    <w:pPr>
                                      <w:pStyle w:val="NormalWeb"/>
                                      <w:rPr>
                                        <w:rFonts w:ascii="Arial" w:hAnsi="Arial" w:cs="Arial"/>
                                        <w:color w:val="343332"/>
                                      </w:rPr>
                                    </w:pPr>
                                    <w:r>
                                      <w:rPr>
                                        <w:rFonts w:ascii="Arial" w:hAnsi="Arial" w:cs="Arial"/>
                                        <w:b/>
                                        <w:bCs/>
                                        <w:color w:val="000000"/>
                                        <w:sz w:val="23"/>
                                        <w:szCs w:val="23"/>
                                      </w:rPr>
                                      <w:t>Seconded By:</w:t>
                                    </w:r>
                                    <w:r>
                                      <w:rPr>
                                        <w:rFonts w:ascii="Arial" w:hAnsi="Arial" w:cs="Arial"/>
                                        <w:color w:val="000000"/>
                                        <w:sz w:val="23"/>
                                        <w:szCs w:val="23"/>
                                      </w:rPr>
                                      <w:t xml:space="preserve"> Miriam Mutton</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WHEREAS</w:t>
                                    </w:r>
                                    <w:r>
                                      <w:rPr>
                                        <w:rFonts w:ascii="Arial" w:hAnsi="Arial" w:cs="Arial"/>
                                        <w:color w:val="000000"/>
                                        <w:sz w:val="23"/>
                                        <w:szCs w:val="23"/>
                                      </w:rPr>
                                      <w:t xml:space="preserve"> the </w:t>
                                    </w:r>
                                    <w:proofErr w:type="spellStart"/>
                                    <w:r>
                                      <w:rPr>
                                        <w:rFonts w:ascii="Arial" w:hAnsi="Arial" w:cs="Arial"/>
                                        <w:color w:val="000000"/>
                                        <w:sz w:val="23"/>
                                        <w:szCs w:val="23"/>
                                      </w:rPr>
                                      <w:t>Ganaraska</w:t>
                                    </w:r>
                                    <w:proofErr w:type="spellEnd"/>
                                    <w:r>
                                      <w:rPr>
                                        <w:rFonts w:ascii="Arial" w:hAnsi="Arial" w:cs="Arial"/>
                                        <w:color w:val="000000"/>
                                        <w:sz w:val="23"/>
                                        <w:szCs w:val="23"/>
                                      </w:rPr>
                                      <w:t xml:space="preserve"> Region Conservation Authority Board of Directors acknowledges and supports the </w:t>
                                    </w:r>
                                    <w:proofErr w:type="gramStart"/>
                                    <w:r>
                                      <w:rPr>
                                        <w:rFonts w:ascii="Arial" w:hAnsi="Arial" w:cs="Arial"/>
                                        <w:color w:val="000000"/>
                                        <w:sz w:val="23"/>
                                        <w:szCs w:val="23"/>
                                      </w:rPr>
                                      <w:t>Province's</w:t>
                                    </w:r>
                                    <w:proofErr w:type="gramEnd"/>
                                    <w:r>
                                      <w:rPr>
                                        <w:rFonts w:ascii="Arial" w:hAnsi="Arial" w:cs="Arial"/>
                                        <w:color w:val="000000"/>
                                        <w:sz w:val="23"/>
                                        <w:szCs w:val="23"/>
                                      </w:rPr>
                                      <w:t xml:space="preserve"> goals of improved efficiency of watershed management, through the implementation of digital applications and permitting system, consistent policies, flood standards, fees, and technology;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WHEREAS</w:t>
                                    </w:r>
                                    <w:r>
                                      <w:rPr>
                                        <w:rFonts w:ascii="Arial" w:hAnsi="Arial" w:cs="Arial"/>
                                        <w:color w:val="000000"/>
                                        <w:sz w:val="23"/>
                                        <w:szCs w:val="23"/>
                                      </w:rPr>
                                      <w:t xml:space="preserve"> consistent policies, and resources across the existing conservation authority boundaries could be achieved without structural consolidation through direction and tools such as technical guidelines provided by the Ministry of the Environment, Conservation and Parks; or Conservation Ontario;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WHEREAS</w:t>
                                    </w:r>
                                    <w:r>
                                      <w:rPr>
                                        <w:rFonts w:ascii="Arial" w:hAnsi="Arial" w:cs="Arial"/>
                                        <w:color w:val="000000"/>
                                        <w:sz w:val="23"/>
                                        <w:szCs w:val="23"/>
                                      </w:rPr>
                                      <w:t xml:space="preserve"> conservation authorities are locally-based, grassroots organizations formed by municipal governments in response to the challenges posed by a changing landscape; especially, the increased exposure to flooding and erosion hazards and the resulting risks to lives and property. In the case of the GRCA, supported by its seven municipalities, this vision has proven a successful model for nearly 80 years;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WHEREAS</w:t>
                                    </w:r>
                                    <w:r>
                                      <w:rPr>
                                        <w:rFonts w:ascii="Arial" w:hAnsi="Arial" w:cs="Arial"/>
                                        <w:color w:val="000000"/>
                                        <w:sz w:val="23"/>
                                        <w:szCs w:val="23"/>
                                      </w:rPr>
                                      <w:t xml:space="preserve"> the GRCA, with the guidance and support of our seven member municipalities, demonstrates fiscal prudence in conservation delivery, ensuring stable growth through stable funding. GRCA has successfully leveraged funding to support programs and services that are locally important and are driven by community engagement through GRCA's Conservation Land Strategy and the Watershed Based Resource Management Strategy;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WHEREAS</w:t>
                                    </w:r>
                                    <w:r>
                                      <w:rPr>
                                        <w:rFonts w:ascii="Arial" w:hAnsi="Arial" w:cs="Arial"/>
                                        <w:color w:val="000000"/>
                                        <w:sz w:val="23"/>
                                        <w:szCs w:val="23"/>
                                      </w:rPr>
                                      <w:t xml:space="preserve"> GRCA consistently meets or exceeds provincial service standards, and participates in staff-sharing initiatives with neighbouring conservation authorities that already deliver many of the efficiencies the </w:t>
                                    </w:r>
                                    <w:proofErr w:type="gramStart"/>
                                    <w:r>
                                      <w:rPr>
                                        <w:rFonts w:ascii="Arial" w:hAnsi="Arial" w:cs="Arial"/>
                                        <w:color w:val="000000"/>
                                        <w:sz w:val="23"/>
                                        <w:szCs w:val="23"/>
                                      </w:rPr>
                                      <w:t>Province</w:t>
                                    </w:r>
                                    <w:proofErr w:type="gramEnd"/>
                                    <w:r>
                                      <w:rPr>
                                        <w:rFonts w:ascii="Arial" w:hAnsi="Arial" w:cs="Arial"/>
                                        <w:color w:val="000000"/>
                                        <w:sz w:val="23"/>
                                        <w:szCs w:val="23"/>
                                      </w:rPr>
                                      <w:t xml:space="preserve"> seeks;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WHEREAS</w:t>
                                    </w:r>
                                    <w:r>
                                      <w:rPr>
                                        <w:rFonts w:ascii="Arial" w:hAnsi="Arial" w:cs="Arial"/>
                                        <w:color w:val="000000"/>
                                        <w:sz w:val="23"/>
                                        <w:szCs w:val="23"/>
                                      </w:rPr>
                                      <w:t xml:space="preserve"> plans to regionalize conservation authorities through consolidation would dilute local accountability and municipal partnership and is contrary to the basic principle that decisions are best made closest to the communities they affect. Effective representation by municipal partners remains core to the success of conservation </w:t>
                                    </w:r>
                                    <w:r>
                                      <w:rPr>
                                        <w:rFonts w:ascii="Arial" w:hAnsi="Arial" w:cs="Arial"/>
                                        <w:color w:val="000000"/>
                                        <w:sz w:val="23"/>
                                        <w:szCs w:val="23"/>
                                      </w:rPr>
                                      <w:lastRenderedPageBreak/>
                                      <w:t>authorities. The GRCA, while not unique among conservation authorities in this respect, is effective in working with our community to support sustainable development, and keeping communities safe;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WHEREAS</w:t>
                                    </w:r>
                                    <w:r>
                                      <w:rPr>
                                        <w:rFonts w:ascii="Arial" w:hAnsi="Arial" w:cs="Arial"/>
                                        <w:color w:val="000000"/>
                                        <w:sz w:val="23"/>
                                        <w:szCs w:val="23"/>
                                      </w:rPr>
                                      <w:t xml:space="preserve"> being front-line means being responsive and accountable to the community by delivering the services that are essential and valued to the best interest of the community. The front line of provincial priorities on housing, the economy, infrastructure, and climate resilience are in the decisions between municipalities working together to address issues around floodplain (and hazard) protection and resilient upland and landscape management. Further, staff and Board are responsive and accountable to the needs of the watershed community, while meeting or exceeding provincial service standards. The staff and Board are reachable through publicly available contact information. Local governance and direction combined with local service provision allows the GRCA to continue to be responsive to our community;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WHEREAS</w:t>
                                    </w:r>
                                    <w:r>
                                      <w:rPr>
                                        <w:rFonts w:ascii="Arial" w:hAnsi="Arial" w:cs="Arial"/>
                                        <w:color w:val="000000"/>
                                        <w:sz w:val="23"/>
                                        <w:szCs w:val="23"/>
                                      </w:rPr>
                                      <w:t xml:space="preserve"> consolidation will result in substantial transition costs, not the least of which is time. In all facets, that would divert resources from front-line service delivery and delay desired outcomes. Further, the loss of local watershed knowledge and community relationships will add greater uncertainty, loss of trust, and delay for our watershed residents. This includes the agricultural community, businesses, builders, developers, and our municipal partners that seek timely and effective local advice, which is provided through local pre-consultation;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WHEREAS</w:t>
                                    </w:r>
                                    <w:r>
                                      <w:rPr>
                                        <w:rFonts w:ascii="Arial" w:hAnsi="Arial" w:cs="Arial"/>
                                        <w:color w:val="000000"/>
                                        <w:sz w:val="23"/>
                                        <w:szCs w:val="23"/>
                                      </w:rPr>
                                      <w:t xml:space="preserve"> a proposed regional watershed would create a geographically vast and administratively complex organization when joining the seven conservation authorities as proposed in eastern Lake Ontario. This would be considerably worse if local offices do not remain available and accountable to its membership, partners and the communities they serve.</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proofErr w:type="gramStart"/>
                                    <w:r>
                                      <w:rPr>
                                        <w:rFonts w:ascii="Arial" w:hAnsi="Arial" w:cs="Arial"/>
                                        <w:b/>
                                        <w:bCs/>
                                        <w:color w:val="000000"/>
                                      </w:rPr>
                                      <w:t>THEREFORE</w:t>
                                    </w:r>
                                    <w:proofErr w:type="gramEnd"/>
                                    <w:r>
                                      <w:rPr>
                                        <w:rFonts w:ascii="Arial" w:hAnsi="Arial" w:cs="Arial"/>
                                        <w:b/>
                                        <w:bCs/>
                                        <w:color w:val="000000"/>
                                      </w:rPr>
                                      <w:t xml:space="preserve"> BE IT RESOLVED: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THAT</w:t>
                                    </w:r>
                                    <w:r>
                                      <w:rPr>
                                        <w:rFonts w:ascii="Arial" w:hAnsi="Arial" w:cs="Arial"/>
                                        <w:color w:val="000000"/>
                                        <w:sz w:val="23"/>
                                        <w:szCs w:val="23"/>
                                      </w:rPr>
                                      <w:t xml:space="preserve"> the </w:t>
                                    </w:r>
                                    <w:proofErr w:type="spellStart"/>
                                    <w:r>
                                      <w:rPr>
                                        <w:rFonts w:ascii="Arial" w:hAnsi="Arial" w:cs="Arial"/>
                                        <w:color w:val="000000"/>
                                        <w:sz w:val="23"/>
                                        <w:szCs w:val="23"/>
                                      </w:rPr>
                                      <w:t>Ganaraska</w:t>
                                    </w:r>
                                    <w:proofErr w:type="spellEnd"/>
                                    <w:r>
                                      <w:rPr>
                                        <w:rFonts w:ascii="Arial" w:hAnsi="Arial" w:cs="Arial"/>
                                        <w:color w:val="000000"/>
                                        <w:sz w:val="23"/>
                                        <w:szCs w:val="23"/>
                                      </w:rPr>
                                      <w:t xml:space="preserve"> Region Conservation Authority Board of Directors does not support the proposed "Eastern Lake Ontario Regional Conservation Authority" boundary configuration as outlined in Environmental Registry Notice 025-1257;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FURTHER THAT</w:t>
                                    </w:r>
                                    <w:r>
                                      <w:rPr>
                                        <w:rFonts w:ascii="Arial" w:hAnsi="Arial" w:cs="Arial"/>
                                        <w:color w:val="000000"/>
                                        <w:sz w:val="23"/>
                                        <w:szCs w:val="23"/>
                                      </w:rPr>
                                      <w:t xml:space="preserve"> meaningful modernization can occur within the current watershed</w:t>
                                    </w:r>
                                    <w:r>
                                      <w:rPr>
                                        <w:rFonts w:ascii="Arial" w:hAnsi="Arial" w:cs="Arial"/>
                                        <w:color w:val="000000"/>
                                        <w:sz w:val="23"/>
                                        <w:szCs w:val="23"/>
                                      </w:rPr>
                                      <w:softHyphen/>
                                      <w:t>-based governance framework;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FURTHER THAT</w:t>
                                    </w:r>
                                    <w:r>
                                      <w:rPr>
                                        <w:rFonts w:ascii="Arial" w:hAnsi="Arial" w:cs="Arial"/>
                                        <w:color w:val="000000"/>
                                        <w:sz w:val="23"/>
                                        <w:szCs w:val="23"/>
                                      </w:rPr>
                                      <w:t xml:space="preserve"> the GRCA Board endorses further provincial evaluation of a more focused specific model as a geographically coherent, cost-effective and locally accountable alternative that advances the government's priorities of efficiency, red-tape reduction and timely home construction;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lastRenderedPageBreak/>
                                      <w:t>FURTHER THAT</w:t>
                                    </w:r>
                                    <w:r>
                                      <w:rPr>
                                        <w:rFonts w:ascii="Arial" w:hAnsi="Arial" w:cs="Arial"/>
                                        <w:color w:val="000000"/>
                                        <w:sz w:val="23"/>
                                        <w:szCs w:val="23"/>
                                      </w:rPr>
                                      <w:t xml:space="preserve"> the Board asks that the Ministry of the Environment, Conservation and Parks engage directly with affected municipalities and conservation authorities across Eastern Lake Ontario through a working group;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FURTHER THAT</w:t>
                                    </w:r>
                                    <w:r>
                                      <w:rPr>
                                        <w:rFonts w:ascii="Arial" w:hAnsi="Arial" w:cs="Arial"/>
                                        <w:color w:val="000000"/>
                                        <w:sz w:val="23"/>
                                        <w:szCs w:val="23"/>
                                      </w:rPr>
                                      <w:t xml:space="preserve"> the Board of Directors direct staff to make a submission to the Environmental Registry of Ontario consultations asking the </w:t>
                                    </w:r>
                                    <w:proofErr w:type="gramStart"/>
                                    <w:r>
                                      <w:rPr>
                                        <w:rFonts w:ascii="Arial" w:hAnsi="Arial" w:cs="Arial"/>
                                        <w:color w:val="000000"/>
                                        <w:sz w:val="23"/>
                                        <w:szCs w:val="23"/>
                                      </w:rPr>
                                      <w:t>Province</w:t>
                                    </w:r>
                                    <w:proofErr w:type="gramEnd"/>
                                    <w:r>
                                      <w:rPr>
                                        <w:rFonts w:ascii="Arial" w:hAnsi="Arial" w:cs="Arial"/>
                                        <w:color w:val="000000"/>
                                        <w:sz w:val="23"/>
                                        <w:szCs w:val="23"/>
                                      </w:rPr>
                                      <w:t xml:space="preserve"> to pause any consolidation until more consultation can take place; and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sz w:val="23"/>
                                        <w:szCs w:val="23"/>
                                      </w:rPr>
                                      <w:t>FURTHER THAT</w:t>
                                    </w:r>
                                    <w:r>
                                      <w:rPr>
                                        <w:rFonts w:ascii="Arial" w:hAnsi="Arial" w:cs="Arial"/>
                                        <w:color w:val="000000"/>
                                        <w:sz w:val="23"/>
                                        <w:szCs w:val="23"/>
                                      </w:rPr>
                                      <w:t xml:space="preserve"> a </w:t>
                                    </w:r>
                                    <w:hyperlink r:id="rId16" w:tgtFrame="_blank" w:history="1">
                                      <w:r>
                                        <w:rPr>
                                          <w:rStyle w:val="Hyperlink"/>
                                          <w:rFonts w:ascii="Arial" w:hAnsi="Arial" w:cs="Arial"/>
                                          <w:b/>
                                          <w:bCs/>
                                          <w:color w:val="315FC3"/>
                                          <w:sz w:val="23"/>
                                          <w:szCs w:val="23"/>
                                        </w:rPr>
                                        <w:t>letter from the Chair</w:t>
                                      </w:r>
                                    </w:hyperlink>
                                    <w:r>
                                      <w:rPr>
                                        <w:rFonts w:ascii="Arial" w:hAnsi="Arial" w:cs="Arial"/>
                                        <w:color w:val="343332"/>
                                        <w:sz w:val="23"/>
                                        <w:szCs w:val="23"/>
                                      </w:rPr>
                                      <w:t xml:space="preserve"> </w:t>
                                    </w:r>
                                    <w:r>
                                      <w:rPr>
                                        <w:rFonts w:ascii="Arial" w:hAnsi="Arial" w:cs="Arial"/>
                                        <w:color w:val="000000"/>
                                        <w:sz w:val="23"/>
                                        <w:szCs w:val="23"/>
                                      </w:rPr>
                                      <w:t>containing this resolution, be forwarded to:</w:t>
                                    </w:r>
                                  </w:p>
                                  <w:p w:rsidR="00784D60" w:rsidRDefault="00784D60" w:rsidP="00FA65F9">
                                    <w:pPr>
                                      <w:numPr>
                                        <w:ilvl w:val="0"/>
                                        <w:numId w:val="1"/>
                                      </w:numPr>
                                      <w:ind w:hanging="240"/>
                                      <w:rPr>
                                        <w:rFonts w:ascii="Arial" w:eastAsia="Times New Roman" w:hAnsi="Arial" w:cs="Arial"/>
                                        <w:color w:val="000000"/>
                                        <w:sz w:val="23"/>
                                        <w:szCs w:val="23"/>
                                      </w:rPr>
                                    </w:pPr>
                                    <w:r>
                                      <w:rPr>
                                        <w:rFonts w:ascii="Arial" w:eastAsia="Times New Roman" w:hAnsi="Arial" w:cs="Arial"/>
                                        <w:color w:val="000000"/>
                                        <w:sz w:val="23"/>
                                        <w:szCs w:val="23"/>
                                      </w:rPr>
                                      <w:t>The Minister of the Environment, Conservation and Parks and his Opposition critics; and</w:t>
                                    </w:r>
                                  </w:p>
                                  <w:p w:rsidR="00784D60" w:rsidRDefault="00784D60" w:rsidP="00FA65F9">
                                    <w:pPr>
                                      <w:numPr>
                                        <w:ilvl w:val="0"/>
                                        <w:numId w:val="1"/>
                                      </w:numPr>
                                      <w:ind w:hanging="240"/>
                                      <w:rPr>
                                        <w:rFonts w:ascii="Arial" w:eastAsia="Times New Roman" w:hAnsi="Arial" w:cs="Arial"/>
                                        <w:color w:val="000000"/>
                                        <w:sz w:val="23"/>
                                        <w:szCs w:val="23"/>
                                      </w:rPr>
                                    </w:pPr>
                                    <w:r>
                                      <w:rPr>
                                        <w:rFonts w:ascii="Arial" w:eastAsia="Times New Roman" w:hAnsi="Arial" w:cs="Arial"/>
                                        <w:color w:val="000000"/>
                                        <w:sz w:val="23"/>
                                        <w:szCs w:val="23"/>
                                      </w:rPr>
                                      <w:t>The Ministry of the Environment, Conservation and Parks (CA Office); and</w:t>
                                    </w:r>
                                  </w:p>
                                  <w:p w:rsidR="00784D60" w:rsidRDefault="00784D60" w:rsidP="00FA65F9">
                                    <w:pPr>
                                      <w:numPr>
                                        <w:ilvl w:val="0"/>
                                        <w:numId w:val="1"/>
                                      </w:numPr>
                                      <w:ind w:hanging="240"/>
                                      <w:rPr>
                                        <w:rFonts w:ascii="Arial" w:eastAsia="Times New Roman" w:hAnsi="Arial" w:cs="Arial"/>
                                        <w:color w:val="000000"/>
                                        <w:sz w:val="23"/>
                                        <w:szCs w:val="23"/>
                                      </w:rPr>
                                    </w:pPr>
                                    <w:r>
                                      <w:rPr>
                                        <w:rFonts w:ascii="Arial" w:eastAsia="Times New Roman" w:hAnsi="Arial" w:cs="Arial"/>
                                        <w:color w:val="000000"/>
                                        <w:sz w:val="23"/>
                                        <w:szCs w:val="23"/>
                                      </w:rPr>
                                      <w:t>Ontario's Chief Conservation Executive, Hassaan Basit; and</w:t>
                                    </w:r>
                                  </w:p>
                                  <w:p w:rsidR="00784D60" w:rsidRDefault="00784D60" w:rsidP="00FA65F9">
                                    <w:pPr>
                                      <w:numPr>
                                        <w:ilvl w:val="0"/>
                                        <w:numId w:val="1"/>
                                      </w:numPr>
                                      <w:ind w:hanging="240"/>
                                      <w:rPr>
                                        <w:rFonts w:ascii="Arial" w:eastAsia="Times New Roman" w:hAnsi="Arial" w:cs="Arial"/>
                                        <w:color w:val="000000"/>
                                        <w:sz w:val="23"/>
                                        <w:szCs w:val="23"/>
                                      </w:rPr>
                                    </w:pPr>
                                    <w:r>
                                      <w:rPr>
                                        <w:rFonts w:ascii="Arial" w:eastAsia="Times New Roman" w:hAnsi="Arial" w:cs="Arial"/>
                                        <w:color w:val="000000"/>
                                        <w:sz w:val="23"/>
                                        <w:szCs w:val="23"/>
                                      </w:rPr>
                                      <w:t>Local Member of Provincial Parliament David Piccini, Northumberland - Peterborough South and</w:t>
                                    </w:r>
                                  </w:p>
                                  <w:p w:rsidR="00784D60" w:rsidRDefault="00784D60" w:rsidP="00FA65F9">
                                    <w:pPr>
                                      <w:numPr>
                                        <w:ilvl w:val="0"/>
                                        <w:numId w:val="1"/>
                                      </w:numPr>
                                      <w:ind w:hanging="240"/>
                                      <w:rPr>
                                        <w:rFonts w:ascii="Arial" w:eastAsia="Times New Roman" w:hAnsi="Arial" w:cs="Arial"/>
                                        <w:color w:val="000000"/>
                                        <w:sz w:val="23"/>
                                        <w:szCs w:val="23"/>
                                      </w:rPr>
                                    </w:pPr>
                                    <w:r>
                                      <w:rPr>
                                        <w:rFonts w:ascii="Arial" w:eastAsia="Times New Roman" w:hAnsi="Arial" w:cs="Arial"/>
                                        <w:color w:val="000000"/>
                                        <w:sz w:val="23"/>
                                        <w:szCs w:val="23"/>
                                      </w:rPr>
                                      <w:t>All local watershed municipalities, all municipalities in Ontario, and Counties within GRCA's watershed.</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b/>
                                        <w:bCs/>
                                        <w:color w:val="000000"/>
                                      </w:rPr>
                                      <w:t>CARRIED UNANIMOUSLY.</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color w:val="000000"/>
                                        <w:sz w:val="23"/>
                                        <w:szCs w:val="23"/>
                                      </w:rPr>
                                      <w:t xml:space="preserve">The GRCA encourages all partners and concerned residents to review the posting at the </w:t>
                                    </w:r>
                                    <w:hyperlink r:id="rId17" w:tgtFrame="_blank" w:history="1">
                                      <w:r>
                                        <w:rPr>
                                          <w:rStyle w:val="Hyperlink"/>
                                          <w:rFonts w:ascii="Arial" w:hAnsi="Arial" w:cs="Arial"/>
                                          <w:b/>
                                          <w:bCs/>
                                          <w:color w:val="315FC3"/>
                                          <w:sz w:val="23"/>
                                          <w:szCs w:val="23"/>
                                        </w:rPr>
                                        <w:t>following link (https://ero.ontario.calnotice/025-1257)</w:t>
                                      </w:r>
                                    </w:hyperlink>
                                    <w:r>
                                      <w:rPr>
                                        <w:rFonts w:ascii="Arial" w:hAnsi="Arial" w:cs="Arial"/>
                                        <w:color w:val="343332"/>
                                        <w:sz w:val="23"/>
                                        <w:szCs w:val="23"/>
                                      </w:rPr>
                                      <w:t xml:space="preserve"> </w:t>
                                    </w:r>
                                    <w:r>
                                      <w:rPr>
                                        <w:rFonts w:ascii="Arial" w:hAnsi="Arial" w:cs="Arial"/>
                                        <w:color w:val="000000"/>
                                        <w:sz w:val="23"/>
                                        <w:szCs w:val="23"/>
                                      </w:rPr>
                                      <w:t>and submit comments prior to the closing date of December 22, 2025.</w:t>
                                    </w:r>
                                  </w:p>
                                  <w:p w:rsidR="00784D60" w:rsidRDefault="00784D60">
                                    <w:pPr>
                                      <w:pStyle w:val="NormalWeb"/>
                                      <w:rPr>
                                        <w:rFonts w:ascii="Arial" w:hAnsi="Arial" w:cs="Arial"/>
                                        <w:color w:val="343332"/>
                                      </w:rPr>
                                    </w:pPr>
                                  </w:p>
                                  <w:p w:rsidR="00784D60" w:rsidRDefault="00784D60">
                                    <w:pPr>
                                      <w:pStyle w:val="NormalWeb"/>
                                      <w:jc w:val="center"/>
                                      <w:rPr>
                                        <w:rFonts w:ascii="Arial" w:hAnsi="Arial" w:cs="Arial"/>
                                        <w:color w:val="343332"/>
                                      </w:rPr>
                                    </w:pPr>
                                    <w:r>
                                      <w:rPr>
                                        <w:rFonts w:ascii="Arial" w:hAnsi="Arial" w:cs="Arial"/>
                                        <w:b/>
                                        <w:bCs/>
                                        <w:color w:val="000000"/>
                                        <w:sz w:val="23"/>
                                        <w:szCs w:val="23"/>
                                      </w:rPr>
                                      <w:t>-30-</w:t>
                                    </w:r>
                                  </w:p>
                                  <w:p w:rsidR="00784D60" w:rsidRDefault="00784D60">
                                    <w:pPr>
                                      <w:pStyle w:val="NormalWeb"/>
                                      <w:rPr>
                                        <w:rFonts w:ascii="Arial" w:hAnsi="Arial" w:cs="Arial"/>
                                        <w:color w:val="343332"/>
                                      </w:rPr>
                                    </w:pPr>
                                  </w:p>
                                  <w:p w:rsidR="00784D60" w:rsidRDefault="00784D60">
                                    <w:pPr>
                                      <w:pStyle w:val="NormalWeb"/>
                                      <w:rPr>
                                        <w:rFonts w:ascii="Arial" w:hAnsi="Arial" w:cs="Arial"/>
                                        <w:color w:val="343332"/>
                                      </w:rPr>
                                    </w:pPr>
                                    <w:r>
                                      <w:rPr>
                                        <w:rFonts w:ascii="Arial" w:hAnsi="Arial" w:cs="Arial"/>
                                        <w:color w:val="000000"/>
                                        <w:sz w:val="23"/>
                                        <w:szCs w:val="23"/>
                                      </w:rPr>
                                      <w:t>For additional information, please contact</w:t>
                                    </w:r>
                                    <w:r>
                                      <w:rPr>
                                        <w:rFonts w:ascii="Arial" w:hAnsi="Arial" w:cs="Arial"/>
                                        <w:color w:val="343332"/>
                                        <w:sz w:val="23"/>
                                        <w:szCs w:val="23"/>
                                      </w:rPr>
                                      <w:t xml:space="preserve"> </w:t>
                                    </w:r>
                                    <w:hyperlink r:id="rId18" w:tgtFrame="_blank" w:history="1">
                                      <w:r>
                                        <w:rPr>
                                          <w:rStyle w:val="Hyperlink"/>
                                          <w:rFonts w:ascii="Arial" w:hAnsi="Arial" w:cs="Arial"/>
                                          <w:b/>
                                          <w:bCs/>
                                          <w:color w:val="315FC3"/>
                                          <w:sz w:val="23"/>
                                          <w:szCs w:val="23"/>
                                        </w:rPr>
                                        <w:t>info@grca.on.ca</w:t>
                                      </w:r>
                                    </w:hyperlink>
                                    <w:r>
                                      <w:rPr>
                                        <w:rFonts w:ascii="Arial" w:hAnsi="Arial" w:cs="Arial"/>
                                        <w:color w:val="343332"/>
                                        <w:sz w:val="23"/>
                                        <w:szCs w:val="23"/>
                                      </w:rPr>
                                      <w:t xml:space="preserve"> </w:t>
                                    </w:r>
                                    <w:r>
                                      <w:rPr>
                                        <w:rFonts w:ascii="Arial" w:hAnsi="Arial" w:cs="Arial"/>
                                        <w:color w:val="000000"/>
                                        <w:sz w:val="23"/>
                                        <w:szCs w:val="23"/>
                                      </w:rPr>
                                      <w:t xml:space="preserve">or call </w:t>
                                    </w:r>
                                    <w:hyperlink r:id="rId19" w:tgtFrame="_blank" w:history="1">
                                      <w:r>
                                        <w:rPr>
                                          <w:rStyle w:val="Hyperlink"/>
                                          <w:rFonts w:ascii="Arial" w:hAnsi="Arial" w:cs="Arial"/>
                                          <w:b/>
                                          <w:bCs/>
                                          <w:color w:val="315FC3"/>
                                          <w:sz w:val="23"/>
                                          <w:szCs w:val="23"/>
                                        </w:rPr>
                                        <w:t>905.885.8173</w:t>
                                      </w:r>
                                    </w:hyperlink>
                                    <w:r>
                                      <w:rPr>
                                        <w:rFonts w:ascii="Arial" w:hAnsi="Arial" w:cs="Arial"/>
                                        <w:color w:val="343332"/>
                                        <w:sz w:val="23"/>
                                        <w:szCs w:val="23"/>
                                      </w:rPr>
                                      <w:t xml:space="preserve"> </w:t>
                                    </w:r>
                                    <w:r>
                                      <w:rPr>
                                        <w:rFonts w:ascii="Arial" w:hAnsi="Arial" w:cs="Arial"/>
                                        <w:color w:val="000000"/>
                                        <w:sz w:val="23"/>
                                        <w:szCs w:val="23"/>
                                      </w:rPr>
                                      <w:t>during office hours, Mon.–Fri. from 8:30 a.m. to 4:30 p.m.</w:t>
                                    </w:r>
                                  </w:p>
                                </w:tc>
                              </w:tr>
                            </w:tbl>
                            <w:p w:rsidR="00784D60" w:rsidRDefault="00784D60">
                              <w:pPr>
                                <w:jc w:val="center"/>
                                <w:rPr>
                                  <w:rFonts w:ascii="Times New Roman" w:eastAsia="Times New Roman" w:hAnsi="Times New Roman" w:cs="Times New Roman"/>
                                  <w:sz w:val="20"/>
                                  <w:szCs w:val="20"/>
                                </w:rPr>
                              </w:pPr>
                            </w:p>
                          </w:tc>
                        </w:tr>
                      </w:tbl>
                      <w:p w:rsidR="00784D60" w:rsidRDefault="00784D60">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784D60">
                                <w:trPr>
                                  <w:tblCellSpacing w:w="0" w:type="dxa"/>
                                  <w:jc w:val="center"/>
                                </w:trPr>
                                <w:tc>
                                  <w:tcPr>
                                    <w:tcW w:w="0" w:type="auto"/>
                                    <w:tcMar>
                                      <w:top w:w="150" w:type="dxa"/>
                                      <w:left w:w="600" w:type="dxa"/>
                                      <w:bottom w:w="150" w:type="dxa"/>
                                      <w:right w:w="600" w:type="dxa"/>
                                    </w:tcMar>
                                    <w:hideMark/>
                                  </w:tcPr>
                                  <w:p w:rsidR="00784D60" w:rsidRDefault="00784D60">
                                    <w:pPr>
                                      <w:pStyle w:val="NormalWeb"/>
                                      <w:jc w:val="center"/>
                                      <w:rPr>
                                        <w:rFonts w:ascii="Arial" w:hAnsi="Arial" w:cs="Arial"/>
                                        <w:color w:val="3E3E3E"/>
                                        <w:sz w:val="21"/>
                                        <w:szCs w:val="21"/>
                                      </w:rPr>
                                    </w:pPr>
                                    <w:hyperlink r:id="rId20" w:tgtFrame="_blank" w:history="1">
                                      <w:r>
                                        <w:rPr>
                                          <w:rStyle w:val="Hyperlink"/>
                                          <w:rFonts w:ascii="Arial" w:hAnsi="Arial" w:cs="Arial"/>
                                          <w:b/>
                                          <w:bCs/>
                                          <w:color w:val="315FC3"/>
                                          <w:sz w:val="23"/>
                                          <w:szCs w:val="23"/>
                                        </w:rPr>
                                        <w:t>View this Media Release on the GRCA Website</w:t>
                                      </w:r>
                                    </w:hyperlink>
                                  </w:p>
                                </w:tc>
                              </w:tr>
                            </w:tbl>
                            <w:p w:rsidR="00784D60" w:rsidRDefault="00784D60">
                              <w:pPr>
                                <w:jc w:val="center"/>
                                <w:rPr>
                                  <w:rFonts w:ascii="Times New Roman" w:eastAsia="Times New Roman" w:hAnsi="Times New Roman" w:cs="Times New Roman"/>
                                  <w:sz w:val="20"/>
                                  <w:szCs w:val="20"/>
                                </w:rPr>
                              </w:pPr>
                            </w:p>
                          </w:tc>
                        </w:tr>
                      </w:tbl>
                      <w:p w:rsidR="00784D60" w:rsidRDefault="00784D60">
                        <w:pPr>
                          <w:jc w:val="center"/>
                          <w:rPr>
                            <w:rFonts w:ascii="Times New Roman" w:eastAsia="Times New Roman" w:hAnsi="Times New Roman" w:cs="Times New Roman"/>
                            <w:sz w:val="20"/>
                            <w:szCs w:val="20"/>
                          </w:rPr>
                        </w:pPr>
                      </w:p>
                    </w:tc>
                  </w:tr>
                </w:tbl>
                <w:p w:rsidR="00784D60" w:rsidRDefault="00784D60">
                  <w:pPr>
                    <w:jc w:val="center"/>
                    <w:rPr>
                      <w:rFonts w:ascii="Times New Roman" w:eastAsia="Times New Roman" w:hAnsi="Times New Roman" w:cs="Times New Roman"/>
                      <w:sz w:val="20"/>
                      <w:szCs w:val="20"/>
                    </w:rPr>
                  </w:pPr>
                </w:p>
              </w:tc>
            </w:tr>
          </w:tbl>
          <w:p w:rsidR="00784D60" w:rsidRDefault="00784D60">
            <w:pPr>
              <w:jc w:val="center"/>
              <w:rPr>
                <w:rFonts w:ascii="Times New Roman" w:eastAsia="Times New Roman" w:hAnsi="Times New Roman" w:cs="Times New Roman"/>
                <w:sz w:val="20"/>
                <w:szCs w:val="20"/>
              </w:rPr>
            </w:pPr>
          </w:p>
        </w:tc>
      </w:tr>
    </w:tbl>
    <w:p w:rsidR="005E0DE2" w:rsidRDefault="005E0DE2"/>
    <w:sectPr w:rsidR="005E0D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17C8"/>
    <w:multiLevelType w:val="multilevel"/>
    <w:tmpl w:val="264C9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63972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60"/>
    <w:rsid w:val="005E0DE2"/>
    <w:rsid w:val="0061267C"/>
    <w:rsid w:val="00784D60"/>
    <w:rsid w:val="00E750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7BA7A-FBB5-4A5C-9BC8-84FAB083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60"/>
    <w:pPr>
      <w:spacing w:after="0" w:line="240" w:lineRule="auto"/>
    </w:pPr>
    <w:rPr>
      <w:rFonts w:ascii="Aptos" w:hAnsi="Aptos" w:cs="Aptos"/>
      <w:kern w:val="0"/>
      <w:sz w:val="24"/>
      <w:szCs w:val="24"/>
      <w:lang w:eastAsia="en-CA"/>
      <w14:ligatures w14:val="none"/>
    </w:rPr>
  </w:style>
  <w:style w:type="paragraph" w:styleId="Heading1">
    <w:name w:val="heading 1"/>
    <w:basedOn w:val="Normal"/>
    <w:next w:val="Normal"/>
    <w:link w:val="Heading1Char"/>
    <w:uiPriority w:val="9"/>
    <w:qFormat/>
    <w:rsid w:val="00784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D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D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4D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4D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D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D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D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D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D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D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D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4D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4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D60"/>
    <w:rPr>
      <w:rFonts w:eastAsiaTheme="majorEastAsia" w:cstheme="majorBidi"/>
      <w:color w:val="272727" w:themeColor="text1" w:themeTint="D8"/>
    </w:rPr>
  </w:style>
  <w:style w:type="paragraph" w:styleId="Title">
    <w:name w:val="Title"/>
    <w:basedOn w:val="Normal"/>
    <w:next w:val="Normal"/>
    <w:link w:val="TitleChar"/>
    <w:uiPriority w:val="10"/>
    <w:qFormat/>
    <w:rsid w:val="00784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D60"/>
    <w:pPr>
      <w:spacing w:before="160"/>
      <w:jc w:val="center"/>
    </w:pPr>
    <w:rPr>
      <w:i/>
      <w:iCs/>
      <w:color w:val="404040" w:themeColor="text1" w:themeTint="BF"/>
    </w:rPr>
  </w:style>
  <w:style w:type="character" w:customStyle="1" w:styleId="QuoteChar">
    <w:name w:val="Quote Char"/>
    <w:basedOn w:val="DefaultParagraphFont"/>
    <w:link w:val="Quote"/>
    <w:uiPriority w:val="29"/>
    <w:rsid w:val="00784D60"/>
    <w:rPr>
      <w:i/>
      <w:iCs/>
      <w:color w:val="404040" w:themeColor="text1" w:themeTint="BF"/>
    </w:rPr>
  </w:style>
  <w:style w:type="paragraph" w:styleId="ListParagraph">
    <w:name w:val="List Paragraph"/>
    <w:basedOn w:val="Normal"/>
    <w:uiPriority w:val="34"/>
    <w:qFormat/>
    <w:rsid w:val="00784D60"/>
    <w:pPr>
      <w:ind w:left="720"/>
      <w:contextualSpacing/>
    </w:pPr>
  </w:style>
  <w:style w:type="character" w:styleId="IntenseEmphasis">
    <w:name w:val="Intense Emphasis"/>
    <w:basedOn w:val="DefaultParagraphFont"/>
    <w:uiPriority w:val="21"/>
    <w:qFormat/>
    <w:rsid w:val="00784D60"/>
    <w:rPr>
      <w:i/>
      <w:iCs/>
      <w:color w:val="2F5496" w:themeColor="accent1" w:themeShade="BF"/>
    </w:rPr>
  </w:style>
  <w:style w:type="paragraph" w:styleId="IntenseQuote">
    <w:name w:val="Intense Quote"/>
    <w:basedOn w:val="Normal"/>
    <w:next w:val="Normal"/>
    <w:link w:val="IntenseQuoteChar"/>
    <w:uiPriority w:val="30"/>
    <w:qFormat/>
    <w:rsid w:val="00784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4D60"/>
    <w:rPr>
      <w:i/>
      <w:iCs/>
      <w:color w:val="2F5496" w:themeColor="accent1" w:themeShade="BF"/>
    </w:rPr>
  </w:style>
  <w:style w:type="character" w:styleId="IntenseReference">
    <w:name w:val="Intense Reference"/>
    <w:basedOn w:val="DefaultParagraphFont"/>
    <w:uiPriority w:val="32"/>
    <w:qFormat/>
    <w:rsid w:val="00784D60"/>
    <w:rPr>
      <w:b/>
      <w:bCs/>
      <w:smallCaps/>
      <w:color w:val="2F5496" w:themeColor="accent1" w:themeShade="BF"/>
      <w:spacing w:val="5"/>
    </w:rPr>
  </w:style>
  <w:style w:type="character" w:styleId="Hyperlink">
    <w:name w:val="Hyperlink"/>
    <w:basedOn w:val="DefaultParagraphFont"/>
    <w:uiPriority w:val="99"/>
    <w:semiHidden/>
    <w:unhideWhenUsed/>
    <w:rsid w:val="00784D60"/>
    <w:rPr>
      <w:color w:val="0000FF"/>
      <w:u w:val="single"/>
    </w:rPr>
  </w:style>
  <w:style w:type="paragraph" w:styleId="NormalWeb">
    <w:name w:val="Normal (Web)"/>
    <w:basedOn w:val="Normal"/>
    <w:uiPriority w:val="99"/>
    <w:semiHidden/>
    <w:unhideWhenUsed/>
    <w:rsid w:val="0078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if9y7fiab.cc.rs6.net/tn.jsp?f=001C_wffuWioGJJZLHqPq19KYkIoWqF6KnYPdiOoUIVnGr_LGv3rSFd5j46ktVlo9ghkdQ8LYHeqcqd04UO7XrTe64EA4vQMr3APjWgBbdgWUraMTOQ-LBvvdDsjvbKxJXMAzYh7z01nOHGHGWpXgsUKr9CUO2N_AL-1RcY-l7ubVehHh60COAqNA==&amp;c=y95jjOzFQiejgymzemKeD7PA1Zakf5WEGpW63fvtmdHLZIC396eIWw==&amp;ch=FEFHXoggsVguqsBr6dm3zg925hBNCF-L4cXjT0xScX0-l7CeD73ILQ==" TargetMode="External"/><Relationship Id="rId18" Type="http://schemas.openxmlformats.org/officeDocument/2006/relationships/hyperlink" Target="mailto:info@grca.on.c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if9y7fiab.cc.rs6.net/tn.jsp?f=001C_wffuWioGJJZLHqPq19KYkIoWqF6KnYPdiOoUIVnGr_LGv3rSFd5j46ktVlo9gh7jHxDQCUTH8-LQwtJ13HK7s-OLBZe0x5axlfXU66wZhfbnJLspYaUazkXh8WHm-wAf1wJwk9zQZfBwbU4Tb3-SVXmc1iEhAVHUvvWTTCqCBvx55fndHjjqgyBocEbKPWoLjR3cGTXY_u6-dyg8YA8oNnDntfoDOVZbAi25X-rtkGyJdwYsTM1w==&amp;c=y95jjOzFQiejgymzemKeD7PA1Zakf5WEGpW63fvtmdHLZIC396eIWw==&amp;ch=FEFHXoggsVguqsBr6dm3zg925hBNCF-L4cXjT0xScX0-l7CeD73ILQ==" TargetMode="External"/><Relationship Id="rId17" Type="http://schemas.openxmlformats.org/officeDocument/2006/relationships/hyperlink" Target="https://if9y7fiab.cc.rs6.net/tn.jsp?f=001C_wffuWioGJJZLHqPq19KYkIoWqF6KnYPdiOoUIVnGr_LGv3rSFd5j46ktVlo9ghkdQ8LYHeqcqd04UO7XrTe64EA4vQMr3APjWgBbdgWUraMTOQ-LBvvdDsjvbKxJXMAzYh7z01nOHGHGWpXgsUKr9CUO2N_AL-VBriKHSKIsArCcE-SP5HoA==&amp;c=y95jjOzFQiejgymzemKeD7PA1Zakf5WEGpW63fvtmdHLZIC396eIWw==&amp;ch=FEFHXoggsVguqsBr6dm3zg925hBNCF-L4cXjT0xScX0-l7CeD73ILQ==" TargetMode="External"/><Relationship Id="rId2" Type="http://schemas.openxmlformats.org/officeDocument/2006/relationships/styles" Target="styles.xml"/><Relationship Id="rId16" Type="http://schemas.openxmlformats.org/officeDocument/2006/relationships/hyperlink" Target="https://if9y7fiab.cc.rs6.net/tn.jsp?f=001C_wffuWioGJJZLHqPq19KYkIoWqF6KnYPdiOoUIVnGr_LGv3rSFd5j46ktVlo9ghuu0kybmorxB0zng0CH7OI132mAQednUEtXiD4hGhk8e8k4DI9Xc4EZ0VZsUezHs3P4Nt5Tj-tvsUFG-A4deFLAP8i36kizBMzd-1KWnZ99hzjxN-TvkRWJqMrtB-kWyAKtVt6RiG6USez3nY4kezU17pheM8L3LNbkp_bKUopJRtROYJP6u1VQ==&amp;c=y95jjOzFQiejgymzemKeD7PA1Zakf5WEGpW63fvtmdHLZIC396eIWw==&amp;ch=FEFHXoggsVguqsBr6dm3zg925hBNCF-L4cXjT0xScX0-l7CeD73ILQ==" TargetMode="External"/><Relationship Id="rId20" Type="http://schemas.openxmlformats.org/officeDocument/2006/relationships/hyperlink" Target="https://if9y7fiab.cc.rs6.net/tn.jsp?f=001C_wffuWioGJJZLHqPq19KYkIoWqF6KnYPdiOoUIVnGr_LGv3rSFd5j46ktVlo9ghGzPd2BCatBBY8t2jA4G3m-wT-2j8UG0yC1T6Ek_R_0L1apm7xKK9eJL98sEvs_sbSkWbqJr3QN0XXjAnP_VfhkJPwt2-GqKoVwNgKfsW5XMAaW6DpZZaD5noj6BfaLWdRLFeEmBrYxfE3UQhdNHCHkA4UEWXF7LuQvxRLP_MmH0iNr65FYlvozJgV467dsgeZGbpctJn5ZXx2eWX_2IR4Q==&amp;c=y95jjOzFQiejgymzemKeD7PA1Zakf5WEGpW63fvtmdHLZIC396eIWw==&amp;ch=FEFHXoggsVguqsBr6dm3zg925hBNCF-L4cXjT0xScX0-l7CeD73ILQ=="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f9y7fiab.cc.rs6.net/tn.jsp?f=001C_wffuWioGJJZLHqPq19KYkIoWqF6KnYPdiOoUIVnGr_LGv3rSFd5j46ktVlo9ghC4Tt86q_wZf5DDTkeWq6CWAB9EvDwXVGz5uAhEwfleWpzYpLYysXueIPk4abYfLU1uZIZ97c-0vFm11hFFwP0Onrs3RVPO7KzOLbV5pBza8rVkqLGY0yfIc_VpdRA1b_qUPSdg-VqHzwEV-cDwvcOw==&amp;c=y95jjOzFQiejgymzemKeD7PA1Zakf5WEGpW63fvtmdHLZIC396eIWw==&amp;ch=FEFHXoggsVguqsBr6dm3zg925hBNCF-L4cXjT0xScX0-l7CeD73ILQ==" TargetMode="External"/><Relationship Id="rId5" Type="http://schemas.openxmlformats.org/officeDocument/2006/relationships/hyperlink" Target="https://if9y7fiab.cc.rs6.net/tn.jsp?f=001C_wffuWioGJJZLHqPq19KYkIoWqF6KnYPdiOoUIVnGr_LGv3rSFd5kG0-x1vIpOWaXa8e7PUjLwiD9CgIFPDhfFKBfxTkdnLmYsi2uFTwYtZ4mTQKyW4-fl4vD1DoaoPJ7Lx2zrXr11lAe4mb0hj9Q==&amp;c=y95jjOzFQiejgymzemKeD7PA1Zakf5WEGpW63fvtmdHLZIC396eIWw==&amp;ch=FEFHXoggsVguqsBr6dm3zg925hBNCF-L4cXjT0xScX0-l7CeD73ILQ==" TargetMode="External"/><Relationship Id="rId15" Type="http://schemas.openxmlformats.org/officeDocument/2006/relationships/image" Target="media/image5.jpeg"/><Relationship Id="rId10" Type="http://schemas.openxmlformats.org/officeDocument/2006/relationships/image" Target="media/image4.jpeg"/><Relationship Id="rId19" Type="http://schemas.openxmlformats.org/officeDocument/2006/relationships/hyperlink" Target="tel:19058858173" TargetMode="External"/><Relationship Id="rId4" Type="http://schemas.openxmlformats.org/officeDocument/2006/relationships/webSettings" Target="webSettings.xml"/><Relationship Id="rId9" Type="http://schemas.openxmlformats.org/officeDocument/2006/relationships/hyperlink" Target="https://if9y7fiab.cc.rs6.net/tn.jsp?f=001C_wffuWioGJJZLHqPq19KYkIoWqF6KnYPdiOoUIVnGr_LGv3rSFd5j46ktVlo9ghWpidKBBWi1nDy4OzV-EQ0IWx7svFO86w_gVTckCM3r6s9xyoBMVgoa4SXJZ57iX_XyYwFF0LQ8giDRosZNKI0n6up0XL3KP9KyvPsx9xMDin1gy1rthl1Ol-K91rf48X15-kPfnsaj3hg_Wa5yjekw==&amp;c=y95jjOzFQiejgymzemKeD7PA1Zakf5WEGpW63fvtmdHLZIC396eIWw==&amp;ch=FEFHXoggsVguqsBr6dm3zg925hBNCF-L4cXjT0xScX0-l7CeD73ILQ==" TargetMode="External"/><Relationship Id="rId14" Type="http://schemas.openxmlformats.org/officeDocument/2006/relationships/hyperlink" Target="https://if9y7fiab.cc.rs6.net/tn.jsp?f=001C_wffuWioGJJZLHqPq19KYkIoWqF6KnYPdiOoUIVnGr_LGv3rSFd5j46ktVlo9ghY8kcXYaiJAcuLEV-s6swwA6HYiJQ_YrztSUC3BFGTQeZVCm0VEbmV5RHj35WSd-kLjJ_1kF_tlz4b6YdVHmyHsIREpAGamjyG6Ecu5R14IHbxOsk2XjgdD5M3IQ6cmEGR32pHuVWVYg=&amp;c=y95jjOzFQiejgymzemKeD7PA1Zakf5WEGpW63fvtmdHLZIC396eIWw==&amp;ch=FEFHXoggsVguqsBr6dm3zg925hBNCF-L4cXjT0xScX0-l7CeD73IL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1786</Words>
  <Characters>10181</Characters>
  <Application>Microsoft Office Word</Application>
  <DocSecurity>0</DocSecurity>
  <Lines>84</Lines>
  <Paragraphs>23</Paragraphs>
  <ScaleCrop>false</ScaleCrop>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Blefgen OHTO</dc:creator>
  <cp:keywords/>
  <dc:description/>
  <cp:lastModifiedBy>Holly Blefgen OHTO</cp:lastModifiedBy>
  <cp:revision>1</cp:revision>
  <dcterms:created xsi:type="dcterms:W3CDTF">2025-12-23T03:24:00Z</dcterms:created>
  <dcterms:modified xsi:type="dcterms:W3CDTF">2025-12-23T03:25:00Z</dcterms:modified>
</cp:coreProperties>
</file>