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D9D44" w14:textId="49CBEAA8" w:rsidR="002431B1" w:rsidRDefault="000A635A">
      <w:pPr>
        <w:rPr>
          <w:b/>
          <w:bCs/>
        </w:rPr>
      </w:pPr>
      <w:r>
        <w:rPr>
          <w:b/>
          <w:bCs/>
        </w:rPr>
        <w:t>MÉTIS NATION OF ONTARIO</w:t>
      </w:r>
    </w:p>
    <w:p w14:paraId="2DBC9BD6" w14:textId="18950C83" w:rsidR="000A635A" w:rsidRDefault="00BE75C8">
      <w:r>
        <w:t>January 12</w:t>
      </w:r>
      <w:r w:rsidR="000A635A">
        <w:t>, 202</w:t>
      </w:r>
      <w:r>
        <w:t>6</w:t>
      </w:r>
    </w:p>
    <w:p w14:paraId="335B4ECC" w14:textId="77777777" w:rsidR="00B93927" w:rsidRPr="00B93927" w:rsidRDefault="00B93927" w:rsidP="000A635A">
      <w:pPr>
        <w:spacing w:after="0"/>
        <w:rPr>
          <w:b/>
          <w:bCs/>
        </w:rPr>
      </w:pPr>
      <w:r w:rsidRPr="00B93927">
        <w:rPr>
          <w:b/>
          <w:bCs/>
        </w:rPr>
        <w:t>Ministry of the Environment, Conservation and Parks</w:t>
      </w:r>
    </w:p>
    <w:p w14:paraId="1FE193D8" w14:textId="530CF68D" w:rsidR="000A635A" w:rsidRDefault="000A635A" w:rsidP="000A635A">
      <w:pPr>
        <w:spacing w:after="0"/>
      </w:pPr>
      <w:r>
        <w:t>Client Services and Permissions Branch</w:t>
      </w:r>
    </w:p>
    <w:p w14:paraId="6A15A972" w14:textId="77777777" w:rsidR="000A635A" w:rsidRDefault="000A635A" w:rsidP="000A635A">
      <w:pPr>
        <w:spacing w:after="0"/>
      </w:pPr>
      <w:r>
        <w:t>135 St Clair Ave West, 1st Floor</w:t>
      </w:r>
    </w:p>
    <w:p w14:paraId="0B83BA1D" w14:textId="5C126962" w:rsidR="000A635A" w:rsidRDefault="000A635A" w:rsidP="000A635A">
      <w:pPr>
        <w:spacing w:after="0"/>
      </w:pPr>
      <w:r>
        <w:t>Toronto, ON M4V 1P5</w:t>
      </w:r>
    </w:p>
    <w:p w14:paraId="588F9F6A" w14:textId="77777777" w:rsidR="00B93927" w:rsidRDefault="00B93927" w:rsidP="000A635A">
      <w:pPr>
        <w:spacing w:after="0"/>
      </w:pPr>
    </w:p>
    <w:p w14:paraId="6CAA3335" w14:textId="3CEA0537" w:rsidR="00B93927" w:rsidRPr="00B93927" w:rsidRDefault="00B93927" w:rsidP="000A635A">
      <w:pPr>
        <w:spacing w:after="0"/>
      </w:pPr>
      <w:r w:rsidRPr="00B93927">
        <w:t>Submitted via the Environmental Registry of Ontario</w:t>
      </w:r>
    </w:p>
    <w:p w14:paraId="21D9D1FD" w14:textId="77777777" w:rsidR="000A635A" w:rsidRDefault="000A635A" w:rsidP="000A635A">
      <w:pPr>
        <w:spacing w:after="0"/>
      </w:pPr>
    </w:p>
    <w:p w14:paraId="56CD73B5" w14:textId="7A390052" w:rsidR="000A635A" w:rsidRPr="00B93927" w:rsidRDefault="000A635A" w:rsidP="000A635A">
      <w:pPr>
        <w:pBdr>
          <w:bottom w:val="single" w:sz="12" w:space="1" w:color="auto"/>
        </w:pBdr>
        <w:spacing w:after="0"/>
        <w:rPr>
          <w:b/>
          <w:bCs/>
        </w:rPr>
      </w:pPr>
      <w:r w:rsidRPr="00B93927">
        <w:rPr>
          <w:b/>
          <w:bCs/>
        </w:rPr>
        <w:t>Re: Environmental Compliance Approval (ECA) Application 025-1121 – Proposed Searchmont Ski Resort Wastewater Treatment Facility Discharge to the Goulais River</w:t>
      </w:r>
    </w:p>
    <w:p w14:paraId="7F8C10CB" w14:textId="77777777" w:rsidR="000A635A" w:rsidRDefault="000A635A" w:rsidP="000A635A">
      <w:pPr>
        <w:spacing w:after="0"/>
        <w:rPr>
          <w:b/>
          <w:bCs/>
        </w:rPr>
      </w:pPr>
    </w:p>
    <w:p w14:paraId="683A2FAD" w14:textId="56A78BE9" w:rsidR="000A635A" w:rsidRDefault="000A635A" w:rsidP="00B93927">
      <w:r>
        <w:t>The Métis Nation of Ontario (“</w:t>
      </w:r>
      <w:r w:rsidRPr="000A635A">
        <w:rPr>
          <w:b/>
          <w:bCs/>
        </w:rPr>
        <w:t>MNO</w:t>
      </w:r>
      <w:r>
        <w:t>”) is the democratically elected, provincially and federally recognized</w:t>
      </w:r>
      <w:r>
        <w:rPr>
          <w:rStyle w:val="FootnoteReference"/>
        </w:rPr>
        <w:footnoteReference w:id="1"/>
      </w:r>
      <w:r>
        <w:t xml:space="preserve"> Métis government representing Métis citizens and Métis communities in Ontario recognized as holding Aboriginal rights protected by section 35 of the Constitution Act, 1982 (“</w:t>
      </w:r>
      <w:r w:rsidRPr="000A635A">
        <w:rPr>
          <w:b/>
          <w:bCs/>
        </w:rPr>
        <w:t>Section 35</w:t>
      </w:r>
      <w:r>
        <w:t>”). These rights-bearing Métis communities include, but are not limited to, the modern-day Section 35 rights-holding Métis community in and around Sault Ste. Marie that was recognized by the Supreme Court of Canada (“</w:t>
      </w:r>
      <w:r w:rsidRPr="000A635A">
        <w:rPr>
          <w:b/>
          <w:bCs/>
        </w:rPr>
        <w:t>SCC</w:t>
      </w:r>
      <w:r>
        <w:t>”) in R v. Powley (“</w:t>
      </w:r>
      <w:r w:rsidRPr="000A635A">
        <w:rPr>
          <w:b/>
          <w:bCs/>
        </w:rPr>
        <w:t>Powley</w:t>
      </w:r>
      <w:r>
        <w:t>”).</w:t>
      </w:r>
      <w:r>
        <w:rPr>
          <w:rStyle w:val="FootnoteReference"/>
        </w:rPr>
        <w:footnoteReference w:id="2"/>
      </w:r>
      <w:r>
        <w:t xml:space="preserve"> The Government of Ontario (“</w:t>
      </w:r>
      <w:r w:rsidRPr="000A635A">
        <w:rPr>
          <w:b/>
          <w:bCs/>
        </w:rPr>
        <w:t>Ontario</w:t>
      </w:r>
      <w:r>
        <w:t>”) has recognized other historic Métis communities in the province outside of Sault St. Marie,</w:t>
      </w:r>
      <w:r>
        <w:rPr>
          <w:rStyle w:val="FootnoteReference"/>
        </w:rPr>
        <w:footnoteReference w:id="3"/>
      </w:r>
      <w:r>
        <w:t xml:space="preserve"> and we have negotiated agreements with Ontario on harvesting and other land related matters.</w:t>
      </w:r>
      <w:r>
        <w:rPr>
          <w:rStyle w:val="FootnoteReference"/>
        </w:rPr>
        <w:footnoteReference w:id="4"/>
      </w:r>
      <w:r>
        <w:t xml:space="preserve"> The MNO also has a Crown consultation agreement with Canada</w:t>
      </w:r>
      <w:r>
        <w:rPr>
          <w:rStyle w:val="FootnoteReference"/>
        </w:rPr>
        <w:footnoteReference w:id="5"/>
      </w:r>
      <w:r w:rsidR="00245F41">
        <w:t>, which recognizes the consultation protocol for the Historic Sault Ste. Marie Traditional Territory.</w:t>
      </w:r>
      <w:r w:rsidR="00830F79">
        <w:t xml:space="preserve"> </w:t>
      </w:r>
    </w:p>
    <w:p w14:paraId="41E193A7" w14:textId="74DE573C" w:rsidR="000A635A" w:rsidRDefault="000A635A" w:rsidP="00B93927">
      <w:r>
        <w:t xml:space="preserve">The MNO appreciates the opportunity to provide feedback on </w:t>
      </w:r>
      <w:r w:rsidR="00B93927" w:rsidRPr="00B93927">
        <w:t xml:space="preserve">the Environmental Compliance Approval (ECA) application submitted by Searchmont Ski Resort Inc. for the construction and operation of a wastewater treatment facility discharging treated effluent into the </w:t>
      </w:r>
      <w:proofErr w:type="spellStart"/>
      <w:r w:rsidR="00B93927" w:rsidRPr="00B93927">
        <w:t>Goulais</w:t>
      </w:r>
      <w:proofErr w:type="spellEnd"/>
      <w:r w:rsidR="00B93927" w:rsidRPr="00B93927">
        <w:t xml:space="preserve"> River</w:t>
      </w:r>
      <w:r w:rsidR="00B93927">
        <w:t>.</w:t>
      </w:r>
      <w:r w:rsidR="00941480">
        <w:t xml:space="preserve"> T</w:t>
      </w:r>
      <w:r w:rsidR="00941480" w:rsidRPr="00941480">
        <w:t xml:space="preserve">his letter is submitted by the Rights, Research and Policy Branch and sets out the MNO’s initial comments on the </w:t>
      </w:r>
      <w:r w:rsidR="00941480">
        <w:t>ECA 025-1121</w:t>
      </w:r>
      <w:r w:rsidR="00941480" w:rsidRPr="00941480">
        <w:t xml:space="preserve">. Importantly, these are preliminary views only and do not necessarily reflect the views of the Huron-Superior </w:t>
      </w:r>
      <w:r w:rsidR="00BE75C8">
        <w:t xml:space="preserve">Regional </w:t>
      </w:r>
      <w:r w:rsidR="00941480" w:rsidRPr="00941480">
        <w:t xml:space="preserve">Metis Community but rather seeks to provide generalized comment on environmental concern for </w:t>
      </w:r>
      <w:r w:rsidR="00941480">
        <w:t xml:space="preserve">the </w:t>
      </w:r>
      <w:proofErr w:type="spellStart"/>
      <w:r w:rsidR="00941480">
        <w:t>Goulais</w:t>
      </w:r>
      <w:proofErr w:type="spellEnd"/>
      <w:r w:rsidR="00941480">
        <w:t xml:space="preserve"> River</w:t>
      </w:r>
      <w:r w:rsidR="00941480" w:rsidRPr="00941480">
        <w:t>.</w:t>
      </w:r>
    </w:p>
    <w:p w14:paraId="6AA87924" w14:textId="75BC1623" w:rsidR="00B93927" w:rsidRPr="00B93927" w:rsidRDefault="00725743" w:rsidP="00B93927">
      <w:r>
        <w:t>As identified in Powley, Goulais River holds importance to the Historic Sault Ste Marie Métis Community</w:t>
      </w:r>
      <w:r w:rsidR="00941480">
        <w:rPr>
          <w:rStyle w:val="FootnoteReference"/>
        </w:rPr>
        <w:footnoteReference w:id="6"/>
      </w:r>
      <w:r>
        <w:t xml:space="preserve">. </w:t>
      </w:r>
      <w:r w:rsidR="00B93927" w:rsidRPr="00B93927">
        <w:t xml:space="preserve">The </w:t>
      </w:r>
      <w:proofErr w:type="spellStart"/>
      <w:r w:rsidR="00B93927" w:rsidRPr="00B93927">
        <w:t>Goulais</w:t>
      </w:r>
      <w:proofErr w:type="spellEnd"/>
      <w:r w:rsidR="00B93927" w:rsidRPr="00B93927">
        <w:t xml:space="preserve"> River is an ecologically significant waterway within the Lake Superior watershed, supporting cold-water fisheries, sensitive aquatic habitats, recreational use, and longstanding cultural and stewardship relationships. Any proposal to introduce treated wastewater into this system </w:t>
      </w:r>
      <w:r w:rsidR="00B93927" w:rsidRPr="00B93927">
        <w:lastRenderedPageBreak/>
        <w:t>must therefore be supported by robust scientific evidence, precautionary planning, and a transparent and inclusive decision-making process.</w:t>
      </w:r>
    </w:p>
    <w:p w14:paraId="1052457F" w14:textId="17EDB519" w:rsidR="00B93927" w:rsidRPr="00B93927" w:rsidRDefault="00B93927" w:rsidP="00B93927">
      <w:r w:rsidRPr="00B93927">
        <w:t xml:space="preserve">Based on a review of the materials made available through the Environmental Registry of Ontario </w:t>
      </w:r>
      <w:r w:rsidR="00706F14">
        <w:t xml:space="preserve">(ERO) </w:t>
      </w:r>
      <w:r w:rsidRPr="00B93927">
        <w:t>and information presented during the Public Information Centre</w:t>
      </w:r>
      <w:r w:rsidR="00DB47EF">
        <w:t xml:space="preserve"> (PIC)</w:t>
      </w:r>
      <w:r w:rsidRPr="00B93927">
        <w:t>, significant concerns remain regarding both the environmental assessment supporting this application and the adequacy of the consultation and planning process to date.</w:t>
      </w:r>
    </w:p>
    <w:p w14:paraId="37ADE9E7" w14:textId="0ECC6F2D" w:rsidR="00B93927" w:rsidRPr="00B93927" w:rsidRDefault="00B93927" w:rsidP="00B93927">
      <w:r w:rsidRPr="00B93927">
        <w:t>Available documentation indicates that the Goulais River Assimilative Capacity Study relies on approximately sixteen months of water</w:t>
      </w:r>
      <w:r w:rsidR="00DB47EF">
        <w:t xml:space="preserve"> </w:t>
      </w:r>
      <w:r w:rsidRPr="00B93927">
        <w:t>quality sampling. This is inconsistent with the study’s own stated guidance, which recommends seasonal sampling over three years or monthly sampling over two years in order to establish an adequate baseline record. The shortened monitoring period raises concerns about whether seasonal variability, low-flow conditions, and cumulative effects have been sufficiently captured, particularly for nutrients and bacteria.</w:t>
      </w:r>
    </w:p>
    <w:p w14:paraId="775E95C7" w14:textId="429E15FC" w:rsidR="00B93927" w:rsidRPr="00B93927" w:rsidRDefault="00B93927" w:rsidP="00B93927">
      <w:r w:rsidRPr="00B93927">
        <w:t xml:space="preserve">Water quality data further indicate that total phosphorus concentrations in the Goulais River downstream of the proposed discharge location are already at or above the Provincial Water Quality Objective </w:t>
      </w:r>
      <w:r w:rsidR="00706F14">
        <w:t xml:space="preserve">(PWQO) </w:t>
      </w:r>
      <w:r w:rsidRPr="00B93927">
        <w:t>of 0.03 mg/L, with some values reported as high as 0.044 mg/L. Introducing additional phosphorus loading into a system already at its ecological threshold significantly increases the risk of eutrophication and algal growth, with associated impacts on aquatic habitat, dissolved oxygen, and downstream water uses.</w:t>
      </w:r>
    </w:p>
    <w:p w14:paraId="0E8B308A" w14:textId="20383FA3" w:rsidR="00B93927" w:rsidRPr="00B93927" w:rsidRDefault="00B93927" w:rsidP="00B93927">
      <w:r w:rsidRPr="00B93927">
        <w:t xml:space="preserve">Projected effluent quality at the point of discharge includes fecal coliform concentrations approaching the </w:t>
      </w:r>
      <w:r w:rsidR="00706F14">
        <w:t>PWQO</w:t>
      </w:r>
      <w:r w:rsidRPr="00B93927">
        <w:t xml:space="preserve"> of 100 CFU/100 mL. While nominally compliant, this narrow margin provides little buffer for operational variability, seasonal stressors, or system failure, and poses a tangible risk to human, animal, and aquatic health in a river that is actively used for recreation and fishing.</w:t>
      </w:r>
    </w:p>
    <w:p w14:paraId="66B6E99D" w14:textId="49CE17FE" w:rsidR="00B93927" w:rsidRPr="00B93927" w:rsidRDefault="00B93927" w:rsidP="00B93927">
      <w:r w:rsidRPr="00B93927">
        <w:t>The Goulais River watershed is also known to support ecologically sensitive species and habitats, including self-sustaining brook trout populations and habitat associated with species such as lake sturgeon and wood turtle. Despite this context, the application materials do not include completed Species at Risk or Environmental Impact Assessments.</w:t>
      </w:r>
      <w:r w:rsidR="003D6C00">
        <w:t xml:space="preserve"> P</w:t>
      </w:r>
      <w:r w:rsidRPr="00B93927">
        <w:t xml:space="preserve">roponents </w:t>
      </w:r>
      <w:r w:rsidR="003D6C00">
        <w:t>a</w:t>
      </w:r>
      <w:r w:rsidR="003D6C00" w:rsidRPr="003D6C00">
        <w:t xml:space="preserve">t the PIC </w:t>
      </w:r>
      <w:r w:rsidRPr="00B93927">
        <w:t>indicated that these assessments are ongoing, raising concern that approval of the ECA could occur prior to a full understanding of potential impacts and mitigation measures.</w:t>
      </w:r>
    </w:p>
    <w:p w14:paraId="68A281DE" w14:textId="4D61BB7E" w:rsidR="00B93927" w:rsidRPr="00B93927" w:rsidRDefault="00B93927" w:rsidP="00B93927">
      <w:r w:rsidRPr="00B93927">
        <w:t xml:space="preserve">Concerns about this proposal also align with pre-existing priorities identified by citizens in </w:t>
      </w:r>
      <w:r w:rsidR="00725743">
        <w:t xml:space="preserve">the Huron-Superior </w:t>
      </w:r>
      <w:r w:rsidR="00BE75C8">
        <w:t xml:space="preserve">Regional Metis </w:t>
      </w:r>
      <w:r w:rsidR="00725743">
        <w:t>Community (Region 4)</w:t>
      </w:r>
      <w:r w:rsidRPr="00B93927">
        <w:t xml:space="preserve"> through regional planning and engagement processes. </w:t>
      </w:r>
      <w:r w:rsidR="00725743">
        <w:t xml:space="preserve">Métis </w:t>
      </w:r>
      <w:r w:rsidRPr="00B93927">
        <w:t>citizens</w:t>
      </w:r>
      <w:r w:rsidR="00725743">
        <w:t xml:space="preserve"> from the Huron-Superior </w:t>
      </w:r>
      <w:r w:rsidR="00BE75C8">
        <w:t>Regional Metis C</w:t>
      </w:r>
      <w:r w:rsidR="00725743">
        <w:t>ommunity</w:t>
      </w:r>
      <w:r w:rsidRPr="00B93927">
        <w:t xml:space="preserve"> have consistently identified degradation of habitat and biodiversity, ecosystem stress, and water quality as major concerns affecting traditional land use and long-term climate resilience. There has been a strong and repeated call for community-based water monitoring initiatives to track changes in water temperature, clarity, pollution levels, and aquatic life. When asked what climate actions communities should prioritize in relation to responsibilities to care for all relations, approximately forty percent of respondents identified increased environmental monitoring as a priority</w:t>
      </w:r>
      <w:r w:rsidR="00941480">
        <w:t xml:space="preserve"> during a survey that was used to develop a Regional Climate Action Plan, which is still in draft form</w:t>
      </w:r>
      <w:r w:rsidRPr="00B93927">
        <w:t>.</w:t>
      </w:r>
    </w:p>
    <w:p w14:paraId="34EEE7A6" w14:textId="68715B46" w:rsidR="00B93927" w:rsidRPr="00B93927" w:rsidRDefault="00941480" w:rsidP="00B93927">
      <w:r>
        <w:t>In this survey, c</w:t>
      </w:r>
      <w:r w:rsidR="00B93927" w:rsidRPr="00B93927">
        <w:t xml:space="preserve">itizens further emphasized that meaningful climate resilience requires coordination across governments, regions, and sectors, including early and equitable engagement with proponents on </w:t>
      </w:r>
      <w:r w:rsidR="00B93927" w:rsidRPr="00B93927">
        <w:lastRenderedPageBreak/>
        <w:t>monitoring, accountability, and long-term stewardship. The proposed wastewater treatment facility, as currently presented, does not clearly demonstrate how these priorities have been integrated into project planning or monitoring frameworks.</w:t>
      </w:r>
    </w:p>
    <w:p w14:paraId="5A984D14" w14:textId="2FD30CF7" w:rsidR="00B93927" w:rsidRPr="00B93927" w:rsidRDefault="00B93927" w:rsidP="00B93927">
      <w:r w:rsidRPr="00B93927">
        <w:t>Additional concerns relate to transparency and procedural care. Members of the public reviewing the ERO-posted supporting documentation have raised concerns that some materials appeared to contain inadequately redacted personal information. While this issue has not been publicly addressed by the Ministry, it raises questions about document management practices in the context of a proposal involving sensitive environmental and public</w:t>
      </w:r>
      <w:r w:rsidR="00DB47EF">
        <w:t xml:space="preserve"> </w:t>
      </w:r>
      <w:r w:rsidRPr="00B93927">
        <w:t>health infrastructure. There are also concerns regarding delayed public notification of the project, apparent gaps in documented consultation records, and limited opportunities for meaningful public engagement beyond the current ERO posting.</w:t>
      </w:r>
    </w:p>
    <w:p w14:paraId="5033DEF2" w14:textId="63D591B9" w:rsidR="00B93927" w:rsidRPr="00B93927" w:rsidRDefault="00B93927" w:rsidP="00B93927">
      <w:r w:rsidRPr="00B93927">
        <w:t xml:space="preserve">Finally, it is noted that Searchmont Ski Resort Inc. was subject to a Ministry order in 2024 related to renovations undertaken under an outdated </w:t>
      </w:r>
      <w:r w:rsidR="00706F14">
        <w:t>ECA</w:t>
      </w:r>
      <w:r w:rsidRPr="00B93927">
        <w:t>. This compliance history raises reasonable questions regarding the proponent’s capacity to manage and operate a wastewater treatment facility that requires continuous oversight, monitoring, and regulatory compliance.</w:t>
      </w:r>
    </w:p>
    <w:p w14:paraId="08719903" w14:textId="541DE674" w:rsidR="00941480" w:rsidRPr="00B93927" w:rsidRDefault="00941480" w:rsidP="00B93927">
      <w:r>
        <w:t xml:space="preserve">Concerns with </w:t>
      </w:r>
      <w:r w:rsidRPr="00941480">
        <w:t xml:space="preserve">Environmental Compliance Approval (ECA) Application 025-1121 – Proposed Searchmont Ski Resort Wastewater Treatment Facility Discharge to the </w:t>
      </w:r>
      <w:proofErr w:type="spellStart"/>
      <w:r w:rsidRPr="00941480">
        <w:t>Goulais</w:t>
      </w:r>
      <w:proofErr w:type="spellEnd"/>
      <w:r w:rsidRPr="00941480">
        <w:t xml:space="preserve"> River</w:t>
      </w:r>
      <w:r>
        <w:t>,</w:t>
      </w:r>
      <w:r>
        <w:t xml:space="preserve"> remain due to the ecological sensitivity of the </w:t>
      </w:r>
      <w:proofErr w:type="spellStart"/>
      <w:r>
        <w:t>Goulais</w:t>
      </w:r>
      <w:proofErr w:type="spellEnd"/>
      <w:r>
        <w:t xml:space="preserve"> River including scientific and procedural aspects discussed above. The Ministry should complete adequate baseline monitorin</w:t>
      </w:r>
      <w:r w:rsidR="00BE75C8">
        <w:t>g,</w:t>
      </w:r>
      <w:r w:rsidR="00BE75C8" w:rsidRPr="00BE75C8">
        <w:t xml:space="preserve"> </w:t>
      </w:r>
      <w:r w:rsidR="00BE75C8" w:rsidRPr="00B93927">
        <w:t>finalized Species at Risk and environmental assessments, clearly defined monitoring and contingency plans</w:t>
      </w:r>
      <w:r>
        <w:t xml:space="preserve">, </w:t>
      </w:r>
      <w:r>
        <w:t>and engage with the Huron</w:t>
      </w:r>
      <w:r w:rsidR="00BE75C8">
        <w:t>-</w:t>
      </w:r>
      <w:r>
        <w:t xml:space="preserve">Superior </w:t>
      </w:r>
      <w:r w:rsidR="00BE75C8">
        <w:t xml:space="preserve">Regional </w:t>
      </w:r>
      <w:r>
        <w:t>Metis Community to ensure clear understandings of impacts to Metis way of life.</w:t>
      </w:r>
    </w:p>
    <w:p w14:paraId="1F4AABB2" w14:textId="77777777" w:rsidR="00BE75C8" w:rsidRDefault="00B93927" w:rsidP="00DB47EF">
      <w:r w:rsidRPr="00B93927">
        <w:t xml:space="preserve">Thank you for the opportunity to provide these comments. We would welcome further engagement with the Ministry regarding this proposal and the protection of the </w:t>
      </w:r>
      <w:proofErr w:type="spellStart"/>
      <w:r w:rsidRPr="00B93927">
        <w:t>Goulais</w:t>
      </w:r>
      <w:proofErr w:type="spellEnd"/>
      <w:r w:rsidRPr="00B93927">
        <w:t xml:space="preserve"> River </w:t>
      </w:r>
      <w:bookmarkStart w:id="0" w:name="_GoBack"/>
      <w:r w:rsidRPr="00B93927">
        <w:t>watershed</w:t>
      </w:r>
      <w:bookmarkEnd w:id="0"/>
      <w:r w:rsidRPr="00B93927">
        <w:t>.</w:t>
      </w:r>
      <w:r w:rsidR="00DB47EF">
        <w:t xml:space="preserve"> </w:t>
      </w:r>
    </w:p>
    <w:p w14:paraId="19DDECDA" w14:textId="77777777" w:rsidR="00BE75C8" w:rsidRDefault="00BE75C8" w:rsidP="00DB47EF"/>
    <w:p w14:paraId="31961F1F" w14:textId="6B7637B1" w:rsidR="00DB47EF" w:rsidRPr="00B93927" w:rsidRDefault="00DB47EF" w:rsidP="00DB47EF"/>
    <w:sectPr w:rsidR="00DB47EF" w:rsidRPr="00B93927">
      <w:footerReference w:type="default" r:id="rId7"/>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0F8831" w16cex:dateUtc="2026-01-12T19:48:00Z"/>
  <w16cex:commentExtensible w16cex:durableId="2D0F8603" w16cex:dateUtc="2026-01-12T19:38:00Z"/>
  <w16cex:commentExtensible w16cex:durableId="2D0F857E" w16cex:dateUtc="2026-01-12T19:36:00Z"/>
  <w16cex:commentExtensible w16cex:durableId="2D0F8925" w16cex:dateUtc="2026-01-12T19:52:00Z"/>
  <w16cex:commentExtensible w16cex:durableId="2D0F895B" w16cex:dateUtc="2026-01-12T19: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99998" w14:textId="77777777" w:rsidR="00C94BE7" w:rsidRDefault="00C94BE7" w:rsidP="000A635A">
      <w:pPr>
        <w:spacing w:after="0" w:line="240" w:lineRule="auto"/>
      </w:pPr>
      <w:r>
        <w:separator/>
      </w:r>
    </w:p>
  </w:endnote>
  <w:endnote w:type="continuationSeparator" w:id="0">
    <w:p w14:paraId="65A6816D" w14:textId="77777777" w:rsidR="00C94BE7" w:rsidRDefault="00C94BE7" w:rsidP="000A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485315"/>
      <w:docPartObj>
        <w:docPartGallery w:val="Page Numbers (Bottom of Page)"/>
        <w:docPartUnique/>
      </w:docPartObj>
    </w:sdtPr>
    <w:sdtEndPr>
      <w:rPr>
        <w:noProof/>
      </w:rPr>
    </w:sdtEndPr>
    <w:sdtContent>
      <w:p w14:paraId="56830F1C" w14:textId="5BAF3D57" w:rsidR="0066415D" w:rsidRDefault="006641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B160AF" w14:textId="77777777" w:rsidR="0066415D" w:rsidRDefault="00664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136B7" w14:textId="77777777" w:rsidR="00C94BE7" w:rsidRDefault="00C94BE7" w:rsidP="000A635A">
      <w:pPr>
        <w:spacing w:after="0" w:line="240" w:lineRule="auto"/>
      </w:pPr>
      <w:r>
        <w:separator/>
      </w:r>
    </w:p>
  </w:footnote>
  <w:footnote w:type="continuationSeparator" w:id="0">
    <w:p w14:paraId="7EC97306" w14:textId="77777777" w:rsidR="00C94BE7" w:rsidRDefault="00C94BE7" w:rsidP="000A635A">
      <w:pPr>
        <w:spacing w:after="0" w:line="240" w:lineRule="auto"/>
      </w:pPr>
      <w:r>
        <w:continuationSeparator/>
      </w:r>
    </w:p>
  </w:footnote>
  <w:footnote w:id="1">
    <w:p w14:paraId="3A1DD75E" w14:textId="77777777" w:rsidR="000A635A" w:rsidRPr="000A635A" w:rsidRDefault="000A635A" w:rsidP="000A635A">
      <w:pPr>
        <w:pStyle w:val="FootnoteText"/>
        <w:rPr>
          <w:sz w:val="16"/>
          <w:szCs w:val="16"/>
        </w:rPr>
      </w:pPr>
      <w:r w:rsidRPr="000A635A">
        <w:rPr>
          <w:rStyle w:val="FootnoteReference"/>
          <w:sz w:val="16"/>
          <w:szCs w:val="16"/>
        </w:rPr>
        <w:footnoteRef/>
      </w:r>
      <w:r w:rsidRPr="000A635A">
        <w:rPr>
          <w:sz w:val="16"/>
          <w:szCs w:val="16"/>
        </w:rPr>
        <w:t xml:space="preserve"> For more information, see a copy of our legally binding self-government agreement with the Government of Canada MNO-Canada Métis Self-Government Recognition and Implementation </w:t>
      </w:r>
    </w:p>
    <w:p w14:paraId="51D79EF7" w14:textId="25DC05BF" w:rsidR="000A635A" w:rsidRPr="000A635A" w:rsidRDefault="000A635A" w:rsidP="000A635A">
      <w:pPr>
        <w:pStyle w:val="FootnoteText"/>
        <w:rPr>
          <w:sz w:val="16"/>
          <w:szCs w:val="16"/>
        </w:rPr>
      </w:pPr>
      <w:r w:rsidRPr="000A635A">
        <w:rPr>
          <w:sz w:val="16"/>
          <w:szCs w:val="16"/>
        </w:rPr>
        <w:t xml:space="preserve">Agreement (23 February 2023), ss. 6.04-6.07, 6.09-6.11 [2023 Self-Government Agreement]; Métis Nation of Ontario Secretariat Act, 2015, S.O. 2015, c. 39 - Bill 153.   </w:t>
      </w:r>
    </w:p>
  </w:footnote>
  <w:footnote w:id="2">
    <w:p w14:paraId="7FB82C58" w14:textId="034CA543" w:rsidR="000A635A" w:rsidRPr="000A635A" w:rsidRDefault="000A635A">
      <w:pPr>
        <w:pStyle w:val="FootnoteText"/>
        <w:rPr>
          <w:sz w:val="16"/>
          <w:szCs w:val="16"/>
        </w:rPr>
      </w:pPr>
      <w:r w:rsidRPr="000A635A">
        <w:rPr>
          <w:rStyle w:val="FootnoteReference"/>
          <w:sz w:val="16"/>
          <w:szCs w:val="16"/>
        </w:rPr>
        <w:footnoteRef/>
      </w:r>
      <w:r w:rsidRPr="000A635A">
        <w:rPr>
          <w:sz w:val="16"/>
          <w:szCs w:val="16"/>
        </w:rPr>
        <w:t xml:space="preserve"> R. v. Powley, [2003] 2 S.C.R. 207, 2003 SCC 43.   </w:t>
      </w:r>
    </w:p>
  </w:footnote>
  <w:footnote w:id="3">
    <w:p w14:paraId="06E4F798" w14:textId="2F22F15B" w:rsidR="000A635A" w:rsidRPr="000A635A" w:rsidRDefault="000A635A">
      <w:pPr>
        <w:pStyle w:val="FootnoteText"/>
        <w:rPr>
          <w:sz w:val="16"/>
          <w:szCs w:val="16"/>
        </w:rPr>
      </w:pPr>
      <w:r w:rsidRPr="000A635A">
        <w:rPr>
          <w:rStyle w:val="FootnoteReference"/>
          <w:sz w:val="16"/>
          <w:szCs w:val="16"/>
        </w:rPr>
        <w:footnoteRef/>
      </w:r>
      <w:r w:rsidRPr="000A635A">
        <w:rPr>
          <w:sz w:val="16"/>
          <w:szCs w:val="16"/>
        </w:rPr>
        <w:t xml:space="preserve"> Indigenous Affairs Ontario, News Release, “Identification of Historic Métis Communities in Ontario” (August 22, 2017).   </w:t>
      </w:r>
    </w:p>
  </w:footnote>
  <w:footnote w:id="4">
    <w:p w14:paraId="0013E3D9" w14:textId="2A4A469A" w:rsidR="000A635A" w:rsidRPr="000A635A" w:rsidRDefault="000A635A">
      <w:pPr>
        <w:pStyle w:val="FootnoteText"/>
        <w:rPr>
          <w:sz w:val="16"/>
          <w:szCs w:val="16"/>
        </w:rPr>
      </w:pPr>
      <w:r w:rsidRPr="000A635A">
        <w:rPr>
          <w:rStyle w:val="FootnoteReference"/>
          <w:sz w:val="16"/>
          <w:szCs w:val="16"/>
        </w:rPr>
        <w:footnoteRef/>
      </w:r>
      <w:r w:rsidRPr="000A635A">
        <w:rPr>
          <w:sz w:val="16"/>
          <w:szCs w:val="16"/>
        </w:rPr>
        <w:t xml:space="preserve"> Framework Agreement on Métis Harvesting, the Province of Ontario and the Métis Nation of Ontario, April 30, 2018.</w:t>
      </w:r>
    </w:p>
  </w:footnote>
  <w:footnote w:id="5">
    <w:p w14:paraId="7A03CCA9" w14:textId="6A6E68B3" w:rsidR="000A635A" w:rsidRDefault="000A635A">
      <w:pPr>
        <w:pStyle w:val="FootnoteText"/>
      </w:pPr>
      <w:r w:rsidRPr="000A635A">
        <w:rPr>
          <w:rStyle w:val="FootnoteReference"/>
          <w:sz w:val="16"/>
          <w:szCs w:val="16"/>
        </w:rPr>
        <w:footnoteRef/>
      </w:r>
      <w:r w:rsidRPr="000A635A">
        <w:rPr>
          <w:sz w:val="16"/>
          <w:szCs w:val="16"/>
        </w:rPr>
        <w:t xml:space="preserve"> Indian Affairs and Northern Development, “Consultation Agreement between the Métis Nation of Ontario and the Government of Canada” (July 2015).</w:t>
      </w:r>
    </w:p>
  </w:footnote>
  <w:footnote w:id="6">
    <w:p w14:paraId="4BAA4682" w14:textId="75306998" w:rsidR="00941480" w:rsidRDefault="00941480">
      <w:pPr>
        <w:pStyle w:val="FootnoteText"/>
      </w:pPr>
      <w:r>
        <w:rPr>
          <w:rStyle w:val="FootnoteReference"/>
        </w:rPr>
        <w:footnoteRef/>
      </w:r>
      <w:r>
        <w:t xml:space="preserve"> </w:t>
      </w:r>
      <w:r w:rsidRPr="000A635A">
        <w:rPr>
          <w:sz w:val="16"/>
          <w:szCs w:val="16"/>
        </w:rPr>
        <w:t>R. v. Powley, [2003] 2 S.C.R. 207, 2003 SCC 43</w:t>
      </w:r>
      <w:r>
        <w:rPr>
          <w:sz w:val="16"/>
          <w:szCs w:val="16"/>
        </w:rPr>
        <w:t>. Para. 43.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19"/>
    <w:rsid w:val="000A635A"/>
    <w:rsid w:val="00180F25"/>
    <w:rsid w:val="002431B1"/>
    <w:rsid w:val="00245F41"/>
    <w:rsid w:val="003D6C00"/>
    <w:rsid w:val="00444F19"/>
    <w:rsid w:val="006126E1"/>
    <w:rsid w:val="0066415D"/>
    <w:rsid w:val="00706F14"/>
    <w:rsid w:val="00725743"/>
    <w:rsid w:val="00727766"/>
    <w:rsid w:val="00830F79"/>
    <w:rsid w:val="00941480"/>
    <w:rsid w:val="009D75C8"/>
    <w:rsid w:val="00B93927"/>
    <w:rsid w:val="00BD1B66"/>
    <w:rsid w:val="00BD64EA"/>
    <w:rsid w:val="00BE75C8"/>
    <w:rsid w:val="00C94BE7"/>
    <w:rsid w:val="00CB35EE"/>
    <w:rsid w:val="00DB47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2169"/>
  <w15:chartTrackingRefBased/>
  <w15:docId w15:val="{C555500A-BE70-48C9-A64F-11E9E557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F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F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F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F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F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F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F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F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F19"/>
    <w:rPr>
      <w:rFonts w:eastAsiaTheme="majorEastAsia" w:cstheme="majorBidi"/>
      <w:color w:val="272727" w:themeColor="text1" w:themeTint="D8"/>
    </w:rPr>
  </w:style>
  <w:style w:type="paragraph" w:styleId="Title">
    <w:name w:val="Title"/>
    <w:basedOn w:val="Normal"/>
    <w:next w:val="Normal"/>
    <w:link w:val="TitleChar"/>
    <w:uiPriority w:val="10"/>
    <w:qFormat/>
    <w:rsid w:val="00444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F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F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F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F19"/>
    <w:pPr>
      <w:spacing w:before="160"/>
      <w:jc w:val="center"/>
    </w:pPr>
    <w:rPr>
      <w:i/>
      <w:iCs/>
      <w:color w:val="404040" w:themeColor="text1" w:themeTint="BF"/>
    </w:rPr>
  </w:style>
  <w:style w:type="character" w:customStyle="1" w:styleId="QuoteChar">
    <w:name w:val="Quote Char"/>
    <w:basedOn w:val="DefaultParagraphFont"/>
    <w:link w:val="Quote"/>
    <w:uiPriority w:val="29"/>
    <w:rsid w:val="00444F19"/>
    <w:rPr>
      <w:i/>
      <w:iCs/>
      <w:color w:val="404040" w:themeColor="text1" w:themeTint="BF"/>
    </w:rPr>
  </w:style>
  <w:style w:type="paragraph" w:styleId="ListParagraph">
    <w:name w:val="List Paragraph"/>
    <w:basedOn w:val="Normal"/>
    <w:uiPriority w:val="34"/>
    <w:qFormat/>
    <w:rsid w:val="00444F19"/>
    <w:pPr>
      <w:ind w:left="720"/>
      <w:contextualSpacing/>
    </w:pPr>
  </w:style>
  <w:style w:type="character" w:styleId="IntenseEmphasis">
    <w:name w:val="Intense Emphasis"/>
    <w:basedOn w:val="DefaultParagraphFont"/>
    <w:uiPriority w:val="21"/>
    <w:qFormat/>
    <w:rsid w:val="00444F19"/>
    <w:rPr>
      <w:i/>
      <w:iCs/>
      <w:color w:val="0F4761" w:themeColor="accent1" w:themeShade="BF"/>
    </w:rPr>
  </w:style>
  <w:style w:type="paragraph" w:styleId="IntenseQuote">
    <w:name w:val="Intense Quote"/>
    <w:basedOn w:val="Normal"/>
    <w:next w:val="Normal"/>
    <w:link w:val="IntenseQuoteChar"/>
    <w:uiPriority w:val="30"/>
    <w:qFormat/>
    <w:rsid w:val="00444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F19"/>
    <w:rPr>
      <w:i/>
      <w:iCs/>
      <w:color w:val="0F4761" w:themeColor="accent1" w:themeShade="BF"/>
    </w:rPr>
  </w:style>
  <w:style w:type="character" w:styleId="IntenseReference">
    <w:name w:val="Intense Reference"/>
    <w:basedOn w:val="DefaultParagraphFont"/>
    <w:uiPriority w:val="32"/>
    <w:qFormat/>
    <w:rsid w:val="00444F19"/>
    <w:rPr>
      <w:b/>
      <w:bCs/>
      <w:smallCaps/>
      <w:color w:val="0F4761" w:themeColor="accent1" w:themeShade="BF"/>
      <w:spacing w:val="5"/>
    </w:rPr>
  </w:style>
  <w:style w:type="paragraph" w:styleId="FootnoteText">
    <w:name w:val="footnote text"/>
    <w:basedOn w:val="Normal"/>
    <w:link w:val="FootnoteTextChar"/>
    <w:uiPriority w:val="99"/>
    <w:semiHidden/>
    <w:unhideWhenUsed/>
    <w:rsid w:val="000A63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635A"/>
    <w:rPr>
      <w:sz w:val="20"/>
      <w:szCs w:val="20"/>
    </w:rPr>
  </w:style>
  <w:style w:type="character" w:styleId="FootnoteReference">
    <w:name w:val="footnote reference"/>
    <w:basedOn w:val="DefaultParagraphFont"/>
    <w:uiPriority w:val="99"/>
    <w:semiHidden/>
    <w:unhideWhenUsed/>
    <w:rsid w:val="000A635A"/>
    <w:rPr>
      <w:vertAlign w:val="superscript"/>
    </w:rPr>
  </w:style>
  <w:style w:type="character" w:styleId="Hyperlink">
    <w:name w:val="Hyperlink"/>
    <w:basedOn w:val="DefaultParagraphFont"/>
    <w:uiPriority w:val="99"/>
    <w:unhideWhenUsed/>
    <w:rsid w:val="00DB47EF"/>
    <w:rPr>
      <w:color w:val="467886" w:themeColor="hyperlink"/>
      <w:u w:val="single"/>
    </w:rPr>
  </w:style>
  <w:style w:type="character" w:styleId="UnresolvedMention">
    <w:name w:val="Unresolved Mention"/>
    <w:basedOn w:val="DefaultParagraphFont"/>
    <w:uiPriority w:val="99"/>
    <w:semiHidden/>
    <w:unhideWhenUsed/>
    <w:rsid w:val="00DB47EF"/>
    <w:rPr>
      <w:color w:val="605E5C"/>
      <w:shd w:val="clear" w:color="auto" w:fill="E1DFDD"/>
    </w:rPr>
  </w:style>
  <w:style w:type="paragraph" w:styleId="Header">
    <w:name w:val="header"/>
    <w:basedOn w:val="Normal"/>
    <w:link w:val="HeaderChar"/>
    <w:uiPriority w:val="99"/>
    <w:unhideWhenUsed/>
    <w:rsid w:val="00664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15D"/>
  </w:style>
  <w:style w:type="paragraph" w:styleId="Footer">
    <w:name w:val="footer"/>
    <w:basedOn w:val="Normal"/>
    <w:link w:val="FooterChar"/>
    <w:uiPriority w:val="99"/>
    <w:unhideWhenUsed/>
    <w:rsid w:val="00664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15D"/>
  </w:style>
  <w:style w:type="character" w:styleId="CommentReference">
    <w:name w:val="annotation reference"/>
    <w:basedOn w:val="DefaultParagraphFont"/>
    <w:uiPriority w:val="99"/>
    <w:semiHidden/>
    <w:unhideWhenUsed/>
    <w:rsid w:val="00BD1B66"/>
    <w:rPr>
      <w:sz w:val="16"/>
      <w:szCs w:val="16"/>
    </w:rPr>
  </w:style>
  <w:style w:type="paragraph" w:styleId="CommentText">
    <w:name w:val="annotation text"/>
    <w:basedOn w:val="Normal"/>
    <w:link w:val="CommentTextChar"/>
    <w:uiPriority w:val="99"/>
    <w:semiHidden/>
    <w:unhideWhenUsed/>
    <w:rsid w:val="00BD1B66"/>
    <w:pPr>
      <w:spacing w:line="240" w:lineRule="auto"/>
    </w:pPr>
    <w:rPr>
      <w:sz w:val="20"/>
      <w:szCs w:val="20"/>
    </w:rPr>
  </w:style>
  <w:style w:type="character" w:customStyle="1" w:styleId="CommentTextChar">
    <w:name w:val="Comment Text Char"/>
    <w:basedOn w:val="DefaultParagraphFont"/>
    <w:link w:val="CommentText"/>
    <w:uiPriority w:val="99"/>
    <w:semiHidden/>
    <w:rsid w:val="00BD1B66"/>
    <w:rPr>
      <w:sz w:val="20"/>
      <w:szCs w:val="20"/>
    </w:rPr>
  </w:style>
  <w:style w:type="paragraph" w:styleId="CommentSubject">
    <w:name w:val="annotation subject"/>
    <w:basedOn w:val="CommentText"/>
    <w:next w:val="CommentText"/>
    <w:link w:val="CommentSubjectChar"/>
    <w:uiPriority w:val="99"/>
    <w:semiHidden/>
    <w:unhideWhenUsed/>
    <w:rsid w:val="00BD1B66"/>
    <w:rPr>
      <w:b/>
      <w:bCs/>
    </w:rPr>
  </w:style>
  <w:style w:type="character" w:customStyle="1" w:styleId="CommentSubjectChar">
    <w:name w:val="Comment Subject Char"/>
    <w:basedOn w:val="CommentTextChar"/>
    <w:link w:val="CommentSubject"/>
    <w:uiPriority w:val="99"/>
    <w:semiHidden/>
    <w:rsid w:val="00BD1B66"/>
    <w:rPr>
      <w:b/>
      <w:bCs/>
      <w:sz w:val="20"/>
      <w:szCs w:val="20"/>
    </w:rPr>
  </w:style>
  <w:style w:type="paragraph" w:styleId="BalloonText">
    <w:name w:val="Balloon Text"/>
    <w:basedOn w:val="Normal"/>
    <w:link w:val="BalloonTextChar"/>
    <w:uiPriority w:val="99"/>
    <w:semiHidden/>
    <w:unhideWhenUsed/>
    <w:rsid w:val="00BD64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4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FD16E-42C5-45FF-BA21-308719207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Hankey</dc:creator>
  <cp:keywords/>
  <dc:description/>
  <cp:lastModifiedBy>Courtney Vaughan</cp:lastModifiedBy>
  <cp:revision>2</cp:revision>
  <dcterms:created xsi:type="dcterms:W3CDTF">2026-01-12T22:41:00Z</dcterms:created>
  <dcterms:modified xsi:type="dcterms:W3CDTF">2026-01-12T22:41:00Z</dcterms:modified>
</cp:coreProperties>
</file>