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86BAD"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Draft Letter to MECP – ERO Submission</w:t>
      </w:r>
    </w:p>
    <w:p w14:paraId="37479A26"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Re: Searchmont Ski Resort – Proposed Wastewater Treatment Plant (WWTP)  </w:t>
      </w:r>
    </w:p>
    <w:p w14:paraId="50F17686" w14:textId="4D41EA2C"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xml:space="preserve">ERO Number: </w:t>
      </w:r>
      <w:r w:rsidR="00CD0BB5">
        <w:rPr>
          <w:rFonts w:ascii="Arial" w:eastAsia="Times New Roman" w:hAnsi="Arial" w:cs="Arial"/>
          <w:color w:val="222222"/>
          <w:kern w:val="0"/>
          <w14:ligatures w14:val="none"/>
        </w:rPr>
        <w:t>025-1121</w:t>
      </w:r>
    </w:p>
    <w:p w14:paraId="5A5CE0E6"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382CB8D0"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To: Ontario Ministry of the Environment, Conservation and Parks (MECP)</w:t>
      </w:r>
    </w:p>
    <w:p w14:paraId="26BAD490"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68795959"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I am writing to provide comments on the proposed wastewater treatment plant (WWTP) for the Searchmont Ski Resort. My submission is based on a detailed technical review conducted by an independent wastewater treatment expert, who examined the Kresin Engineering Design Brief, the Greenland Assimilative Capacity Study (ACS), and the Napier</w:t>
      </w:r>
      <w:r w:rsidRPr="00216B8B">
        <w:rPr>
          <w:rFonts w:ascii="Arial" w:eastAsia="Times New Roman" w:hAnsi="Arial" w:cs="Arial"/>
          <w:color w:val="222222"/>
          <w:kern w:val="0"/>
          <w14:ligatures w14:val="none"/>
        </w:rPr>
        <w:noBreakHyphen/>
        <w:t>Reid treatment system documentation.</w:t>
      </w:r>
    </w:p>
    <w:p w14:paraId="12659EA6"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5F840EAF"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The expert’s review identifies several significant concerns that warrant further clarification, redesign, or additional supporting information before an Environmental Compliance Approval (ECA) is issued. These concerns relate to influent characterization, flow assumptions, treatment system sizing, redundancy, monitoring, and the adequacy of the assimilative capacity dataset.</w:t>
      </w:r>
    </w:p>
    <w:p w14:paraId="68343B3E"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36D1BA67"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Below is a summary of the key issues, with specific technical details and values drawn directly from the expert’s review.</w:t>
      </w:r>
    </w:p>
    <w:p w14:paraId="26E8C514"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4ADD6AEE"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w:t>
      </w:r>
    </w:p>
    <w:p w14:paraId="2B5BFE0F"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032E57E0"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1. Influent Strength Appears Underestimated (Major Concern)</w:t>
      </w:r>
    </w:p>
    <w:p w14:paraId="23EDD85C"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76920CCD"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The design assumes influent wastewater is “typical domestic strength,” with values such as:</w:t>
      </w:r>
    </w:p>
    <w:p w14:paraId="5C01FAF9"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53060EE1"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BOD: 110 mg/L  </w:t>
      </w:r>
    </w:p>
    <w:p w14:paraId="2A75A136"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TSS, TKN, TP also within weak–medium domestic ranges</w:t>
      </w:r>
    </w:p>
    <w:p w14:paraId="7DB6556D"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56F83B5F"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However, approximately 50% of the resort’s daily flow will originate from restaurants and commercial kitchens, which are well</w:t>
      </w:r>
      <w:r w:rsidRPr="00216B8B">
        <w:rPr>
          <w:rFonts w:ascii="Arial" w:eastAsia="Times New Roman" w:hAnsi="Arial" w:cs="Arial"/>
          <w:color w:val="222222"/>
          <w:kern w:val="0"/>
          <w14:ligatures w14:val="none"/>
        </w:rPr>
        <w:noBreakHyphen/>
        <w:t>documented to produce significantly higher concentrations of:</w:t>
      </w:r>
    </w:p>
    <w:p w14:paraId="0C0A8042"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09E7282A"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BOD (often several hundred to several thousand mg/L)  </w:t>
      </w:r>
    </w:p>
    <w:p w14:paraId="03FC91FA"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TSS  </w:t>
      </w:r>
    </w:p>
    <w:p w14:paraId="0B78D893"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TKN  </w:t>
      </w:r>
    </w:p>
    <w:p w14:paraId="36192E15"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TP  </w:t>
      </w:r>
    </w:p>
    <w:p w14:paraId="7F09BBAF"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Fats, oils, and grease (FOG)</w:t>
      </w:r>
    </w:p>
    <w:p w14:paraId="33722388"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3CC9F518"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The design brief does not acknowledge the impact of commercial kitchen wastewater on influent strength, nor does it provide evidence that the proposed influent concentrations were derived from actual site data.</w:t>
      </w:r>
    </w:p>
    <w:p w14:paraId="2ACC67A5"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7EB0FB2E"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Implications of underestimating influent strength include:</w:t>
      </w:r>
    </w:p>
    <w:p w14:paraId="66A11689"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4CEA6527"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Undersized biological treatment capacity  </w:t>
      </w:r>
    </w:p>
    <w:p w14:paraId="57376BC6"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Insufficient aeration/blower sizing  </w:t>
      </w:r>
    </w:p>
    <w:p w14:paraId="042E6645"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Inadequate tank volumes  </w:t>
      </w:r>
    </w:p>
    <w:p w14:paraId="031628A8"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Higher sludge production than accounted for  </w:t>
      </w:r>
    </w:p>
    <w:p w14:paraId="0422625E"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Risk of failing to meet ammonia and phosphorus limits</w:t>
      </w:r>
    </w:p>
    <w:p w14:paraId="36245F82"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2C70C0E9"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The expert identifies this as the most significant risk to treatment performance.</w:t>
      </w:r>
    </w:p>
    <w:p w14:paraId="7CA56FCD"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71BEFE69"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w:t>
      </w:r>
    </w:p>
    <w:p w14:paraId="4732F469"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08D73A23"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2. Flow and Peaking Factor Concerns</w:t>
      </w:r>
    </w:p>
    <w:p w14:paraId="43DE09F6"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3830F384"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The design uses:</w:t>
      </w:r>
    </w:p>
    <w:p w14:paraId="48FADDED"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5B20B82B"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Average Daily Flow (ADF): 180 m³/day  </w:t>
      </w:r>
    </w:p>
    <w:p w14:paraId="1146391E"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Peak Daily Flow (PDF): 360 m³/day  </w:t>
      </w:r>
    </w:p>
    <w:p w14:paraId="4E09F22A"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Peaking factor: 2.0</w:t>
      </w:r>
    </w:p>
    <w:p w14:paraId="6E9C0CEC"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73A8A780"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Existing flow data show peaks ranging from 2.0 to 2.4, and resort operations (weekends, holidays, events) are likely to produce even higher variability.</w:t>
      </w:r>
    </w:p>
    <w:p w14:paraId="282EDDC0"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28FDD928"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Additional concerns include:</w:t>
      </w:r>
    </w:p>
    <w:p w14:paraId="2D80952B"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38E770F5"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The 225 L/bed value used for hotel units does not align with Ontario Building Code (OBC) values.  </w:t>
      </w:r>
    </w:p>
    <w:p w14:paraId="21E534C8"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 OBC specifies 500 L/person for resort hotels and 250 L/room for regular hotels/motels.  </w:t>
      </w:r>
    </w:p>
    <w:p w14:paraId="7126A4F6"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OBC values represent peak day flows, not average flows.  </w:t>
      </w:r>
    </w:p>
    <w:p w14:paraId="72935611"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No upstream flow equalization is included in the design.  </w:t>
      </w:r>
    </w:p>
    <w:p w14:paraId="1959CF2D"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The only flow meter appears to be post</w:t>
      </w:r>
      <w:r w:rsidRPr="00216B8B">
        <w:rPr>
          <w:rFonts w:ascii="Arial" w:eastAsia="Times New Roman" w:hAnsi="Arial" w:cs="Arial"/>
          <w:color w:val="222222"/>
          <w:kern w:val="0"/>
          <w14:ligatures w14:val="none"/>
        </w:rPr>
        <w:noBreakHyphen/>
        <w:t>treatment, located in the Napier</w:t>
      </w:r>
      <w:r w:rsidRPr="00216B8B">
        <w:rPr>
          <w:rFonts w:ascii="Arial" w:eastAsia="Times New Roman" w:hAnsi="Arial" w:cs="Arial"/>
          <w:color w:val="222222"/>
          <w:kern w:val="0"/>
          <w14:ligatures w14:val="none"/>
        </w:rPr>
        <w:noBreakHyphen/>
        <w:t>Reid tertiary system.  </w:t>
      </w:r>
    </w:p>
    <w:p w14:paraId="256DB4B6"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 This will not measure true influent flows entering the plant.</w:t>
      </w:r>
    </w:p>
    <w:p w14:paraId="7CBA68E7"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16576E5E"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The expert recommends installing a raw sewage flow meter at the influent pumping station.</w:t>
      </w:r>
    </w:p>
    <w:p w14:paraId="3331B6C9"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153DFE0F"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w:t>
      </w:r>
    </w:p>
    <w:p w14:paraId="06485268"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1F8E01CD"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3. Missing or Inadequate Pre</w:t>
      </w:r>
      <w:r w:rsidRPr="00216B8B">
        <w:rPr>
          <w:rFonts w:ascii="Arial" w:eastAsia="Times New Roman" w:hAnsi="Arial" w:cs="Arial"/>
          <w:color w:val="222222"/>
          <w:kern w:val="0"/>
          <w14:ligatures w14:val="none"/>
        </w:rPr>
        <w:noBreakHyphen/>
        <w:t>Treatment</w:t>
      </w:r>
    </w:p>
    <w:p w14:paraId="25E7DAC9"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4AC1052B"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The Kresin Design Brief does not describe any pre</w:t>
      </w:r>
      <w:r w:rsidRPr="00216B8B">
        <w:rPr>
          <w:rFonts w:ascii="Arial" w:eastAsia="Times New Roman" w:hAnsi="Arial" w:cs="Arial"/>
          <w:color w:val="222222"/>
          <w:kern w:val="0"/>
          <w14:ligatures w14:val="none"/>
        </w:rPr>
        <w:noBreakHyphen/>
        <w:t>treatment (screening or grit removal) prior to pumping raw sewage into the SBR basins.</w:t>
      </w:r>
    </w:p>
    <w:p w14:paraId="69F02CA4"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3DED909B"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Napier</w:t>
      </w:r>
      <w:r w:rsidRPr="00216B8B">
        <w:rPr>
          <w:rFonts w:ascii="Arial" w:eastAsia="Times New Roman" w:hAnsi="Arial" w:cs="Arial"/>
          <w:color w:val="222222"/>
          <w:kern w:val="0"/>
          <w14:ligatures w14:val="none"/>
        </w:rPr>
        <w:noBreakHyphen/>
        <w:t>Reid explicitly lists pre</w:t>
      </w:r>
      <w:r w:rsidRPr="00216B8B">
        <w:rPr>
          <w:rFonts w:ascii="Arial" w:eastAsia="Times New Roman" w:hAnsi="Arial" w:cs="Arial"/>
          <w:color w:val="222222"/>
          <w:kern w:val="0"/>
          <w14:ligatures w14:val="none"/>
        </w:rPr>
        <w:noBreakHyphen/>
        <w:t>treatment as excluded from their scope.</w:t>
      </w:r>
    </w:p>
    <w:p w14:paraId="5DD15BE7"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43BFA5B4"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lastRenderedPageBreak/>
        <w:t>This is a major concern because:</w:t>
      </w:r>
    </w:p>
    <w:p w14:paraId="2A44BCBD"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2A096A0A"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Raw sewage from restaurants will contain debris, solids, and grease  </w:t>
      </w:r>
    </w:p>
    <w:p w14:paraId="4635D122"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Lack of screening can damage pumps, valves, and SBR equipment  </w:t>
      </w:r>
    </w:p>
    <w:p w14:paraId="19A4D47A"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Grit accumulation can reduce tank volume and impair biological processes</w:t>
      </w:r>
    </w:p>
    <w:p w14:paraId="63781EF7"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1248D0FC"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Most WWTPs of this type include at least coarse screening and grit removal.</w:t>
      </w:r>
    </w:p>
    <w:p w14:paraId="0E861291"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4882EEEF"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w:t>
      </w:r>
    </w:p>
    <w:p w14:paraId="621531BF"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62224DF1"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4. Treatment Technology – Capability and Limitations</w:t>
      </w:r>
    </w:p>
    <w:p w14:paraId="5915036C"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16311D27"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The expert confirms that SBRs are proven and reliable, and Napier</w:t>
      </w:r>
      <w:r w:rsidRPr="00216B8B">
        <w:rPr>
          <w:rFonts w:ascii="Arial" w:eastAsia="Times New Roman" w:hAnsi="Arial" w:cs="Arial"/>
          <w:color w:val="222222"/>
          <w:kern w:val="0"/>
          <w14:ligatures w14:val="none"/>
        </w:rPr>
        <w:noBreakHyphen/>
        <w:t>Reid has a strong track record. However, performance depends on:</w:t>
      </w:r>
    </w:p>
    <w:p w14:paraId="75382F9D"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0787A10F"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Accurate influent strength  </w:t>
      </w:r>
    </w:p>
    <w:p w14:paraId="793A7C0F"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Adequate aeration and alkalinity  </w:t>
      </w:r>
    </w:p>
    <w:p w14:paraId="53B653D1"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Proper winter insulation  </w:t>
      </w:r>
    </w:p>
    <w:p w14:paraId="14BA693F"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Skilled operation and maintenance</w:t>
      </w:r>
    </w:p>
    <w:p w14:paraId="4E645414"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79FA53F6"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Phosphorus Removal</w:t>
      </w:r>
    </w:p>
    <w:p w14:paraId="1373F643"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The proposed chemical precipitation + cloth disk filtration is standard and capable of meeting low TP limits.</w:t>
      </w:r>
    </w:p>
    <w:p w14:paraId="62BB1F69"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3FB0EC64"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Comparable plants cited by the expert:</w:t>
      </w:r>
    </w:p>
    <w:p w14:paraId="01698BBA"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4922186A"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Havelock WWTP:  </w:t>
      </w:r>
    </w:p>
    <w:p w14:paraId="3C0F7D0A"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 Limit: 0.14 mg/L  </w:t>
      </w:r>
    </w:p>
    <w:p w14:paraId="393CC878"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 Achieved: 0.07 mg/L (2020 data, 65% capacity)</w:t>
      </w:r>
    </w:p>
    <w:p w14:paraId="6BE36348"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0D64AA22"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Teeswater</w:t>
      </w:r>
      <w:r w:rsidRPr="00216B8B">
        <w:rPr>
          <w:rFonts w:ascii="Arial" w:eastAsia="Times New Roman" w:hAnsi="Arial" w:cs="Arial"/>
          <w:color w:val="222222"/>
          <w:kern w:val="0"/>
          <w14:ligatures w14:val="none"/>
        </w:rPr>
        <w:noBreakHyphen/>
        <w:t>Formosa WWTP:  </w:t>
      </w:r>
    </w:p>
    <w:p w14:paraId="69DFA042"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 Objective: 0.1 mg/L  </w:t>
      </w:r>
    </w:p>
    <w:p w14:paraId="4313EFE0"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 Limit: 0.15 mg/L  </w:t>
      </w:r>
    </w:p>
    <w:p w14:paraId="6EE62D6D"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 Achieved: 0.1 mg/L (2024 data, 74% capacity)</w:t>
      </w:r>
    </w:p>
    <w:p w14:paraId="0F69B2A0"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64F6598C"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However, these results depend on accurate influent assumptions, which are currently in question.</w:t>
      </w:r>
    </w:p>
    <w:p w14:paraId="59D63D41"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0AF8C7F3"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Ammonia</w:t>
      </w:r>
    </w:p>
    <w:p w14:paraId="051B66E2"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Summer ammonia targets are low but achievable if:</w:t>
      </w:r>
    </w:p>
    <w:p w14:paraId="0746A906"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3CCEF225"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Influent TKN is accurately estimated  </w:t>
      </w:r>
    </w:p>
    <w:p w14:paraId="6A2C3A4C"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Aeration capacity is sufficient  </w:t>
      </w:r>
    </w:p>
    <w:p w14:paraId="3DC5730A"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Alkalinity is adequate (chemical addition is included in design)</w:t>
      </w:r>
    </w:p>
    <w:p w14:paraId="5ADB2305"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23DB4F3C"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lastRenderedPageBreak/>
        <w:t>If influent nitrogen is higher than assumed, nitrification performance may be compromised.</w:t>
      </w:r>
    </w:p>
    <w:p w14:paraId="2F7B7129"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2DB10CDC"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Nitrate</w:t>
      </w:r>
    </w:p>
    <w:p w14:paraId="7C471B07"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The ACS appears to mix units (NO</w:t>
      </w:r>
      <w:r w:rsidRPr="00216B8B">
        <w:rPr>
          <w:rFonts w:ascii="Cambria Math" w:eastAsia="Times New Roman" w:hAnsi="Cambria Math" w:cs="Cambria Math"/>
          <w:color w:val="222222"/>
          <w:kern w:val="0"/>
          <w14:ligatures w14:val="none"/>
        </w:rPr>
        <w:t>₃</w:t>
      </w:r>
      <w:r w:rsidRPr="00216B8B">
        <w:rPr>
          <w:rFonts w:ascii="Arial" w:eastAsia="Times New Roman" w:hAnsi="Arial" w:cs="Arial"/>
          <w:color w:val="222222"/>
          <w:kern w:val="0"/>
          <w14:ligatures w14:val="none"/>
        </w:rPr>
        <w:t xml:space="preserve"> vs NO</w:t>
      </w:r>
      <w:r w:rsidRPr="00216B8B">
        <w:rPr>
          <w:rFonts w:ascii="Cambria Math" w:eastAsia="Times New Roman" w:hAnsi="Cambria Math" w:cs="Cambria Math"/>
          <w:color w:val="222222"/>
          <w:kern w:val="0"/>
          <w14:ligatures w14:val="none"/>
        </w:rPr>
        <w:t>₃</w:t>
      </w:r>
      <w:r w:rsidRPr="00216B8B">
        <w:rPr>
          <w:rFonts w:ascii="Arial" w:eastAsia="Times New Roman" w:hAnsi="Arial" w:cs="Arial"/>
          <w:color w:val="222222"/>
          <w:kern w:val="0"/>
          <w14:ligatures w14:val="none"/>
        </w:rPr>
        <w:noBreakHyphen/>
        <w:t>N).  </w:t>
      </w:r>
    </w:p>
    <w:p w14:paraId="4EE4C3D8"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The CCME guideline of 13 mg/L applies to NO</w:t>
      </w:r>
      <w:r w:rsidRPr="00216B8B">
        <w:rPr>
          <w:rFonts w:ascii="Cambria Math" w:eastAsia="Times New Roman" w:hAnsi="Cambria Math" w:cs="Cambria Math"/>
          <w:color w:val="222222"/>
          <w:kern w:val="0"/>
          <w14:ligatures w14:val="none"/>
        </w:rPr>
        <w:t>₃</w:t>
      </w:r>
      <w:r w:rsidRPr="00216B8B">
        <w:rPr>
          <w:rFonts w:ascii="Arial" w:eastAsia="Times New Roman" w:hAnsi="Arial" w:cs="Arial"/>
          <w:color w:val="222222"/>
          <w:kern w:val="0"/>
          <w14:ligatures w14:val="none"/>
        </w:rPr>
        <w:t>, equivalent to 2.93 mg/L as N.</w:t>
      </w:r>
    </w:p>
    <w:p w14:paraId="393A0950"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028425B9"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The creek data are reported as nitrate</w:t>
      </w:r>
      <w:r w:rsidRPr="00216B8B">
        <w:rPr>
          <w:rFonts w:ascii="Arial" w:eastAsia="Times New Roman" w:hAnsi="Arial" w:cs="Arial"/>
          <w:color w:val="222222"/>
          <w:kern w:val="0"/>
          <w14:ligatures w14:val="none"/>
        </w:rPr>
        <w:noBreakHyphen/>
        <w:t>as</w:t>
      </w:r>
      <w:r w:rsidRPr="00216B8B">
        <w:rPr>
          <w:rFonts w:ascii="Arial" w:eastAsia="Times New Roman" w:hAnsi="Arial" w:cs="Arial"/>
          <w:color w:val="222222"/>
          <w:kern w:val="0"/>
          <w14:ligatures w14:val="none"/>
        </w:rPr>
        <w:noBreakHyphen/>
        <w:t>N, so the comparison should use 2.93 mg/L, not 13 mg/L.</w:t>
      </w:r>
    </w:p>
    <w:p w14:paraId="22A7CDA6"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1A892FED"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w:t>
      </w:r>
    </w:p>
    <w:p w14:paraId="1C0060AE"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5589B4EC"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5. Lack of Redundancy in Key Treatment Components</w:t>
      </w:r>
    </w:p>
    <w:p w14:paraId="1EEEA70A"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448AF44A"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While the SBR system includes four parallel trains (good redundancy), the tertiary systems do not:</w:t>
      </w:r>
    </w:p>
    <w:p w14:paraId="21CA8391"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71260C7E"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Only one UV disinfection unit  </w:t>
      </w:r>
    </w:p>
    <w:p w14:paraId="5BBA2E2A"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Only one cloth disk filter</w:t>
      </w:r>
    </w:p>
    <w:p w14:paraId="1089ECC8"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164D813C"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The expert recommends splitting these into two parallel units to allow continued operation during maintenance or equipment failure.</w:t>
      </w:r>
    </w:p>
    <w:p w14:paraId="3663A6B3"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27FEFAF1"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w:t>
      </w:r>
    </w:p>
    <w:p w14:paraId="7BEDC830"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6C25D511"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6. Winter Conditions and Insulation</w:t>
      </w:r>
    </w:p>
    <w:p w14:paraId="026BE225"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7FCF4761"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Insulation is listed as an exclusion in the Napier</w:t>
      </w:r>
      <w:r w:rsidRPr="00216B8B">
        <w:rPr>
          <w:rFonts w:ascii="Arial" w:eastAsia="Times New Roman" w:hAnsi="Arial" w:cs="Arial"/>
          <w:color w:val="222222"/>
          <w:kern w:val="0"/>
          <w14:ligatures w14:val="none"/>
        </w:rPr>
        <w:noBreakHyphen/>
        <w:t>Reid documentation.</w:t>
      </w:r>
    </w:p>
    <w:p w14:paraId="4DF25F4F"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663F28E5"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The expert notes:</w:t>
      </w:r>
    </w:p>
    <w:p w14:paraId="2010D92C"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416829C0"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Biological processes slow significantly at low temperatures  </w:t>
      </w:r>
    </w:p>
    <w:p w14:paraId="54169080"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The design assumes wastewater temperatures as low as 5°C  </w:t>
      </w:r>
    </w:p>
    <w:p w14:paraId="00B271F8"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Achieving 5°C requires proper burial and insulation of tanks</w:t>
      </w:r>
    </w:p>
    <w:p w14:paraId="58CAE70C"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7B0E9AC9"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Without insulation, winter performance may be compromised.</w:t>
      </w:r>
    </w:p>
    <w:p w14:paraId="7A551E1B"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2E70F336"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w:t>
      </w:r>
    </w:p>
    <w:p w14:paraId="3E2F2CC5"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32D5465A"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7. Inflow &amp; Infiltration (I/I) Risks</w:t>
      </w:r>
    </w:p>
    <w:p w14:paraId="3AF8BACB"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7322DE40"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Given shallow groundwater conditions, the expert stresses:</w:t>
      </w:r>
    </w:p>
    <w:p w14:paraId="1BB53BA8"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12BE5FFF"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Tanks and piping must be fully sealed and watertight  </w:t>
      </w:r>
    </w:p>
    <w:p w14:paraId="2C756373"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Excess infiltration can cause hydraulic overloading and treatment failure</w:t>
      </w:r>
    </w:p>
    <w:p w14:paraId="2E74F3E4"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57BD45BF"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lastRenderedPageBreak/>
        <w:t>---</w:t>
      </w:r>
    </w:p>
    <w:p w14:paraId="13299B03"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3E2C87C6"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8. Backup Power Not Mentioned</w:t>
      </w:r>
    </w:p>
    <w:p w14:paraId="4D618DEC"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328E6C27"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The design brief does not reference backup power for the WWTP.</w:t>
      </w:r>
    </w:p>
    <w:p w14:paraId="1CD7F0B5"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233A0FBF"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This is a critical omission for any surface water discharge, as power outages can lead to untreated bypasses.</w:t>
      </w:r>
    </w:p>
    <w:p w14:paraId="057ACA83"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52B7B8F0"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w:t>
      </w:r>
    </w:p>
    <w:p w14:paraId="6D3EB59D"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19CA2D7E"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9. Monitoring Plan Not Provided</w:t>
      </w:r>
    </w:p>
    <w:p w14:paraId="7C3FEBFF"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3B4DA2CD"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Neither the Design Brief nor the ACS describes a monitoring program.</w:t>
      </w:r>
    </w:p>
    <w:p w14:paraId="2C6B7468"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315D7CC5"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The expert recommends:</w:t>
      </w:r>
    </w:p>
    <w:p w14:paraId="6A8853E0"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0B06AF11"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Influent monitoring  </w:t>
      </w:r>
    </w:p>
    <w:p w14:paraId="1A76C7DD"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Effluent monitoring (weekly is typical for surface water discharge)  </w:t>
      </w:r>
    </w:p>
    <w:p w14:paraId="59DE34F6"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Surface water monitoring (upstream and downstream)</w:t>
      </w:r>
    </w:p>
    <w:p w14:paraId="3CA2ACBD"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47C9B3AA"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w:t>
      </w:r>
    </w:p>
    <w:p w14:paraId="1FFE54E8"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7B0BFB14"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10. Assimilative Capacity Study (ACS) – Insufficient Dataset</w:t>
      </w:r>
    </w:p>
    <w:p w14:paraId="15AC3451"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0A5FB942"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The ACS uses 16 months of creek data.</w:t>
      </w:r>
    </w:p>
    <w:p w14:paraId="1552C470"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2346BDA7"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Based on the expert’s experience, MECP typically requires 2–3 years of data to capture:</w:t>
      </w:r>
    </w:p>
    <w:p w14:paraId="6BE675A6"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033C542C"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Seasonal variability  </w:t>
      </w:r>
    </w:p>
    <w:p w14:paraId="3C75E0FE"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Year</w:t>
      </w:r>
      <w:r w:rsidRPr="00216B8B">
        <w:rPr>
          <w:rFonts w:ascii="Arial" w:eastAsia="Times New Roman" w:hAnsi="Arial" w:cs="Arial"/>
          <w:color w:val="222222"/>
          <w:kern w:val="0"/>
          <w14:ligatures w14:val="none"/>
        </w:rPr>
        <w:noBreakHyphen/>
        <w:t>to</w:t>
      </w:r>
      <w:r w:rsidRPr="00216B8B">
        <w:rPr>
          <w:rFonts w:ascii="Arial" w:eastAsia="Times New Roman" w:hAnsi="Arial" w:cs="Arial"/>
          <w:color w:val="222222"/>
          <w:kern w:val="0"/>
          <w14:ligatures w14:val="none"/>
        </w:rPr>
        <w:noBreakHyphen/>
        <w:t>year variability  </w:t>
      </w:r>
    </w:p>
    <w:p w14:paraId="11455548"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At least two summer low</w:t>
      </w:r>
      <w:r w:rsidRPr="00216B8B">
        <w:rPr>
          <w:rFonts w:ascii="Arial" w:eastAsia="Times New Roman" w:hAnsi="Arial" w:cs="Arial"/>
          <w:color w:val="222222"/>
          <w:kern w:val="0"/>
          <w14:ligatures w14:val="none"/>
        </w:rPr>
        <w:noBreakHyphen/>
        <w:t>flow periods, when the creek is most sensitive</w:t>
      </w:r>
    </w:p>
    <w:p w14:paraId="2BE56FF1"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1C0440A7"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The proponent could have continued collecting data after initial submission to strengthen the dataset.</w:t>
      </w:r>
    </w:p>
    <w:p w14:paraId="6A3100CF"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74F9039A"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w:t>
      </w:r>
    </w:p>
    <w:p w14:paraId="100C1532"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3A95E85F"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Conclusion and Request</w:t>
      </w:r>
    </w:p>
    <w:p w14:paraId="240049BF"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3A19F7EF"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Based on the expert’s detailed review, there are several critical uncertainties and omissions in the current proposal that should be addressed before an ECA is issued. These include:</w:t>
      </w:r>
    </w:p>
    <w:p w14:paraId="1149539C"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45193B99"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Underestimated influent strength  </w:t>
      </w:r>
    </w:p>
    <w:p w14:paraId="741031B3"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lastRenderedPageBreak/>
        <w:t>- Questionable flow assumptions and lack of influent flow monitoring  </w:t>
      </w:r>
    </w:p>
    <w:p w14:paraId="2C4F870E"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Missing pre</w:t>
      </w:r>
      <w:r w:rsidRPr="00216B8B">
        <w:rPr>
          <w:rFonts w:ascii="Arial" w:eastAsia="Times New Roman" w:hAnsi="Arial" w:cs="Arial"/>
          <w:color w:val="222222"/>
          <w:kern w:val="0"/>
          <w14:ligatures w14:val="none"/>
        </w:rPr>
        <w:noBreakHyphen/>
        <w:t>treatment  </w:t>
      </w:r>
    </w:p>
    <w:p w14:paraId="01FCF4A3"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Lack of redundancy in UV and filtration  </w:t>
      </w:r>
    </w:p>
    <w:p w14:paraId="6041CECE"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Missing insulation  </w:t>
      </w:r>
    </w:p>
    <w:p w14:paraId="57A79A84"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No backup power  </w:t>
      </w:r>
    </w:p>
    <w:p w14:paraId="53DF9717"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No monitoring plan  </w:t>
      </w:r>
    </w:p>
    <w:p w14:paraId="43B41EBA"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 ACS dataset shorter than MECP’s typical expectations</w:t>
      </w:r>
    </w:p>
    <w:p w14:paraId="700BA972"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0A707F7E"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I respectfully request that MECP require the proponent to address these issues through revised design documentation, updated influent characterization, and additional ACS data collection before approval.</w:t>
      </w:r>
    </w:p>
    <w:p w14:paraId="18D7A8AB"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p>
    <w:p w14:paraId="246E5BD3" w14:textId="77777777" w:rsidR="00216B8B" w:rsidRPr="00216B8B" w:rsidRDefault="00216B8B" w:rsidP="00216B8B">
      <w:pPr>
        <w:shd w:val="clear" w:color="auto" w:fill="FFFFFF"/>
        <w:spacing w:after="0" w:line="240" w:lineRule="auto"/>
        <w:rPr>
          <w:rFonts w:ascii="Arial" w:eastAsia="Times New Roman" w:hAnsi="Arial" w:cs="Arial"/>
          <w:color w:val="222222"/>
          <w:kern w:val="0"/>
          <w14:ligatures w14:val="none"/>
        </w:rPr>
      </w:pPr>
      <w:r w:rsidRPr="00216B8B">
        <w:rPr>
          <w:rFonts w:ascii="Arial" w:eastAsia="Times New Roman" w:hAnsi="Arial" w:cs="Arial"/>
          <w:color w:val="222222"/>
          <w:kern w:val="0"/>
          <w14:ligatures w14:val="none"/>
        </w:rPr>
        <w:t>Thank you for considering these comments.</w:t>
      </w:r>
    </w:p>
    <w:p w14:paraId="4456B899" w14:textId="77777777" w:rsidR="004E30AF" w:rsidRDefault="004E30AF"/>
    <w:sectPr w:rsidR="004E30AF" w:rsidSect="0014763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B8B"/>
    <w:rsid w:val="0014763F"/>
    <w:rsid w:val="001E2D0F"/>
    <w:rsid w:val="00216B8B"/>
    <w:rsid w:val="004E30AF"/>
    <w:rsid w:val="00544C30"/>
    <w:rsid w:val="0055502F"/>
    <w:rsid w:val="0064462B"/>
    <w:rsid w:val="008C616E"/>
    <w:rsid w:val="00AF6C88"/>
    <w:rsid w:val="00CD0BB5"/>
    <w:rsid w:val="00CE51FF"/>
    <w:rsid w:val="00D12DB2"/>
    <w:rsid w:val="00DE6C9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405855DF"/>
  <w15:chartTrackingRefBased/>
  <w15:docId w15:val="{C49D8E4C-2DC4-D14E-BDA0-9C2D3EF6E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6B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6B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6B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6B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6B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6B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6B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6B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6B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6B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6B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6B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6B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6B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6B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6B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6B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6B8B"/>
    <w:rPr>
      <w:rFonts w:eastAsiaTheme="majorEastAsia" w:cstheme="majorBidi"/>
      <w:color w:val="272727" w:themeColor="text1" w:themeTint="D8"/>
    </w:rPr>
  </w:style>
  <w:style w:type="paragraph" w:styleId="Title">
    <w:name w:val="Title"/>
    <w:basedOn w:val="Normal"/>
    <w:next w:val="Normal"/>
    <w:link w:val="TitleChar"/>
    <w:uiPriority w:val="10"/>
    <w:qFormat/>
    <w:rsid w:val="00216B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6B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6B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6B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6B8B"/>
    <w:pPr>
      <w:spacing w:before="160"/>
      <w:jc w:val="center"/>
    </w:pPr>
    <w:rPr>
      <w:i/>
      <w:iCs/>
      <w:color w:val="404040" w:themeColor="text1" w:themeTint="BF"/>
    </w:rPr>
  </w:style>
  <w:style w:type="character" w:customStyle="1" w:styleId="QuoteChar">
    <w:name w:val="Quote Char"/>
    <w:basedOn w:val="DefaultParagraphFont"/>
    <w:link w:val="Quote"/>
    <w:uiPriority w:val="29"/>
    <w:rsid w:val="00216B8B"/>
    <w:rPr>
      <w:i/>
      <w:iCs/>
      <w:color w:val="404040" w:themeColor="text1" w:themeTint="BF"/>
    </w:rPr>
  </w:style>
  <w:style w:type="paragraph" w:styleId="ListParagraph">
    <w:name w:val="List Paragraph"/>
    <w:basedOn w:val="Normal"/>
    <w:uiPriority w:val="34"/>
    <w:qFormat/>
    <w:rsid w:val="00216B8B"/>
    <w:pPr>
      <w:ind w:left="720"/>
      <w:contextualSpacing/>
    </w:pPr>
  </w:style>
  <w:style w:type="character" w:styleId="IntenseEmphasis">
    <w:name w:val="Intense Emphasis"/>
    <w:basedOn w:val="DefaultParagraphFont"/>
    <w:uiPriority w:val="21"/>
    <w:qFormat/>
    <w:rsid w:val="00216B8B"/>
    <w:rPr>
      <w:i/>
      <w:iCs/>
      <w:color w:val="0F4761" w:themeColor="accent1" w:themeShade="BF"/>
    </w:rPr>
  </w:style>
  <w:style w:type="paragraph" w:styleId="IntenseQuote">
    <w:name w:val="Intense Quote"/>
    <w:basedOn w:val="Normal"/>
    <w:next w:val="Normal"/>
    <w:link w:val="IntenseQuoteChar"/>
    <w:uiPriority w:val="30"/>
    <w:qFormat/>
    <w:rsid w:val="00216B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6B8B"/>
    <w:rPr>
      <w:i/>
      <w:iCs/>
      <w:color w:val="0F4761" w:themeColor="accent1" w:themeShade="BF"/>
    </w:rPr>
  </w:style>
  <w:style w:type="character" w:styleId="IntenseReference">
    <w:name w:val="Intense Reference"/>
    <w:basedOn w:val="DefaultParagraphFont"/>
    <w:uiPriority w:val="32"/>
    <w:qFormat/>
    <w:rsid w:val="00216B8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6</Pages>
  <Words>1158</Words>
  <Characters>6525</Characters>
  <Application>Microsoft Office Word</Application>
  <DocSecurity>0</DocSecurity>
  <Lines>250</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McGuffin</dc:creator>
  <cp:keywords/>
  <dc:description/>
  <cp:lastModifiedBy>Gary McGuffin</cp:lastModifiedBy>
  <cp:revision>3</cp:revision>
  <dcterms:created xsi:type="dcterms:W3CDTF">2026-01-10T03:30:00Z</dcterms:created>
  <dcterms:modified xsi:type="dcterms:W3CDTF">2026-01-10T05:02:00Z</dcterms:modified>
</cp:coreProperties>
</file>