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8B32" w14:textId="3F443136" w:rsidR="00F64DC8" w:rsidRDefault="00726BDC">
      <w:pPr>
        <w:rPr>
          <w:b/>
          <w:bCs/>
          <w:lang w:val="en-US"/>
        </w:rPr>
      </w:pPr>
      <w:r>
        <w:rPr>
          <w:b/>
          <w:bCs/>
          <w:lang w:val="en-US"/>
        </w:rPr>
        <w:t xml:space="preserve">Concerns on the Proposed Changes to the Standards and Guidelines for Consultant Archaeologists in Ontario </w:t>
      </w:r>
    </w:p>
    <w:p w14:paraId="21C159F8" w14:textId="77777777" w:rsidR="00726BDC" w:rsidRDefault="00726BDC">
      <w:pPr>
        <w:rPr>
          <w:b/>
          <w:bCs/>
          <w:lang w:val="en-US"/>
        </w:rPr>
      </w:pPr>
    </w:p>
    <w:p w14:paraId="0E5A659F" w14:textId="77777777" w:rsidR="00726BDC" w:rsidRDefault="00726BDC">
      <w:pPr>
        <w:rPr>
          <w:lang w:val="en-US"/>
        </w:rPr>
      </w:pPr>
    </w:p>
    <w:p w14:paraId="413CBED5" w14:textId="692EEA9A" w:rsidR="00726BDC" w:rsidRDefault="00726BDC">
      <w:pPr>
        <w:rPr>
          <w:lang w:val="en-US"/>
        </w:rPr>
      </w:pPr>
      <w:r>
        <w:rPr>
          <w:lang w:val="en-US"/>
        </w:rPr>
        <w:t>As someone who has been working in CRM for the past six years and now holding an R-License I have several concerns with the proposed changes to the Standards and Guidelines that I think need to be addressed.</w:t>
      </w:r>
    </w:p>
    <w:p w14:paraId="1DE36254" w14:textId="77777777" w:rsidR="00726BDC" w:rsidRDefault="00726BDC">
      <w:pPr>
        <w:rPr>
          <w:lang w:val="en-US"/>
        </w:rPr>
      </w:pPr>
    </w:p>
    <w:p w14:paraId="2AACC6D7" w14:textId="77777777" w:rsidR="00726BDC" w:rsidRDefault="00726BDC">
      <w:pPr>
        <w:rPr>
          <w:lang w:val="en-US"/>
        </w:rPr>
      </w:pPr>
    </w:p>
    <w:tbl>
      <w:tblPr>
        <w:tblStyle w:val="TableGrid"/>
        <w:tblW w:w="0" w:type="auto"/>
        <w:tblLook w:val="04A0" w:firstRow="1" w:lastRow="0" w:firstColumn="1" w:lastColumn="0" w:noHBand="0" w:noVBand="1"/>
      </w:tblPr>
      <w:tblGrid>
        <w:gridCol w:w="4675"/>
        <w:gridCol w:w="4675"/>
      </w:tblGrid>
      <w:tr w:rsidR="00726BDC" w14:paraId="48AFA394" w14:textId="77777777" w:rsidTr="00726BDC">
        <w:tc>
          <w:tcPr>
            <w:tcW w:w="4675" w:type="dxa"/>
          </w:tcPr>
          <w:p w14:paraId="57EE6ED6" w14:textId="7F38B2E9" w:rsidR="00726BDC" w:rsidRPr="00726BDC" w:rsidRDefault="00726BDC">
            <w:pPr>
              <w:rPr>
                <w:b/>
                <w:bCs/>
                <w:lang w:val="en-US"/>
              </w:rPr>
            </w:pPr>
            <w:r>
              <w:rPr>
                <w:b/>
                <w:bCs/>
                <w:lang w:val="en-US"/>
              </w:rPr>
              <w:t>Proposed Changes</w:t>
            </w:r>
          </w:p>
        </w:tc>
        <w:tc>
          <w:tcPr>
            <w:tcW w:w="4675" w:type="dxa"/>
          </w:tcPr>
          <w:p w14:paraId="711EE121" w14:textId="290EBA6E" w:rsidR="00726BDC" w:rsidRPr="00726BDC" w:rsidRDefault="00726BDC">
            <w:pPr>
              <w:rPr>
                <w:b/>
                <w:bCs/>
                <w:lang w:val="en-US"/>
              </w:rPr>
            </w:pPr>
            <w:r>
              <w:rPr>
                <w:b/>
                <w:bCs/>
                <w:lang w:val="en-US"/>
              </w:rPr>
              <w:t>Comments and Concerns</w:t>
            </w:r>
          </w:p>
        </w:tc>
      </w:tr>
      <w:tr w:rsidR="00726BDC" w14:paraId="34A86021" w14:textId="77777777" w:rsidTr="00726BDC">
        <w:tc>
          <w:tcPr>
            <w:tcW w:w="4675" w:type="dxa"/>
          </w:tcPr>
          <w:p w14:paraId="15233085" w14:textId="5C0ECFEC" w:rsidR="00726BDC" w:rsidRDefault="00726BDC">
            <w:pPr>
              <w:rPr>
                <w:lang w:val="en-US"/>
              </w:rPr>
            </w:pPr>
            <w:r>
              <w:rPr>
                <w:lang w:val="en-US"/>
              </w:rPr>
              <w:t xml:space="preserve">p. </w:t>
            </w:r>
            <w:proofErr w:type="spellStart"/>
            <w:r>
              <w:rPr>
                <w:lang w:val="en-US"/>
              </w:rPr>
              <w:t>i</w:t>
            </w:r>
            <w:proofErr w:type="spellEnd"/>
            <w:r>
              <w:rPr>
                <w:lang w:val="en-US"/>
              </w:rPr>
              <w:t>-ii How the Standards and Guidelines were developed</w:t>
            </w:r>
          </w:p>
        </w:tc>
        <w:tc>
          <w:tcPr>
            <w:tcW w:w="4675" w:type="dxa"/>
          </w:tcPr>
          <w:p w14:paraId="02092A4C" w14:textId="3941AB83" w:rsidR="00726BDC" w:rsidRPr="00726BDC" w:rsidRDefault="00726BDC">
            <w:pPr>
              <w:rPr>
                <w:lang w:val="en-US"/>
              </w:rPr>
            </w:pPr>
            <w:r>
              <w:rPr>
                <w:lang w:val="en-US"/>
              </w:rPr>
              <w:t>The jump from 2006 feedback straight to changes proposed by the MCM in 2026 is confusing. In the letter dated March 10</w:t>
            </w:r>
            <w:r w:rsidRPr="00726BDC">
              <w:rPr>
                <w:vertAlign w:val="superscript"/>
                <w:lang w:val="en-US"/>
              </w:rPr>
              <w:t>th</w:t>
            </w:r>
            <w:r w:rsidR="00441C80">
              <w:rPr>
                <w:lang w:val="en-US"/>
              </w:rPr>
              <w:t>, 2026</w:t>
            </w:r>
            <w:r>
              <w:rPr>
                <w:lang w:val="en-US"/>
              </w:rPr>
              <w:t xml:space="preserve">, </w:t>
            </w:r>
            <w:r>
              <w:rPr>
                <w:i/>
                <w:iCs/>
                <w:lang w:val="en-US"/>
              </w:rPr>
              <w:t>Ontario’s Commitment to Heritage Framework Transformation – Next Steps</w:t>
            </w:r>
            <w:r>
              <w:rPr>
                <w:lang w:val="en-US"/>
              </w:rPr>
              <w:t xml:space="preserve">, </w:t>
            </w:r>
            <w:r w:rsidR="00F9498C">
              <w:rPr>
                <w:lang w:val="en-US"/>
              </w:rPr>
              <w:t>discusses briefly some of the conversations had to better change the S&amp;Gs. If these discussions and meetings were had with good intention, why are they not included as part of the development process for the new Standards and Guidelines, if the ministry did consult in good faith to better adapt the S&amp;Gs?</w:t>
            </w:r>
            <w:r>
              <w:rPr>
                <w:lang w:val="en-US"/>
              </w:rPr>
              <w:t xml:space="preserve"> </w:t>
            </w:r>
          </w:p>
        </w:tc>
      </w:tr>
      <w:tr w:rsidR="00726BDC" w14:paraId="11AA1464" w14:textId="77777777" w:rsidTr="00726BDC">
        <w:tc>
          <w:tcPr>
            <w:tcW w:w="4675" w:type="dxa"/>
          </w:tcPr>
          <w:p w14:paraId="3A7CA683" w14:textId="1119A4AC" w:rsidR="00726BDC" w:rsidRDefault="00F9498C">
            <w:pPr>
              <w:rPr>
                <w:lang w:val="en-US"/>
              </w:rPr>
            </w:pPr>
            <w:r>
              <w:rPr>
                <w:lang w:val="en-US"/>
              </w:rPr>
              <w:t xml:space="preserve">P. iii – Change from archaeological ‘resources’ to archaeological ‘sites’ </w:t>
            </w:r>
          </w:p>
        </w:tc>
        <w:tc>
          <w:tcPr>
            <w:tcW w:w="4675" w:type="dxa"/>
          </w:tcPr>
          <w:p w14:paraId="5B0CB5DF" w14:textId="6AC50A31" w:rsidR="00726BDC" w:rsidRDefault="00F9498C">
            <w:pPr>
              <w:rPr>
                <w:lang w:val="en-US"/>
              </w:rPr>
            </w:pPr>
            <w:r>
              <w:rPr>
                <w:lang w:val="en-US"/>
              </w:rPr>
              <w:t xml:space="preserve">What is the intention of this change? It seems in bad faith to have standards for determining further archaeological work past Stage 2 include specific artifact counts then arbitrarily define an archaeological site as having ‘an artifact’. It makes significantly more sense to continue to be able to designate finds as findspots. </w:t>
            </w:r>
          </w:p>
        </w:tc>
      </w:tr>
      <w:tr w:rsidR="00726BDC" w14:paraId="0D947033" w14:textId="77777777" w:rsidTr="00726BDC">
        <w:tc>
          <w:tcPr>
            <w:tcW w:w="4675" w:type="dxa"/>
          </w:tcPr>
          <w:p w14:paraId="44DCF4C7" w14:textId="4FDBFE5D" w:rsidR="00726BDC" w:rsidRDefault="00E7715F">
            <w:pPr>
              <w:rPr>
                <w:lang w:val="en-US"/>
              </w:rPr>
            </w:pPr>
            <w:r>
              <w:rPr>
                <w:lang w:val="en-US"/>
              </w:rPr>
              <w:t>Removal of any reference to provincial or federal health and safety regulations</w:t>
            </w:r>
          </w:p>
        </w:tc>
        <w:tc>
          <w:tcPr>
            <w:tcW w:w="4675" w:type="dxa"/>
          </w:tcPr>
          <w:p w14:paraId="6BA755D3" w14:textId="1463DE9B" w:rsidR="00726BDC" w:rsidRDefault="00E7715F">
            <w:pPr>
              <w:rPr>
                <w:lang w:val="en-US"/>
              </w:rPr>
            </w:pPr>
            <w:r>
              <w:rPr>
                <w:lang w:val="en-US"/>
              </w:rPr>
              <w:t xml:space="preserve">As a field director one of my main concerns is the safety of my crew and myself when we are conducting field work. The lack of reference to any health and safety standards is incredibly </w:t>
            </w:r>
            <w:r w:rsidR="00441C80">
              <w:rPr>
                <w:lang w:val="en-US"/>
              </w:rPr>
              <w:t>concerning and</w:t>
            </w:r>
            <w:r>
              <w:rPr>
                <w:lang w:val="en-US"/>
              </w:rPr>
              <w:t xml:space="preserve"> sets the precedent that license standing could be jeopardized if there is a disagreement of protocol between the MCM and the licensed archaeologist. Health and Safety should be a top priority. </w:t>
            </w:r>
          </w:p>
        </w:tc>
      </w:tr>
      <w:tr w:rsidR="00726BDC" w14:paraId="6EB72C47" w14:textId="77777777" w:rsidTr="00726BDC">
        <w:tc>
          <w:tcPr>
            <w:tcW w:w="4675" w:type="dxa"/>
          </w:tcPr>
          <w:p w14:paraId="12A1016A" w14:textId="747277C3" w:rsidR="00726BDC" w:rsidRDefault="00E7715F">
            <w:pPr>
              <w:rPr>
                <w:lang w:val="en-US"/>
              </w:rPr>
            </w:pPr>
            <w:r>
              <w:rPr>
                <w:lang w:val="en-US"/>
              </w:rPr>
              <w:t>p. iii – “</w:t>
            </w:r>
            <w:r w:rsidRPr="00E7715F">
              <w:t>Normally, a non-specialist (someone who is not a consultant archaeologist) such as the approval authority or Ministry staff determines archaeological potential</w:t>
            </w:r>
            <w:r>
              <w:t>”</w:t>
            </w:r>
          </w:p>
        </w:tc>
        <w:tc>
          <w:tcPr>
            <w:tcW w:w="4675" w:type="dxa"/>
          </w:tcPr>
          <w:p w14:paraId="2EE9F6C0" w14:textId="51C3A6FB" w:rsidR="00E7715F" w:rsidRDefault="00E7715F">
            <w:pPr>
              <w:rPr>
                <w:lang w:val="en-US"/>
              </w:rPr>
            </w:pPr>
            <w:r>
              <w:rPr>
                <w:lang w:val="en-US"/>
              </w:rPr>
              <w:t xml:space="preserve">If the effort has been gone through to meet all the license requirements for an archaeological license in the province, including the significant amount (both in time and money) to get post-secondary education and further experience why are ‘non-specialists’ the ones making this determination? They are literally, by your description, lacking archaeological knowledge and experience. Also, the security measures in place on PastPortal stop anyone who does not have a license from searching </w:t>
            </w:r>
            <w:r>
              <w:rPr>
                <w:lang w:val="en-US"/>
              </w:rPr>
              <w:lastRenderedPageBreak/>
              <w:t xml:space="preserve">for a site record. If identifying sites within 1km of the project area is required for adequately determining archaeological </w:t>
            </w:r>
            <w:r w:rsidR="00441C80">
              <w:rPr>
                <w:lang w:val="en-US"/>
              </w:rPr>
              <w:t>potential,</w:t>
            </w:r>
            <w:r>
              <w:rPr>
                <w:lang w:val="en-US"/>
              </w:rPr>
              <w:t xml:space="preserve"> how are they able to do so? </w:t>
            </w:r>
          </w:p>
          <w:p w14:paraId="45BFEB6A" w14:textId="40664821" w:rsidR="00726BDC" w:rsidRDefault="00E7715F">
            <w:pPr>
              <w:rPr>
                <w:lang w:val="en-US"/>
              </w:rPr>
            </w:pPr>
            <w:r>
              <w:rPr>
                <w:lang w:val="en-US"/>
              </w:rPr>
              <w:t xml:space="preserve">Determining archaeological potential should be on behalf of the consultant archaeologist, </w:t>
            </w:r>
          </w:p>
        </w:tc>
      </w:tr>
      <w:tr w:rsidR="00726BDC" w14:paraId="2CD81A2A" w14:textId="77777777" w:rsidTr="00726BDC">
        <w:tc>
          <w:tcPr>
            <w:tcW w:w="4675" w:type="dxa"/>
          </w:tcPr>
          <w:p w14:paraId="042A99C8" w14:textId="42C44F77" w:rsidR="00726BDC" w:rsidRDefault="00C27C5A">
            <w:pPr>
              <w:rPr>
                <w:lang w:val="en-US"/>
              </w:rPr>
            </w:pPr>
            <w:r>
              <w:rPr>
                <w:lang w:val="en-US"/>
              </w:rPr>
              <w:lastRenderedPageBreak/>
              <w:t xml:space="preserve">P. iv - </w:t>
            </w:r>
            <w:r w:rsidRPr="00C27C5A">
              <w:t>The consultant archaeologist must not neglect any areas of potential (e.g., sand plains, clay plains, glacial beach ridges, etc.) that may possess a higher degree of potential and differing characteristics from most of the surrounding environment. Where such areas of higher potential are identified, complete assessments and systematic surveys must be done.</w:t>
            </w:r>
          </w:p>
        </w:tc>
        <w:tc>
          <w:tcPr>
            <w:tcW w:w="4675" w:type="dxa"/>
          </w:tcPr>
          <w:p w14:paraId="715A360A" w14:textId="7289E835" w:rsidR="00726BDC" w:rsidRDefault="00C27C5A">
            <w:pPr>
              <w:rPr>
                <w:lang w:val="en-US"/>
              </w:rPr>
            </w:pPr>
            <w:r>
              <w:rPr>
                <w:lang w:val="en-US"/>
              </w:rPr>
              <w:t xml:space="preserve">What literature is there to suggest these landscape features are indicative of archaeological potential? Much of norther Ontario and the areas characterized here are not included in the typical soil or surficial geology surveys that are easily accessible. How are we meant to determine these areas in Stage 1 without a site visit? </w:t>
            </w:r>
          </w:p>
        </w:tc>
      </w:tr>
      <w:tr w:rsidR="00C27C5A" w14:paraId="06E0FCC2" w14:textId="77777777" w:rsidTr="00726BDC">
        <w:tc>
          <w:tcPr>
            <w:tcW w:w="4675" w:type="dxa"/>
          </w:tcPr>
          <w:p w14:paraId="414F4A34" w14:textId="1186999C" w:rsidR="00C27C5A" w:rsidRDefault="00C27C5A">
            <w:pPr>
              <w:rPr>
                <w:lang w:val="en-US"/>
              </w:rPr>
            </w:pPr>
            <w:r>
              <w:rPr>
                <w:lang w:val="en-US"/>
              </w:rPr>
              <w:t>P. 7 – Property definition</w:t>
            </w:r>
          </w:p>
        </w:tc>
        <w:tc>
          <w:tcPr>
            <w:tcW w:w="4675" w:type="dxa"/>
          </w:tcPr>
          <w:p w14:paraId="19DE7952" w14:textId="3F9595C2" w:rsidR="00C27C5A" w:rsidRDefault="00C27C5A">
            <w:pPr>
              <w:rPr>
                <w:lang w:val="en-US"/>
              </w:rPr>
            </w:pPr>
            <w:r>
              <w:rPr>
                <w:lang w:val="en-US"/>
              </w:rPr>
              <w:t>How does this work for crown land or federal land?</w:t>
            </w:r>
          </w:p>
        </w:tc>
      </w:tr>
      <w:tr w:rsidR="00C27C5A" w14:paraId="41DDA5C3" w14:textId="77777777" w:rsidTr="00726BDC">
        <w:tc>
          <w:tcPr>
            <w:tcW w:w="4675" w:type="dxa"/>
          </w:tcPr>
          <w:p w14:paraId="5EA0C183" w14:textId="5706A0AB" w:rsidR="00C27C5A" w:rsidRDefault="00C27C5A">
            <w:pPr>
              <w:rPr>
                <w:lang w:val="en-US"/>
              </w:rPr>
            </w:pPr>
            <w:r>
              <w:rPr>
                <w:lang w:val="en-US"/>
              </w:rPr>
              <w:t>P. 11- Assessing archaeological potential</w:t>
            </w:r>
          </w:p>
        </w:tc>
        <w:tc>
          <w:tcPr>
            <w:tcW w:w="4675" w:type="dxa"/>
          </w:tcPr>
          <w:p w14:paraId="582C985A" w14:textId="588E6E55" w:rsidR="00C27C5A" w:rsidRDefault="00C27C5A">
            <w:pPr>
              <w:rPr>
                <w:lang w:val="en-US"/>
              </w:rPr>
            </w:pPr>
            <w:r>
              <w:rPr>
                <w:lang w:val="en-US"/>
              </w:rPr>
              <w:t xml:space="preserve">If </w:t>
            </w:r>
            <w:r w:rsidR="005C5BE8">
              <w:rPr>
                <w:lang w:val="en-US"/>
              </w:rPr>
              <w:t>it’s</w:t>
            </w:r>
            <w:r>
              <w:rPr>
                <w:lang w:val="en-US"/>
              </w:rPr>
              <w:t xml:space="preserve"> usually a </w:t>
            </w:r>
            <w:r w:rsidR="005C5BE8">
              <w:rPr>
                <w:lang w:val="en-US"/>
              </w:rPr>
              <w:t xml:space="preserve">‘non-specialist’ that determines archaeological potential, why is it okay here and now for a licensed consultant to assess the potential? If they are assessing and making recommendations, they are determining archaeological potential. </w:t>
            </w:r>
          </w:p>
        </w:tc>
      </w:tr>
      <w:tr w:rsidR="005C5BE8" w14:paraId="60DEC0B4" w14:textId="77777777" w:rsidTr="00726BDC">
        <w:tc>
          <w:tcPr>
            <w:tcW w:w="4675" w:type="dxa"/>
          </w:tcPr>
          <w:p w14:paraId="073D56DB" w14:textId="65C6EB18" w:rsidR="005C5BE8" w:rsidRDefault="005C5BE8">
            <w:pPr>
              <w:rPr>
                <w:lang w:val="en-US"/>
              </w:rPr>
            </w:pPr>
            <w:r>
              <w:rPr>
                <w:lang w:val="en-US"/>
              </w:rPr>
              <w:t>P. 11 – Features Indicating Archaeological Potential</w:t>
            </w:r>
          </w:p>
        </w:tc>
        <w:tc>
          <w:tcPr>
            <w:tcW w:w="4675" w:type="dxa"/>
          </w:tcPr>
          <w:p w14:paraId="5739D64A" w14:textId="290DD075" w:rsidR="005C5BE8" w:rsidRDefault="005C5BE8">
            <w:pPr>
              <w:rPr>
                <w:lang w:val="en-US"/>
              </w:rPr>
            </w:pPr>
            <w:r>
              <w:rPr>
                <w:lang w:val="en-US"/>
              </w:rPr>
              <w:t xml:space="preserve">Again, the same argument as above continues here, but how many of these standards are required to be met? 1? 3? And what is ‘close proximity’, 10m? 50m? This needs to be defined. </w:t>
            </w:r>
          </w:p>
        </w:tc>
      </w:tr>
      <w:tr w:rsidR="005C5BE8" w14:paraId="204967D1" w14:textId="77777777" w:rsidTr="00726BDC">
        <w:tc>
          <w:tcPr>
            <w:tcW w:w="4675" w:type="dxa"/>
          </w:tcPr>
          <w:p w14:paraId="79AA26BE" w14:textId="124A2FB1" w:rsidR="005C5BE8" w:rsidRDefault="005C5BE8">
            <w:pPr>
              <w:rPr>
                <w:lang w:val="en-US"/>
              </w:rPr>
            </w:pPr>
            <w:r>
              <w:rPr>
                <w:lang w:val="en-US"/>
              </w:rPr>
              <w:t>P. 13 – Alternatives for Remote areas</w:t>
            </w:r>
          </w:p>
        </w:tc>
        <w:tc>
          <w:tcPr>
            <w:tcW w:w="4675" w:type="dxa"/>
          </w:tcPr>
          <w:p w14:paraId="45769440" w14:textId="029DAE45" w:rsidR="005C5BE8" w:rsidRDefault="005C5BE8">
            <w:pPr>
              <w:rPr>
                <w:lang w:val="en-US"/>
              </w:rPr>
            </w:pPr>
            <w:r>
              <w:rPr>
                <w:lang w:val="en-US"/>
              </w:rPr>
              <w:t xml:space="preserve">Why are traversable waterways not included in the consideration of reaching the area? And if there are detailed engineering plans or survey plans doesn’t that mean the area is reachable? This is honestly just </w:t>
            </w:r>
            <w:r w:rsidR="00002627">
              <w:rPr>
                <w:lang w:val="en-US"/>
              </w:rPr>
              <w:t>a loophole for southern companies looking to put together a cheaper proposed project budget</w:t>
            </w:r>
            <w:r>
              <w:rPr>
                <w:lang w:val="en-US"/>
              </w:rPr>
              <w:t xml:space="preserve"> and will be incredibly damaging to sites in Northern Ontario. If the project area is reachable by boat, or helicopter, seaplane </w:t>
            </w:r>
            <w:r w:rsidR="00441C80">
              <w:rPr>
                <w:lang w:val="en-US"/>
              </w:rPr>
              <w:t>etc.</w:t>
            </w:r>
            <w:r w:rsidR="00002627">
              <w:rPr>
                <w:lang w:val="en-US"/>
              </w:rPr>
              <w:t>, it</w:t>
            </w:r>
            <w:r>
              <w:rPr>
                <w:lang w:val="en-US"/>
              </w:rPr>
              <w:t xml:space="preserve"> </w:t>
            </w:r>
            <w:r w:rsidR="00002627">
              <w:rPr>
                <w:lang w:val="en-US"/>
              </w:rPr>
              <w:t>shouldn’t be</w:t>
            </w:r>
            <w:r>
              <w:rPr>
                <w:lang w:val="en-US"/>
              </w:rPr>
              <w:t xml:space="preserve"> </w:t>
            </w:r>
            <w:r w:rsidR="00002627">
              <w:rPr>
                <w:lang w:val="en-US"/>
              </w:rPr>
              <w:t>excluded</w:t>
            </w:r>
            <w:r>
              <w:rPr>
                <w:lang w:val="en-US"/>
              </w:rPr>
              <w:t xml:space="preserve">. If </w:t>
            </w:r>
            <w:proofErr w:type="spellStart"/>
            <w:r>
              <w:rPr>
                <w:lang w:val="en-US"/>
              </w:rPr>
              <w:t>HydroOne</w:t>
            </w:r>
            <w:proofErr w:type="spellEnd"/>
            <w:r>
              <w:rPr>
                <w:lang w:val="en-US"/>
              </w:rPr>
              <w:t xml:space="preserve"> can fly their guys into </w:t>
            </w:r>
            <w:r w:rsidR="00002627">
              <w:rPr>
                <w:lang w:val="en-US"/>
              </w:rPr>
              <w:t>remote</w:t>
            </w:r>
            <w:r>
              <w:rPr>
                <w:lang w:val="en-US"/>
              </w:rPr>
              <w:t xml:space="preserve"> locations to maintain the hydro </w:t>
            </w:r>
            <w:r w:rsidR="00002627">
              <w:rPr>
                <w:lang w:val="en-US"/>
              </w:rPr>
              <w:t>lines,</w:t>
            </w:r>
            <w:r>
              <w:rPr>
                <w:lang w:val="en-US"/>
              </w:rPr>
              <w:t xml:space="preserve"> we can continue to do archaeology. </w:t>
            </w:r>
          </w:p>
          <w:p w14:paraId="0F9D4AC0" w14:textId="7B062499" w:rsidR="005C5BE8" w:rsidRDefault="005C5BE8">
            <w:pPr>
              <w:rPr>
                <w:lang w:val="en-US"/>
              </w:rPr>
            </w:pPr>
          </w:p>
        </w:tc>
      </w:tr>
      <w:tr w:rsidR="00002627" w14:paraId="03AA137F" w14:textId="77777777" w:rsidTr="00726BDC">
        <w:tc>
          <w:tcPr>
            <w:tcW w:w="4675" w:type="dxa"/>
          </w:tcPr>
          <w:p w14:paraId="1A9FB13B" w14:textId="7A6E3F3B" w:rsidR="00002627" w:rsidRDefault="00002627">
            <w:pPr>
              <w:rPr>
                <w:lang w:val="en-US"/>
              </w:rPr>
            </w:pPr>
            <w:r>
              <w:rPr>
                <w:lang w:val="en-US"/>
              </w:rPr>
              <w:t>P. 14 – Separating ‘Inspections’ from test pitting</w:t>
            </w:r>
          </w:p>
        </w:tc>
        <w:tc>
          <w:tcPr>
            <w:tcW w:w="4675" w:type="dxa"/>
          </w:tcPr>
          <w:p w14:paraId="7B5EECA9" w14:textId="25C687C4" w:rsidR="00002627" w:rsidRDefault="00002627">
            <w:pPr>
              <w:rPr>
                <w:lang w:val="en-US"/>
              </w:rPr>
            </w:pPr>
            <w:r>
              <w:rPr>
                <w:lang w:val="en-US"/>
              </w:rPr>
              <w:t xml:space="preserve">Why remove a property visit from stage 1 only to put it as a separate part of the stage 2 process? If archaeological potential has been identified, how does a visual inspection only confirm there is potential? This is adding an extra step in the wrong place. They should be combinable at the stage 2 level or stay with the stage 1 process. </w:t>
            </w:r>
          </w:p>
        </w:tc>
      </w:tr>
      <w:tr w:rsidR="00002627" w14:paraId="1B411358" w14:textId="77777777" w:rsidTr="00726BDC">
        <w:tc>
          <w:tcPr>
            <w:tcW w:w="4675" w:type="dxa"/>
          </w:tcPr>
          <w:p w14:paraId="499DE8D5" w14:textId="1C292691" w:rsidR="00002627" w:rsidRDefault="00002627">
            <w:pPr>
              <w:rPr>
                <w:lang w:val="en-US"/>
              </w:rPr>
            </w:pPr>
            <w:r>
              <w:rPr>
                <w:lang w:val="en-US"/>
              </w:rPr>
              <w:lastRenderedPageBreak/>
              <w:t>P. 16 – Guidelines on geophysical survey</w:t>
            </w:r>
          </w:p>
        </w:tc>
        <w:tc>
          <w:tcPr>
            <w:tcW w:w="4675" w:type="dxa"/>
          </w:tcPr>
          <w:p w14:paraId="49FA1D41" w14:textId="58FAA7B9" w:rsidR="00002627" w:rsidRDefault="00002627">
            <w:pPr>
              <w:rPr>
                <w:lang w:val="en-US"/>
              </w:rPr>
            </w:pPr>
            <w:r>
              <w:rPr>
                <w:lang w:val="en-US"/>
              </w:rPr>
              <w:t xml:space="preserve">This is an incredibly outdated </w:t>
            </w:r>
            <w:r w:rsidR="00CB7247">
              <w:rPr>
                <w:lang w:val="en-US"/>
              </w:rPr>
              <w:t>perspective and</w:t>
            </w:r>
            <w:r>
              <w:rPr>
                <w:lang w:val="en-US"/>
              </w:rPr>
              <w:t xml:space="preserve"> does not align with current methodologies and practices concerning landscape archaeology and geophysical surveying methods. If the goal is to be as minimally invasive as possible then geophysics is incredibly effective. GPR is adaptable for many uses, identifying buried in-tact soil horizons, which would address concerns of</w:t>
            </w:r>
            <w:r w:rsidR="00CB7247">
              <w:rPr>
                <w:lang w:val="en-US"/>
              </w:rPr>
              <w:t xml:space="preserve"> deeply buried sites in disturbed areas. For identifying buried features, foundations, earthworks, filled in features, grave shafts, burials, etc. We are </w:t>
            </w:r>
            <w:proofErr w:type="gramStart"/>
            <w:r w:rsidR="00441C80">
              <w:rPr>
                <w:lang w:val="en-US"/>
              </w:rPr>
              <w:t>embarrassingly</w:t>
            </w:r>
            <w:proofErr w:type="gramEnd"/>
            <w:r w:rsidR="00CB7247">
              <w:rPr>
                <w:lang w:val="en-US"/>
              </w:rPr>
              <w:t xml:space="preserve"> behind the rest of the international archaeology community when it comes to the use of geo-physics in archaeology. </w:t>
            </w:r>
          </w:p>
        </w:tc>
      </w:tr>
      <w:tr w:rsidR="00CB7247" w14:paraId="0AE01606" w14:textId="77777777" w:rsidTr="00726BDC">
        <w:tc>
          <w:tcPr>
            <w:tcW w:w="4675" w:type="dxa"/>
          </w:tcPr>
          <w:p w14:paraId="50BF11B5" w14:textId="2411BC2C" w:rsidR="00CB7247" w:rsidRDefault="00CB7247">
            <w:pPr>
              <w:rPr>
                <w:lang w:val="en-US"/>
              </w:rPr>
            </w:pPr>
            <w:r>
              <w:rPr>
                <w:lang w:val="en-US"/>
              </w:rPr>
              <w:t xml:space="preserve">P. 18 – Inspections </w:t>
            </w:r>
          </w:p>
        </w:tc>
        <w:tc>
          <w:tcPr>
            <w:tcW w:w="4675" w:type="dxa"/>
          </w:tcPr>
          <w:p w14:paraId="1370FF80" w14:textId="03BC40B3" w:rsidR="00CB7247" w:rsidRDefault="00CB7247">
            <w:pPr>
              <w:rPr>
                <w:lang w:val="en-US"/>
              </w:rPr>
            </w:pPr>
            <w:r>
              <w:rPr>
                <w:lang w:val="en-US"/>
              </w:rPr>
              <w:t xml:space="preserve">Again, this is a waste of time at the stage 2 level if it </w:t>
            </w:r>
            <w:r w:rsidR="00441C80">
              <w:rPr>
                <w:lang w:val="en-US"/>
              </w:rPr>
              <w:t>must</w:t>
            </w:r>
            <w:r>
              <w:rPr>
                <w:lang w:val="en-US"/>
              </w:rPr>
              <w:t xml:space="preserve"> be conducted separately from excavation. Secondly, the text on the last point is a larger size than the rest of the text.</w:t>
            </w:r>
          </w:p>
          <w:p w14:paraId="4D171DD3" w14:textId="2EFB541C" w:rsidR="00CB7247" w:rsidRDefault="00CB7247">
            <w:pPr>
              <w:rPr>
                <w:lang w:val="en-US"/>
              </w:rPr>
            </w:pPr>
          </w:p>
        </w:tc>
      </w:tr>
      <w:tr w:rsidR="00CB7247" w14:paraId="30CBE6DF" w14:textId="77777777" w:rsidTr="00726BDC">
        <w:tc>
          <w:tcPr>
            <w:tcW w:w="4675" w:type="dxa"/>
          </w:tcPr>
          <w:p w14:paraId="4F71AC8F" w14:textId="4BC82085" w:rsidR="00CB7247" w:rsidRDefault="00CB7247">
            <w:pPr>
              <w:rPr>
                <w:lang w:val="en-US"/>
              </w:rPr>
            </w:pPr>
            <w:r>
              <w:rPr>
                <w:lang w:val="en-US"/>
              </w:rPr>
              <w:t>P. 21 – Test pit surveys</w:t>
            </w:r>
          </w:p>
        </w:tc>
        <w:tc>
          <w:tcPr>
            <w:tcW w:w="4675" w:type="dxa"/>
          </w:tcPr>
          <w:p w14:paraId="56F5DA7E" w14:textId="6BB2F75A" w:rsidR="00CB7247" w:rsidRDefault="00CB7247">
            <w:pPr>
              <w:rPr>
                <w:lang w:val="en-US"/>
              </w:rPr>
            </w:pPr>
            <w:r>
              <w:rPr>
                <w:lang w:val="en-US"/>
              </w:rPr>
              <w:t xml:space="preserve">Define subsoil. Is it sterile, is it a colour change? </w:t>
            </w:r>
          </w:p>
        </w:tc>
      </w:tr>
      <w:tr w:rsidR="00CB7247" w14:paraId="3D1AC95E" w14:textId="77777777" w:rsidTr="00726BDC">
        <w:tc>
          <w:tcPr>
            <w:tcW w:w="4675" w:type="dxa"/>
          </w:tcPr>
          <w:p w14:paraId="0098ADB9" w14:textId="287DD458" w:rsidR="00CB7247" w:rsidRDefault="00CB7247">
            <w:pPr>
              <w:rPr>
                <w:lang w:val="en-US"/>
              </w:rPr>
            </w:pPr>
            <w:r>
              <w:rPr>
                <w:lang w:val="en-US"/>
              </w:rPr>
              <w:t xml:space="preserve">P. 22 – Standard 1 </w:t>
            </w:r>
          </w:p>
        </w:tc>
        <w:tc>
          <w:tcPr>
            <w:tcW w:w="4675" w:type="dxa"/>
          </w:tcPr>
          <w:p w14:paraId="7C4D509E" w14:textId="1C3BC370" w:rsidR="00CB7247" w:rsidRDefault="00CB7247">
            <w:pPr>
              <w:rPr>
                <w:lang w:val="en-US"/>
              </w:rPr>
            </w:pPr>
            <w:r>
              <w:rPr>
                <w:lang w:val="en-US"/>
              </w:rPr>
              <w:t xml:space="preserve">What if all the artifacts required to recommend </w:t>
            </w:r>
            <w:r w:rsidR="00441C80">
              <w:rPr>
                <w:lang w:val="en-US"/>
              </w:rPr>
              <w:t>stage</w:t>
            </w:r>
            <w:r>
              <w:rPr>
                <w:lang w:val="en-US"/>
              </w:rPr>
              <w:t xml:space="preserve"> 3 are found in the first test pit? This is incredibly lacking in specifics. If I am surveying a </w:t>
            </w:r>
            <w:r w:rsidR="00441C80">
              <w:rPr>
                <w:lang w:val="en-US"/>
              </w:rPr>
              <w:t>100-acre</w:t>
            </w:r>
            <w:r>
              <w:rPr>
                <w:lang w:val="en-US"/>
              </w:rPr>
              <w:t xml:space="preserve"> </w:t>
            </w:r>
            <w:r w:rsidR="00441C80">
              <w:rPr>
                <w:lang w:val="en-US"/>
              </w:rPr>
              <w:t>property,</w:t>
            </w:r>
            <w:r>
              <w:rPr>
                <w:lang w:val="en-US"/>
              </w:rPr>
              <w:t xml:space="preserve"> is all work meant to stop until stage 3? This makes very little practical sense. </w:t>
            </w:r>
          </w:p>
        </w:tc>
      </w:tr>
      <w:tr w:rsidR="00726921" w14:paraId="0071E1E3" w14:textId="77777777" w:rsidTr="00726BDC">
        <w:tc>
          <w:tcPr>
            <w:tcW w:w="4675" w:type="dxa"/>
          </w:tcPr>
          <w:p w14:paraId="0320B650" w14:textId="1B2FD543" w:rsidR="00726921" w:rsidRDefault="00726921">
            <w:pPr>
              <w:rPr>
                <w:lang w:val="en-US"/>
              </w:rPr>
            </w:pPr>
            <w:r>
              <w:rPr>
                <w:lang w:val="en-US"/>
              </w:rPr>
              <w:t>P. 26 – Deeply buried conditions</w:t>
            </w:r>
          </w:p>
        </w:tc>
        <w:tc>
          <w:tcPr>
            <w:tcW w:w="4675" w:type="dxa"/>
          </w:tcPr>
          <w:p w14:paraId="18FEC254" w14:textId="3CA888F8" w:rsidR="00726921" w:rsidRDefault="00726921">
            <w:pPr>
              <w:rPr>
                <w:lang w:val="en-US"/>
              </w:rPr>
            </w:pPr>
            <w:r>
              <w:rPr>
                <w:lang w:val="en-US"/>
              </w:rPr>
              <w:t>Again, GPR and other geophysical techniques could be incredibly useful in this instance.</w:t>
            </w:r>
          </w:p>
        </w:tc>
      </w:tr>
      <w:tr w:rsidR="00726921" w14:paraId="0040CAC6" w14:textId="77777777" w:rsidTr="00726BDC">
        <w:tc>
          <w:tcPr>
            <w:tcW w:w="4675" w:type="dxa"/>
          </w:tcPr>
          <w:p w14:paraId="79C1FFB5" w14:textId="1E120426" w:rsidR="00726921" w:rsidRDefault="00726921">
            <w:pPr>
              <w:rPr>
                <w:lang w:val="en-US"/>
              </w:rPr>
            </w:pPr>
            <w:r>
              <w:rPr>
                <w:lang w:val="en-US"/>
              </w:rPr>
              <w:t>P. 29 – Undisturbed forests</w:t>
            </w:r>
          </w:p>
        </w:tc>
        <w:tc>
          <w:tcPr>
            <w:tcW w:w="4675" w:type="dxa"/>
          </w:tcPr>
          <w:p w14:paraId="227BBE50" w14:textId="2AAC37D9" w:rsidR="00726921" w:rsidRDefault="00726921">
            <w:pPr>
              <w:rPr>
                <w:lang w:val="en-US"/>
              </w:rPr>
            </w:pPr>
            <w:r>
              <w:rPr>
                <w:lang w:val="en-US"/>
              </w:rPr>
              <w:t xml:space="preserve">How are we defining undisturbed? </w:t>
            </w:r>
            <w:r w:rsidR="00441C80">
              <w:rPr>
                <w:lang w:val="en-US"/>
              </w:rPr>
              <w:t>Also,</w:t>
            </w:r>
            <w:r>
              <w:rPr>
                <w:lang w:val="en-US"/>
              </w:rPr>
              <w:t xml:space="preserve"> the standards suggested for this are ridiculous. Shallow soils can still be screened, and raking may damage mosses and the thin soil horizons and disrupt cultural features. </w:t>
            </w:r>
            <w:proofErr w:type="spellStart"/>
            <w:r>
              <w:rPr>
                <w:lang w:val="en-US"/>
              </w:rPr>
              <w:t>Artifcts</w:t>
            </w:r>
            <w:proofErr w:type="spellEnd"/>
            <w:r>
              <w:rPr>
                <w:lang w:val="en-US"/>
              </w:rPr>
              <w:t xml:space="preserve"> can still get caught in moss and plant matter, and wouldn’t these areas fall under the above definitions of a ‘low potential area’. Augmenting with a ‘hands and knees’ visual inspection is also ridiculous and will increase the in-person field time significantly. Where is the recommendation of this methodology and practice coming from? </w:t>
            </w:r>
          </w:p>
        </w:tc>
      </w:tr>
      <w:tr w:rsidR="00EE62D3" w14:paraId="21BA6CEE" w14:textId="77777777" w:rsidTr="00726BDC">
        <w:tc>
          <w:tcPr>
            <w:tcW w:w="4675" w:type="dxa"/>
          </w:tcPr>
          <w:p w14:paraId="27D9B7BD" w14:textId="24FF7604" w:rsidR="00EE62D3" w:rsidRDefault="00EE62D3">
            <w:pPr>
              <w:rPr>
                <w:lang w:val="en-US"/>
              </w:rPr>
            </w:pPr>
            <w:r>
              <w:rPr>
                <w:lang w:val="en-US"/>
              </w:rPr>
              <w:t xml:space="preserve">P. 30 – Engagement at stage 2 </w:t>
            </w:r>
          </w:p>
        </w:tc>
        <w:tc>
          <w:tcPr>
            <w:tcW w:w="4675" w:type="dxa"/>
          </w:tcPr>
          <w:p w14:paraId="7D2113AE" w14:textId="77777777" w:rsidR="00EE62D3" w:rsidRDefault="00EE62D3">
            <w:pPr>
              <w:rPr>
                <w:lang w:val="en-US"/>
              </w:rPr>
            </w:pPr>
            <w:r>
              <w:rPr>
                <w:lang w:val="en-US"/>
              </w:rPr>
              <w:t xml:space="preserve">Why are we not requiring indigenous engagement? Many companies are individually making the decision to require engagement at all levels of survey and excavation, why is the ministry not supporting this? This is outdated and allows for continued </w:t>
            </w:r>
            <w:r>
              <w:rPr>
                <w:lang w:val="en-US"/>
              </w:rPr>
              <w:lastRenderedPageBreak/>
              <w:t xml:space="preserve">exclusion of Indigenous communities in Ontario archaeology. </w:t>
            </w:r>
          </w:p>
          <w:p w14:paraId="666A93F1" w14:textId="573FEB32" w:rsidR="00EE62D3" w:rsidRDefault="00EE62D3">
            <w:pPr>
              <w:rPr>
                <w:lang w:val="en-US"/>
              </w:rPr>
            </w:pPr>
          </w:p>
        </w:tc>
      </w:tr>
      <w:tr w:rsidR="00EE62D3" w14:paraId="45776076" w14:textId="77777777" w:rsidTr="00726BDC">
        <w:tc>
          <w:tcPr>
            <w:tcW w:w="4675" w:type="dxa"/>
          </w:tcPr>
          <w:p w14:paraId="5394E8BE" w14:textId="1F50F72A" w:rsidR="00EE62D3" w:rsidRDefault="00EE62D3">
            <w:pPr>
              <w:rPr>
                <w:lang w:val="en-US"/>
              </w:rPr>
            </w:pPr>
            <w:r>
              <w:rPr>
                <w:lang w:val="en-US"/>
              </w:rPr>
              <w:lastRenderedPageBreak/>
              <w:t>P. 31 – Limits of sites</w:t>
            </w:r>
          </w:p>
        </w:tc>
        <w:tc>
          <w:tcPr>
            <w:tcW w:w="4675" w:type="dxa"/>
          </w:tcPr>
          <w:p w14:paraId="12B1AE46" w14:textId="63807DAA" w:rsidR="00EE62D3" w:rsidRDefault="00EE62D3">
            <w:pPr>
              <w:rPr>
                <w:lang w:val="en-US"/>
              </w:rPr>
            </w:pPr>
            <w:r>
              <w:rPr>
                <w:lang w:val="en-US"/>
              </w:rPr>
              <w:t xml:space="preserve">If we stop as soon as we reach all the required artifacts to recommend further work, how are we meant to identify an actual limit? This needs better defining. </w:t>
            </w:r>
          </w:p>
        </w:tc>
      </w:tr>
      <w:tr w:rsidR="00EE62D3" w14:paraId="2CD3E051" w14:textId="77777777" w:rsidTr="00726BDC">
        <w:tc>
          <w:tcPr>
            <w:tcW w:w="4675" w:type="dxa"/>
          </w:tcPr>
          <w:p w14:paraId="41CE47F1" w14:textId="401A2935" w:rsidR="00EE62D3" w:rsidRDefault="00EE62D3">
            <w:pPr>
              <w:rPr>
                <w:lang w:val="en-US"/>
              </w:rPr>
            </w:pPr>
            <w:r>
              <w:rPr>
                <w:lang w:val="en-US"/>
              </w:rPr>
              <w:t>P. 32 – Text issues</w:t>
            </w:r>
          </w:p>
        </w:tc>
        <w:tc>
          <w:tcPr>
            <w:tcW w:w="4675" w:type="dxa"/>
          </w:tcPr>
          <w:p w14:paraId="21AAB44E" w14:textId="3F07BA1C" w:rsidR="00EE62D3" w:rsidRDefault="00EE62D3">
            <w:pPr>
              <w:rPr>
                <w:lang w:val="en-US"/>
              </w:rPr>
            </w:pPr>
            <w:r>
              <w:rPr>
                <w:lang w:val="en-US"/>
              </w:rPr>
              <w:t xml:space="preserve">Again, there is a problem of consistency, the text at the top of the page is not the same as the rest of the text. </w:t>
            </w:r>
          </w:p>
        </w:tc>
      </w:tr>
      <w:tr w:rsidR="00EE62D3" w14:paraId="78F3862F" w14:textId="77777777" w:rsidTr="00726BDC">
        <w:tc>
          <w:tcPr>
            <w:tcW w:w="4675" w:type="dxa"/>
          </w:tcPr>
          <w:p w14:paraId="3027A39A" w14:textId="393B33FF" w:rsidR="00EE62D3" w:rsidRDefault="00EE62D3">
            <w:pPr>
              <w:rPr>
                <w:lang w:val="en-US"/>
              </w:rPr>
            </w:pPr>
            <w:r>
              <w:rPr>
                <w:lang w:val="en-US"/>
              </w:rPr>
              <w:t>P. 32 – Standard 1</w:t>
            </w:r>
          </w:p>
        </w:tc>
        <w:tc>
          <w:tcPr>
            <w:tcW w:w="4675" w:type="dxa"/>
          </w:tcPr>
          <w:p w14:paraId="7BBC1160" w14:textId="4AA2B8D4" w:rsidR="00EE62D3" w:rsidRDefault="00EE62D3">
            <w:pPr>
              <w:rPr>
                <w:lang w:val="en-US"/>
              </w:rPr>
            </w:pPr>
            <w:r>
              <w:rPr>
                <w:lang w:val="en-US"/>
              </w:rPr>
              <w:t xml:space="preserve">Inconsistent definitions. In the glossary you define an archaeological site as having one artifact, why are they listed separately here? The lack of consistency in your own definitions is incredibly frustrating and is what leads to inconsistent review and feedback from ministry personnel. </w:t>
            </w:r>
          </w:p>
        </w:tc>
      </w:tr>
      <w:tr w:rsidR="00F34771" w14:paraId="332A0FD1" w14:textId="77777777" w:rsidTr="00726BDC">
        <w:tc>
          <w:tcPr>
            <w:tcW w:w="4675" w:type="dxa"/>
          </w:tcPr>
          <w:p w14:paraId="7EB9735F" w14:textId="23C7730B" w:rsidR="00F34771" w:rsidRDefault="00F34771">
            <w:pPr>
              <w:rPr>
                <w:lang w:val="en-US"/>
              </w:rPr>
            </w:pPr>
            <w:r>
              <w:rPr>
                <w:lang w:val="en-US"/>
              </w:rPr>
              <w:t>P. 52,54 – Buffering for protecting sites</w:t>
            </w:r>
          </w:p>
        </w:tc>
        <w:tc>
          <w:tcPr>
            <w:tcW w:w="4675" w:type="dxa"/>
          </w:tcPr>
          <w:p w14:paraId="2B8BF45B" w14:textId="60D2D601" w:rsidR="00F34771" w:rsidRDefault="00F34771">
            <w:pPr>
              <w:rPr>
                <w:lang w:val="en-US"/>
              </w:rPr>
            </w:pPr>
            <w:r>
              <w:rPr>
                <w:lang w:val="en-US"/>
              </w:rPr>
              <w:t xml:space="preserve">On pg. 53 you say a 20m buffer is required temporarily, but then on pg. 54 you say a 20m buffer is only required for Indigenous village sites, and 10m is for ‘other sites. Which is it? Again, this is inconsistent and poorly defined. </w:t>
            </w:r>
          </w:p>
        </w:tc>
      </w:tr>
      <w:tr w:rsidR="004B56DB" w14:paraId="5BC2226A" w14:textId="77777777" w:rsidTr="00726BDC">
        <w:tc>
          <w:tcPr>
            <w:tcW w:w="4675" w:type="dxa"/>
          </w:tcPr>
          <w:p w14:paraId="538CD917" w14:textId="7451DB35" w:rsidR="004B56DB" w:rsidRDefault="004B56DB">
            <w:pPr>
              <w:rPr>
                <w:lang w:val="en-US"/>
              </w:rPr>
            </w:pPr>
            <w:r>
              <w:rPr>
                <w:lang w:val="en-US"/>
              </w:rPr>
              <w:t>All throughout – Heavy soils</w:t>
            </w:r>
          </w:p>
        </w:tc>
        <w:tc>
          <w:tcPr>
            <w:tcW w:w="4675" w:type="dxa"/>
          </w:tcPr>
          <w:p w14:paraId="5D7139C5" w14:textId="590EE535" w:rsidR="004B56DB" w:rsidRDefault="004B56DB">
            <w:pPr>
              <w:rPr>
                <w:lang w:val="en-US"/>
              </w:rPr>
            </w:pPr>
            <w:r>
              <w:rPr>
                <w:lang w:val="en-US"/>
              </w:rPr>
              <w:t xml:space="preserve">Define. </w:t>
            </w:r>
          </w:p>
        </w:tc>
      </w:tr>
      <w:tr w:rsidR="004B56DB" w14:paraId="1F98CFC1" w14:textId="77777777" w:rsidTr="00726BDC">
        <w:tc>
          <w:tcPr>
            <w:tcW w:w="4675" w:type="dxa"/>
          </w:tcPr>
          <w:p w14:paraId="06B7D68C" w14:textId="65F55DF0" w:rsidR="004B56DB" w:rsidRDefault="004B56DB">
            <w:pPr>
              <w:rPr>
                <w:lang w:val="en-US"/>
              </w:rPr>
            </w:pPr>
            <w:r>
              <w:rPr>
                <w:lang w:val="en-US"/>
              </w:rPr>
              <w:t>P. 68 – Consulting experts</w:t>
            </w:r>
          </w:p>
        </w:tc>
        <w:tc>
          <w:tcPr>
            <w:tcW w:w="4675" w:type="dxa"/>
          </w:tcPr>
          <w:p w14:paraId="55AE6D02" w14:textId="516D7085" w:rsidR="004B56DB" w:rsidRDefault="004B56DB">
            <w:pPr>
              <w:rPr>
                <w:lang w:val="en-US"/>
              </w:rPr>
            </w:pPr>
            <w:r>
              <w:rPr>
                <w:lang w:val="en-US"/>
              </w:rPr>
              <w:t xml:space="preserve">Define expert. Will the MCM be providing a list of ‘approved’ experts that meet their standards for knowledge and experience? </w:t>
            </w:r>
          </w:p>
        </w:tc>
      </w:tr>
      <w:tr w:rsidR="004B56DB" w14:paraId="271006CA" w14:textId="77777777" w:rsidTr="00726BDC">
        <w:tc>
          <w:tcPr>
            <w:tcW w:w="4675" w:type="dxa"/>
          </w:tcPr>
          <w:p w14:paraId="136F0DAD" w14:textId="75E03C86" w:rsidR="004B56DB" w:rsidRDefault="004B56DB">
            <w:pPr>
              <w:rPr>
                <w:lang w:val="en-US"/>
              </w:rPr>
            </w:pPr>
            <w:r>
              <w:rPr>
                <w:lang w:val="en-US"/>
              </w:rPr>
              <w:t>Glossary – Definitions</w:t>
            </w:r>
          </w:p>
        </w:tc>
        <w:tc>
          <w:tcPr>
            <w:tcW w:w="4675" w:type="dxa"/>
          </w:tcPr>
          <w:p w14:paraId="266C629E" w14:textId="71D663FD" w:rsidR="004B56DB" w:rsidRDefault="004B56DB">
            <w:pPr>
              <w:rPr>
                <w:lang w:val="en-US"/>
              </w:rPr>
            </w:pPr>
            <w:r>
              <w:rPr>
                <w:lang w:val="en-US"/>
              </w:rPr>
              <w:t xml:space="preserve">Again, as above stated concerns about the choice to define ‘archaeological site’ as having ‘an artifact’ </w:t>
            </w:r>
          </w:p>
        </w:tc>
      </w:tr>
    </w:tbl>
    <w:p w14:paraId="74A0FBF2" w14:textId="77777777" w:rsidR="00726BDC" w:rsidRPr="00726BDC" w:rsidRDefault="00726BDC">
      <w:pPr>
        <w:rPr>
          <w:lang w:val="en-US"/>
        </w:rPr>
      </w:pPr>
    </w:p>
    <w:sectPr w:rsidR="00726BDC" w:rsidRPr="00726B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91FB3"/>
    <w:multiLevelType w:val="multilevel"/>
    <w:tmpl w:val="338CFACE"/>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236"/>
      </w:pPr>
      <w:rPr>
        <w:rFonts w:hint="default"/>
      </w:rPr>
    </w:lvl>
    <w:lvl w:ilvl="2">
      <w:start w:val="1"/>
      <w:numFmt w:val="decimal"/>
      <w:pStyle w:val="Heading3"/>
      <w:lvlText w:val="%1.%2.%3"/>
      <w:lvlJc w:val="left"/>
      <w:pPr>
        <w:ind w:left="750" w:hanging="4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491651085">
    <w:abstractNumId w:val="0"/>
  </w:num>
  <w:num w:numId="2" w16cid:durableId="242566233">
    <w:abstractNumId w:val="0"/>
  </w:num>
  <w:num w:numId="3" w16cid:durableId="758525933">
    <w:abstractNumId w:val="0"/>
  </w:num>
  <w:num w:numId="4" w16cid:durableId="937252918">
    <w:abstractNumId w:val="0"/>
  </w:num>
  <w:num w:numId="5" w16cid:durableId="410277506">
    <w:abstractNumId w:val="0"/>
  </w:num>
  <w:num w:numId="6" w16cid:durableId="1079787249">
    <w:abstractNumId w:val="0"/>
  </w:num>
  <w:num w:numId="7" w16cid:durableId="506673044">
    <w:abstractNumId w:val="0"/>
  </w:num>
  <w:num w:numId="8" w16cid:durableId="1119300839">
    <w:abstractNumId w:val="0"/>
  </w:num>
  <w:num w:numId="9" w16cid:durableId="1224606393">
    <w:abstractNumId w:val="0"/>
  </w:num>
  <w:num w:numId="10" w16cid:durableId="905915467">
    <w:abstractNumId w:val="0"/>
  </w:num>
  <w:num w:numId="11" w16cid:durableId="1703824250">
    <w:abstractNumId w:val="0"/>
  </w:num>
  <w:num w:numId="12" w16cid:durableId="593902017">
    <w:abstractNumId w:val="0"/>
  </w:num>
  <w:num w:numId="13" w16cid:durableId="822741392">
    <w:abstractNumId w:val="0"/>
  </w:num>
  <w:num w:numId="14" w16cid:durableId="121785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DC"/>
    <w:rsid w:val="00002627"/>
    <w:rsid w:val="00441C80"/>
    <w:rsid w:val="004B56DB"/>
    <w:rsid w:val="00502F33"/>
    <w:rsid w:val="005C5BE8"/>
    <w:rsid w:val="00725B2B"/>
    <w:rsid w:val="00726921"/>
    <w:rsid w:val="00726BDC"/>
    <w:rsid w:val="0074500C"/>
    <w:rsid w:val="00870026"/>
    <w:rsid w:val="00C27C5A"/>
    <w:rsid w:val="00CB7247"/>
    <w:rsid w:val="00E7715F"/>
    <w:rsid w:val="00EE62D3"/>
    <w:rsid w:val="00F34771"/>
    <w:rsid w:val="00F64DC8"/>
    <w:rsid w:val="00F949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09EA"/>
  <w15:chartTrackingRefBased/>
  <w15:docId w15:val="{B609DE18-6544-4EF8-A4B5-48767EC3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0C"/>
    <w:pPr>
      <w:autoSpaceDE w:val="0"/>
      <w:autoSpaceDN w:val="0"/>
      <w:adjustRightInd w:val="0"/>
      <w:spacing w:after="0" w:line="240" w:lineRule="auto"/>
      <w:jc w:val="both"/>
    </w:pPr>
    <w:rPr>
      <w:rFonts w:ascii="Arial" w:hAnsi="Arial" w:cs="Times New Roman"/>
      <w:kern w:val="0"/>
      <w:sz w:val="22"/>
      <w:szCs w:val="20"/>
      <w14:ligatures w14:val="none"/>
    </w:rPr>
  </w:style>
  <w:style w:type="paragraph" w:styleId="Heading1">
    <w:name w:val="heading 1"/>
    <w:basedOn w:val="Normal"/>
    <w:next w:val="Normal"/>
    <w:link w:val="Heading1Char"/>
    <w:uiPriority w:val="9"/>
    <w:qFormat/>
    <w:rsid w:val="0074500C"/>
    <w:pPr>
      <w:numPr>
        <w:numId w:val="14"/>
      </w:numPr>
      <w:outlineLvl w:val="0"/>
    </w:pPr>
    <w:rPr>
      <w:rFonts w:cs="Arial"/>
      <w:b/>
      <w:color w:val="006699"/>
      <w:u w:val="single"/>
    </w:rPr>
  </w:style>
  <w:style w:type="paragraph" w:styleId="Heading2">
    <w:name w:val="heading 2"/>
    <w:basedOn w:val="Normal"/>
    <w:next w:val="Normal"/>
    <w:link w:val="Heading2Char"/>
    <w:uiPriority w:val="9"/>
    <w:unhideWhenUsed/>
    <w:qFormat/>
    <w:rsid w:val="0074500C"/>
    <w:pPr>
      <w:numPr>
        <w:ilvl w:val="1"/>
        <w:numId w:val="14"/>
      </w:numPr>
      <w:outlineLvl w:val="1"/>
    </w:pPr>
    <w:rPr>
      <w:rFonts w:cs="Arial"/>
      <w:b/>
      <w:color w:val="256934"/>
    </w:rPr>
  </w:style>
  <w:style w:type="paragraph" w:styleId="Heading3">
    <w:name w:val="heading 3"/>
    <w:basedOn w:val="Normal"/>
    <w:next w:val="Normal"/>
    <w:link w:val="Heading3Char"/>
    <w:uiPriority w:val="9"/>
    <w:unhideWhenUsed/>
    <w:qFormat/>
    <w:rsid w:val="0074500C"/>
    <w:pPr>
      <w:numPr>
        <w:ilvl w:val="2"/>
        <w:numId w:val="14"/>
      </w:numPr>
      <w:outlineLvl w:val="2"/>
    </w:pPr>
    <w:rPr>
      <w:rFonts w:cs="Arial"/>
      <w:color w:val="256934"/>
    </w:rPr>
  </w:style>
  <w:style w:type="paragraph" w:styleId="Heading4">
    <w:name w:val="heading 4"/>
    <w:basedOn w:val="Normal"/>
    <w:next w:val="Normal"/>
    <w:link w:val="Heading4Char"/>
    <w:uiPriority w:val="9"/>
    <w:semiHidden/>
    <w:unhideWhenUsed/>
    <w:qFormat/>
    <w:rsid w:val="00726B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6B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500C"/>
    <w:pPr>
      <w:keepNext/>
      <w:keepLines/>
      <w:numPr>
        <w:ilvl w:val="5"/>
        <w:numId w:val="14"/>
      </w:numPr>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qFormat/>
    <w:rsid w:val="0074500C"/>
    <w:pPr>
      <w:keepNext/>
      <w:keepLines/>
      <w:numPr>
        <w:ilvl w:val="6"/>
        <w:numId w:val="1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500C"/>
    <w:pPr>
      <w:keepNext/>
      <w:keepLines/>
      <w:numPr>
        <w:ilvl w:val="7"/>
        <w:numId w:val="14"/>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74500C"/>
    <w:pPr>
      <w:keepNext/>
      <w:keepLines/>
      <w:numPr>
        <w:ilvl w:val="8"/>
        <w:numId w:val="14"/>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74500C"/>
    <w:pPr>
      <w:spacing w:after="200"/>
      <w:jc w:val="center"/>
    </w:pPr>
    <w:rPr>
      <w:b/>
      <w:iCs/>
      <w:sz w:val="18"/>
      <w:szCs w:val="18"/>
    </w:rPr>
  </w:style>
  <w:style w:type="paragraph" w:styleId="Footer">
    <w:name w:val="footer"/>
    <w:basedOn w:val="Normal"/>
    <w:link w:val="FooterChar"/>
    <w:uiPriority w:val="99"/>
    <w:unhideWhenUsed/>
    <w:rsid w:val="0074500C"/>
    <w:pPr>
      <w:tabs>
        <w:tab w:val="center" w:pos="4680"/>
        <w:tab w:val="right" w:pos="9360"/>
      </w:tabs>
    </w:pPr>
  </w:style>
  <w:style w:type="character" w:customStyle="1" w:styleId="FooterChar">
    <w:name w:val="Footer Char"/>
    <w:basedOn w:val="DefaultParagraphFont"/>
    <w:link w:val="Footer"/>
    <w:uiPriority w:val="99"/>
    <w:rsid w:val="0074500C"/>
    <w:rPr>
      <w:rFonts w:ascii="Arial" w:hAnsi="Arial" w:cs="Times New Roman"/>
      <w:kern w:val="0"/>
      <w:sz w:val="22"/>
      <w:szCs w:val="20"/>
      <w14:ligatures w14:val="none"/>
    </w:rPr>
  </w:style>
  <w:style w:type="paragraph" w:styleId="Header">
    <w:name w:val="header"/>
    <w:basedOn w:val="Normal"/>
    <w:link w:val="HeaderChar"/>
    <w:uiPriority w:val="99"/>
    <w:unhideWhenUsed/>
    <w:rsid w:val="0074500C"/>
    <w:pPr>
      <w:tabs>
        <w:tab w:val="center" w:pos="4680"/>
        <w:tab w:val="right" w:pos="9360"/>
      </w:tabs>
    </w:pPr>
  </w:style>
  <w:style w:type="character" w:customStyle="1" w:styleId="HeaderChar">
    <w:name w:val="Header Char"/>
    <w:basedOn w:val="DefaultParagraphFont"/>
    <w:link w:val="Header"/>
    <w:uiPriority w:val="99"/>
    <w:rsid w:val="0074500C"/>
    <w:rPr>
      <w:rFonts w:ascii="Arial" w:hAnsi="Arial" w:cs="Times New Roman"/>
      <w:kern w:val="0"/>
      <w:sz w:val="22"/>
      <w:szCs w:val="20"/>
      <w14:ligatures w14:val="none"/>
    </w:rPr>
  </w:style>
  <w:style w:type="character" w:customStyle="1" w:styleId="Heading1Char">
    <w:name w:val="Heading 1 Char"/>
    <w:basedOn w:val="DefaultParagraphFont"/>
    <w:link w:val="Heading1"/>
    <w:uiPriority w:val="9"/>
    <w:rsid w:val="0074500C"/>
    <w:rPr>
      <w:rFonts w:ascii="Arial" w:hAnsi="Arial" w:cs="Arial"/>
      <w:b/>
      <w:color w:val="006699"/>
      <w:kern w:val="0"/>
      <w:sz w:val="22"/>
      <w:szCs w:val="20"/>
      <w:u w:val="single"/>
      <w14:ligatures w14:val="none"/>
    </w:rPr>
  </w:style>
  <w:style w:type="character" w:customStyle="1" w:styleId="Heading2Char">
    <w:name w:val="Heading 2 Char"/>
    <w:basedOn w:val="DefaultParagraphFont"/>
    <w:link w:val="Heading2"/>
    <w:uiPriority w:val="9"/>
    <w:rsid w:val="0074500C"/>
    <w:rPr>
      <w:rFonts w:ascii="Arial" w:hAnsi="Arial" w:cs="Arial"/>
      <w:b/>
      <w:color w:val="256934"/>
      <w:kern w:val="0"/>
      <w:sz w:val="22"/>
      <w:szCs w:val="20"/>
      <w14:ligatures w14:val="none"/>
    </w:rPr>
  </w:style>
  <w:style w:type="character" w:customStyle="1" w:styleId="Heading3Char">
    <w:name w:val="Heading 3 Char"/>
    <w:basedOn w:val="DefaultParagraphFont"/>
    <w:link w:val="Heading3"/>
    <w:uiPriority w:val="9"/>
    <w:rsid w:val="0074500C"/>
    <w:rPr>
      <w:rFonts w:ascii="Arial" w:hAnsi="Arial" w:cs="Arial"/>
      <w:color w:val="256934"/>
      <w:kern w:val="0"/>
      <w:sz w:val="22"/>
      <w:szCs w:val="20"/>
      <w14:ligatures w14:val="none"/>
    </w:rPr>
  </w:style>
  <w:style w:type="character" w:customStyle="1" w:styleId="Heading6Char">
    <w:name w:val="Heading 6 Char"/>
    <w:basedOn w:val="DefaultParagraphFont"/>
    <w:link w:val="Heading6"/>
    <w:uiPriority w:val="9"/>
    <w:semiHidden/>
    <w:rsid w:val="0074500C"/>
    <w:rPr>
      <w:rFonts w:asciiTheme="majorHAnsi" w:eastAsiaTheme="majorEastAsia" w:hAnsiTheme="majorHAnsi" w:cstheme="majorBidi"/>
      <w:i/>
      <w:iCs/>
      <w:color w:val="0A2F40" w:themeColor="accent1" w:themeShade="7F"/>
      <w:kern w:val="0"/>
      <w:sz w:val="22"/>
      <w:szCs w:val="20"/>
      <w14:ligatures w14:val="none"/>
    </w:rPr>
  </w:style>
  <w:style w:type="character" w:customStyle="1" w:styleId="Heading7Char">
    <w:name w:val="Heading 7 Char"/>
    <w:basedOn w:val="DefaultParagraphFont"/>
    <w:link w:val="Heading7"/>
    <w:uiPriority w:val="9"/>
    <w:rsid w:val="0074500C"/>
    <w:rPr>
      <w:rFonts w:asciiTheme="majorHAnsi" w:eastAsiaTheme="majorEastAsia" w:hAnsiTheme="majorHAnsi" w:cstheme="majorBidi"/>
      <w:i/>
      <w:iCs/>
      <w:color w:val="404040" w:themeColor="text1" w:themeTint="BF"/>
      <w:kern w:val="0"/>
      <w:sz w:val="22"/>
      <w:szCs w:val="20"/>
      <w14:ligatures w14:val="none"/>
    </w:rPr>
  </w:style>
  <w:style w:type="character" w:customStyle="1" w:styleId="Heading8Char">
    <w:name w:val="Heading 8 Char"/>
    <w:basedOn w:val="DefaultParagraphFont"/>
    <w:link w:val="Heading8"/>
    <w:uiPriority w:val="9"/>
    <w:semiHidden/>
    <w:rsid w:val="0074500C"/>
    <w:rPr>
      <w:rFonts w:asciiTheme="majorHAnsi" w:eastAsiaTheme="majorEastAsia" w:hAnsiTheme="majorHAnsi" w:cstheme="majorBidi"/>
      <w:color w:val="404040"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74500C"/>
    <w:rPr>
      <w:rFonts w:asciiTheme="majorHAnsi" w:eastAsiaTheme="majorEastAsia" w:hAnsiTheme="majorHAnsi" w:cstheme="majorBidi"/>
      <w:i/>
      <w:iCs/>
      <w:color w:val="404040" w:themeColor="text1" w:themeTint="BF"/>
      <w:kern w:val="0"/>
      <w:sz w:val="22"/>
      <w:szCs w:val="20"/>
      <w14:ligatures w14:val="none"/>
    </w:rPr>
  </w:style>
  <w:style w:type="paragraph" w:customStyle="1" w:styleId="MHBibliography">
    <w:name w:val="MH Bibliography"/>
    <w:basedOn w:val="Normal"/>
    <w:link w:val="MHBibliographyChar"/>
    <w:qFormat/>
    <w:rsid w:val="0074500C"/>
    <w:pPr>
      <w:spacing w:before="120" w:after="120"/>
      <w:jc w:val="left"/>
    </w:pPr>
    <w:rPr>
      <w:rFonts w:cs="Arial"/>
      <w:noProof/>
      <w:sz w:val="20"/>
      <w:lang w:val="en-US"/>
    </w:rPr>
  </w:style>
  <w:style w:type="character" w:customStyle="1" w:styleId="MHBibliographyChar">
    <w:name w:val="MH Bibliography Char"/>
    <w:basedOn w:val="DefaultParagraphFont"/>
    <w:link w:val="MHBibliography"/>
    <w:rsid w:val="0074500C"/>
    <w:rPr>
      <w:rFonts w:ascii="Arial" w:hAnsi="Arial" w:cs="Arial"/>
      <w:noProof/>
      <w:kern w:val="0"/>
      <w:sz w:val="20"/>
      <w:szCs w:val="20"/>
      <w:lang w:val="en-US"/>
      <w14:ligatures w14:val="none"/>
    </w:rPr>
  </w:style>
  <w:style w:type="character" w:customStyle="1" w:styleId="Heading4Char">
    <w:name w:val="Heading 4 Char"/>
    <w:basedOn w:val="DefaultParagraphFont"/>
    <w:link w:val="Heading4"/>
    <w:uiPriority w:val="9"/>
    <w:semiHidden/>
    <w:rsid w:val="00726BDC"/>
    <w:rPr>
      <w:rFonts w:eastAsiaTheme="majorEastAsia" w:cstheme="majorBidi"/>
      <w:i/>
      <w:iCs/>
      <w:color w:val="0F4761" w:themeColor="accent1" w:themeShade="BF"/>
      <w:kern w:val="0"/>
      <w:sz w:val="22"/>
      <w:szCs w:val="20"/>
      <w14:ligatures w14:val="none"/>
    </w:rPr>
  </w:style>
  <w:style w:type="character" w:customStyle="1" w:styleId="Heading5Char">
    <w:name w:val="Heading 5 Char"/>
    <w:basedOn w:val="DefaultParagraphFont"/>
    <w:link w:val="Heading5"/>
    <w:uiPriority w:val="9"/>
    <w:semiHidden/>
    <w:rsid w:val="00726BDC"/>
    <w:rPr>
      <w:rFonts w:eastAsiaTheme="majorEastAsia" w:cstheme="majorBidi"/>
      <w:color w:val="0F4761" w:themeColor="accent1" w:themeShade="BF"/>
      <w:kern w:val="0"/>
      <w:sz w:val="22"/>
      <w:szCs w:val="20"/>
      <w14:ligatures w14:val="none"/>
    </w:rPr>
  </w:style>
  <w:style w:type="paragraph" w:styleId="Title">
    <w:name w:val="Title"/>
    <w:basedOn w:val="Normal"/>
    <w:next w:val="Normal"/>
    <w:link w:val="TitleChar"/>
    <w:uiPriority w:val="10"/>
    <w:qFormat/>
    <w:rsid w:val="00726B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BD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26B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BD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26B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6BDC"/>
    <w:rPr>
      <w:rFonts w:ascii="Arial" w:hAnsi="Arial" w:cs="Times New Roman"/>
      <w:i/>
      <w:iCs/>
      <w:color w:val="404040" w:themeColor="text1" w:themeTint="BF"/>
      <w:kern w:val="0"/>
      <w:sz w:val="22"/>
      <w:szCs w:val="20"/>
      <w14:ligatures w14:val="none"/>
    </w:rPr>
  </w:style>
  <w:style w:type="paragraph" w:styleId="ListParagraph">
    <w:name w:val="List Paragraph"/>
    <w:basedOn w:val="Normal"/>
    <w:uiPriority w:val="34"/>
    <w:qFormat/>
    <w:rsid w:val="00726BDC"/>
    <w:pPr>
      <w:ind w:left="720"/>
      <w:contextualSpacing/>
    </w:pPr>
  </w:style>
  <w:style w:type="character" w:styleId="IntenseEmphasis">
    <w:name w:val="Intense Emphasis"/>
    <w:basedOn w:val="DefaultParagraphFont"/>
    <w:uiPriority w:val="21"/>
    <w:qFormat/>
    <w:rsid w:val="00726BDC"/>
    <w:rPr>
      <w:i/>
      <w:iCs/>
      <w:color w:val="0F4761" w:themeColor="accent1" w:themeShade="BF"/>
    </w:rPr>
  </w:style>
  <w:style w:type="paragraph" w:styleId="IntenseQuote">
    <w:name w:val="Intense Quote"/>
    <w:basedOn w:val="Normal"/>
    <w:next w:val="Normal"/>
    <w:link w:val="IntenseQuoteChar"/>
    <w:uiPriority w:val="30"/>
    <w:qFormat/>
    <w:rsid w:val="00726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BDC"/>
    <w:rPr>
      <w:rFonts w:ascii="Arial" w:hAnsi="Arial" w:cs="Times New Roman"/>
      <w:i/>
      <w:iCs/>
      <w:color w:val="0F4761" w:themeColor="accent1" w:themeShade="BF"/>
      <w:kern w:val="0"/>
      <w:sz w:val="22"/>
      <w:szCs w:val="20"/>
      <w14:ligatures w14:val="none"/>
    </w:rPr>
  </w:style>
  <w:style w:type="character" w:styleId="IntenseReference">
    <w:name w:val="Intense Reference"/>
    <w:basedOn w:val="DefaultParagraphFont"/>
    <w:uiPriority w:val="32"/>
    <w:qFormat/>
    <w:rsid w:val="00726BDC"/>
    <w:rPr>
      <w:b/>
      <w:bCs/>
      <w:smallCaps/>
      <w:color w:val="0F4761" w:themeColor="accent1" w:themeShade="BF"/>
      <w:spacing w:val="5"/>
    </w:rPr>
  </w:style>
  <w:style w:type="table" w:styleId="TableGrid">
    <w:name w:val="Table Grid"/>
    <w:basedOn w:val="TableNormal"/>
    <w:uiPriority w:val="39"/>
    <w:rsid w:val="00726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1456</Words>
  <Characters>7136</Characters>
  <Application>Microsoft Office Word</Application>
  <DocSecurity>0</DocSecurity>
  <Lines>145</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 Miller</dc:creator>
  <cp:keywords/>
  <dc:description/>
  <cp:lastModifiedBy>Em Miller</cp:lastModifiedBy>
  <cp:revision>4</cp:revision>
  <dcterms:created xsi:type="dcterms:W3CDTF">2026-04-02T17:09:00Z</dcterms:created>
  <dcterms:modified xsi:type="dcterms:W3CDTF">2026-04-02T19:08:00Z</dcterms:modified>
</cp:coreProperties>
</file>