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bCs w:val="1"/>
          <w:i w:val="0"/>
          <w:iCs w:val="0"/>
          <w:color w:val="1f1f1f"/>
          <w:sz w:val="28"/>
          <w:szCs w:val="28"/>
        </w:rPr>
      </w:pPr>
      <w:r w:rsidDel="00000000" w:rsidR="00000000" w:rsidRPr="00000000">
        <w:rPr>
          <w:rFonts w:ascii="Google Sans" w:cs="Google Sans" w:eastAsia="Google Sans" w:hAnsi="Google Sans"/>
          <w:b w:val="1"/>
          <w:bCs w:val="1"/>
          <w:i w:val="0"/>
          <w:iCs w:val="0"/>
          <w:color w:val="1f1f1f"/>
          <w:sz w:val="28"/>
          <w:szCs w:val="28"/>
          <w:rtl w:val="0"/>
        </w:rPr>
        <w:t xml:space="preserve">General Stance: Opposition to Implementation</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proposed updates to the </w:t>
      </w:r>
      <w:r w:rsidDel="00000000" w:rsidR="00000000" w:rsidRPr="00000000">
        <w:rPr>
          <w:rFonts w:ascii="Google Sans" w:cs="Google Sans" w:eastAsia="Google Sans" w:hAnsi="Google Sans"/>
          <w:i w:val="1"/>
          <w:iCs w:val="1"/>
          <w:color w:val="1f1f1f"/>
          <w:rtl w:val="0"/>
        </w:rPr>
        <w:t xml:space="preserve">Standards and Guidelines for Consultant Archaeologists </w:t>
      </w:r>
      <w:r w:rsidDel="00000000" w:rsidR="00000000" w:rsidRPr="00000000">
        <w:rPr>
          <w:rFonts w:ascii="Google Sans" w:cs="Google Sans" w:eastAsia="Google Sans" w:hAnsi="Google Sans"/>
          <w:color w:val="1f1f1f"/>
          <w:rtl w:val="0"/>
        </w:rPr>
        <w:t xml:space="preserve">(S&amp;Gs)</w:t>
      </w:r>
      <w:r w:rsidDel="00000000" w:rsidR="00000000" w:rsidRPr="00000000">
        <w:rPr>
          <w:rFonts w:ascii="Google Sans" w:cs="Google Sans" w:eastAsia="Google Sans" w:hAnsi="Google Sans"/>
          <w:color w:val="1f1f1f"/>
          <w:rtl w:val="0"/>
        </w:rPr>
        <w:t xml:space="preserve">  and criteria for evaluating Licensed Consultant Archaeologists’ (LCA) compliance record should not be implemented in their current form. </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While the existing  2011 S&amp;Gs have serious flaws and require revisions and updates, the current proposal fails to make the necessary targeted changes that would streamline and modernize the archaeological assessment process. Instead, the planned changes create unnecessary confusion and chaos, conflict with other legislative and planning processes, risk impeding development and infrastructure projects, and threaten Ontario’s valuable archaeological resources. </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It is recognized that effective legislation and policy requires a delicate balance between rigidity and flexibility. In the attempt to update terminology and remove unnecessary guidelines and obsolete standards, the proposed changes introduce rigid terminology with unintended consequences. It is clear that some changes to the S&amp;Gs are intended to work with the proposed criteria for evaluating LCA compliance by providing objective and measurable practices related to compliance. Unfortunately, these changes only serve to demonstrate and highlight flaws in the existing framework and would cause harm to the profession.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One of the existing flaws in the current Heritage Framework is the lack of an effective framework for regulatory oversight of licensed archaeologists. The current S&amp;Gs do not incorporate the elements required to establish an effective regulatory framework based on research conducted by the Canadian government, and at best, only establish standards of practice and data collection. While an enhanced risk-based framework for regulatory oversight is necessary, the current proposal which binds the criteria for compliance to the highly subjective report review process and flawed S&amp;Gs has serious legal ramifications. As such, the proposed criteria for evaluating LCA compliance will not improve consumer confidence and will increase animosity between professional archaeologists and the licensing body. </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bCs w:val="1"/>
          <w:i w:val="0"/>
          <w:iCs w:val="0"/>
          <w:color w:val="1f1f1f"/>
          <w:sz w:val="28"/>
          <w:szCs w:val="28"/>
        </w:rPr>
      </w:pPr>
      <w:r w:rsidDel="00000000" w:rsidR="00000000" w:rsidRPr="00000000">
        <w:rPr>
          <w:rFonts w:ascii="Google Sans" w:cs="Google Sans" w:eastAsia="Google Sans" w:hAnsi="Google Sans"/>
          <w:b w:val="1"/>
          <w:bCs w:val="1"/>
          <w:i w:val="0"/>
          <w:iCs w:val="0"/>
          <w:color w:val="1f1f1f"/>
          <w:sz w:val="28"/>
          <w:szCs w:val="28"/>
          <w:rtl w:val="0"/>
        </w:rPr>
        <w:t xml:space="preserve">Concerns Regarding Consultation and Process</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570" w:hanging="360"/>
      </w:pPr>
      <w:r w:rsidDel="00000000" w:rsidR="00000000" w:rsidRPr="00000000">
        <w:rPr>
          <w:rFonts w:ascii="Google Sans" w:cs="Google Sans" w:eastAsia="Google Sans" w:hAnsi="Google Sans"/>
          <w:b w:val="1"/>
          <w:bCs w:val="1"/>
          <w:color w:val="1f1f1f"/>
          <w:rtl w:val="0"/>
        </w:rPr>
        <w:t xml:space="preserve">Lack of Meaningful Engagement</w:t>
      </w:r>
      <w:r w:rsidDel="00000000" w:rsidR="00000000" w:rsidRPr="00000000">
        <w:rPr>
          <w:rFonts w:ascii="Google Sans" w:cs="Google Sans" w:eastAsia="Google Sans" w:hAnsi="Google Sans"/>
          <w:color w:val="1f1f1f"/>
          <w:rtl w:val="0"/>
        </w:rPr>
        <w:t xml:space="preserve">: There is deep disappointment that the current proposal was not shared more widely with the archaeological and Indigenous communities prior to this ERO posting. The short ERO period </w:t>
      </w:r>
      <w:r w:rsidDel="00000000" w:rsidR="00000000" w:rsidRPr="00000000">
        <w:rPr>
          <w:color w:val="1f1f1f"/>
          <w:rtl w:val="0"/>
        </w:rPr>
        <w:t xml:space="preserve">is inadequate for meaningful engagement with Indigenous communities and professional archaeologists</w:t>
      </w:r>
      <w:r w:rsidDel="00000000" w:rsidR="00000000" w:rsidRPr="00000000">
        <w:rPr>
          <w:rFonts w:ascii="Google Sans" w:cs="Google Sans" w:eastAsia="Google Sans" w:hAnsi="Google Sans"/>
          <w:color w:val="1f1f1f"/>
          <w:rtl w:val="0"/>
        </w:rPr>
        <w:t xml:space="preserve">. </w:t>
      </w:r>
      <w:r w:rsidDel="00000000" w:rsidR="00000000" w:rsidRPr="00000000">
        <w:rPr>
          <w:color w:val="1f1f1f"/>
          <w:rtl w:val="0"/>
        </w:rPr>
        <w:t xml:space="preserve">Furthermore, it fails to meet the 60-day notice period required for changing S&amp;Gs under the terms of an archaeological license.</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70" w:hanging="360"/>
      </w:pPr>
      <w:r w:rsidDel="00000000" w:rsidR="00000000" w:rsidRPr="00000000">
        <w:rPr>
          <w:rFonts w:ascii="Google Sans" w:cs="Google Sans" w:eastAsia="Google Sans" w:hAnsi="Google Sans"/>
          <w:b w:val="1"/>
          <w:bCs w:val="1"/>
          <w:color w:val="1f1f1f"/>
          <w:rtl w:val="0"/>
        </w:rPr>
        <w:t xml:space="preserve">Absence of Technical Expertise</w:t>
      </w:r>
      <w:r w:rsidDel="00000000" w:rsidR="00000000" w:rsidRPr="00000000">
        <w:rPr>
          <w:rFonts w:ascii="Google Sans" w:cs="Google Sans" w:eastAsia="Google Sans" w:hAnsi="Google Sans"/>
          <w:color w:val="1f1f1f"/>
          <w:rtl w:val="0"/>
        </w:rPr>
        <w:t xml:space="preserve">: The draft standards have been developed without direct, collaborative involvement from practicing archaeologists. Effective policy requires experts to be present "in the room" where decisions are made, rather than being relegated to peripheral roundtable discussions. The results of the engagement conducted by the third-party consultant for the Heritage Framework Transformation have not been published to allow professional archaeologists to review recommendations and conclusions. As </w:t>
      </w:r>
      <w:r w:rsidDel="00000000" w:rsidR="00000000" w:rsidRPr="00000000">
        <w:rPr>
          <w:color w:val="1f1f1f"/>
          <w:rtl w:val="0"/>
        </w:rPr>
        <w:t xml:space="preserve">professionals have been unable to review the third-party recommendations that informed this transformation, it is impossible to critically examine how the proposed changes were developed and their intended impact.</w:t>
      </w: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570" w:hanging="360"/>
      </w:pPr>
      <w:r w:rsidDel="00000000" w:rsidR="00000000" w:rsidRPr="00000000">
        <w:rPr>
          <w:rFonts w:ascii="Google Sans" w:cs="Google Sans" w:eastAsia="Google Sans" w:hAnsi="Google Sans"/>
          <w:b w:val="1"/>
          <w:bCs w:val="1"/>
          <w:color w:val="1f1f1f"/>
          <w:rtl w:val="0"/>
        </w:rPr>
        <w:t xml:space="preserve">Immediate Field Impact</w:t>
      </w:r>
      <w:r w:rsidDel="00000000" w:rsidR="00000000" w:rsidRPr="00000000">
        <w:rPr>
          <w:rFonts w:ascii="Google Sans" w:cs="Google Sans" w:eastAsia="Google Sans" w:hAnsi="Google Sans"/>
          <w:color w:val="1f1f1f"/>
          <w:rtl w:val="0"/>
        </w:rPr>
        <w:t xml:space="preserve">: Implementing these changes for the 2026 field season will create significant confusion and conflict with existing legislation and planning processes. This will have significant financial impacts on proponents attempting to complete necessary development and infrastructure projects. Recent updates to PastPortal are already causing delays in projects and havoc the process due to a mismanaged rollout.  </w:t>
      </w:r>
    </w:p>
    <w:p w:rsidR="00000000" w:rsidDel="00000000" w:rsidP="00000000" w:rsidRDefault="00000000" w:rsidRPr="00000000" w14:paraId="0000000A">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b w:val="1"/>
          <w:bCs w:val="1"/>
          <w:i w:val="0"/>
          <w:iCs w:val="0"/>
          <w:color w:val="1f1f1f"/>
          <w:sz w:val="28"/>
          <w:szCs w:val="28"/>
        </w:rPr>
      </w:pPr>
      <w:r w:rsidDel="00000000" w:rsidR="00000000" w:rsidRPr="00000000">
        <w:rPr>
          <w:rFonts w:ascii="Google Sans" w:cs="Google Sans" w:eastAsia="Google Sans" w:hAnsi="Google Sans"/>
          <w:b w:val="1"/>
          <w:bCs w:val="1"/>
          <w:i w:val="0"/>
          <w:iCs w:val="0"/>
          <w:color w:val="1f1f1f"/>
          <w:sz w:val="28"/>
          <w:szCs w:val="28"/>
          <w:rtl w:val="0"/>
        </w:rPr>
        <w:t xml:space="preserve">Technical </w:t>
      </w:r>
      <w:r w:rsidDel="00000000" w:rsidR="00000000" w:rsidRPr="00000000">
        <w:rPr>
          <w:rFonts w:ascii="Google Sans" w:cs="Google Sans" w:eastAsia="Google Sans" w:hAnsi="Google Sans"/>
          <w:color w:val="1f1f1f"/>
          <w:rtl w:val="0"/>
        </w:rPr>
        <w:t xml:space="preserve">Inconsistencies </w:t>
      </w:r>
      <w:r w:rsidDel="00000000" w:rsidR="00000000" w:rsidRPr="00000000">
        <w:rPr>
          <w:rFonts w:ascii="Google Sans" w:cs="Google Sans" w:eastAsia="Google Sans" w:hAnsi="Google Sans"/>
          <w:b w:val="1"/>
          <w:bCs w:val="1"/>
          <w:i w:val="0"/>
          <w:iCs w:val="0"/>
          <w:color w:val="1f1f1f"/>
          <w:sz w:val="28"/>
          <w:szCs w:val="28"/>
          <w:rtl w:val="0"/>
        </w:rPr>
        <w:t xml:space="preserve">and </w:t>
      </w:r>
      <w:r w:rsidDel="00000000" w:rsidR="00000000" w:rsidRPr="00000000">
        <w:rPr>
          <w:rFonts w:ascii="Google Sans" w:cs="Google Sans" w:eastAsia="Google Sans" w:hAnsi="Google Sans"/>
          <w:color w:val="1f1f1f"/>
          <w:rtl w:val="0"/>
        </w:rPr>
        <w:t xml:space="preserve">Regulatory Conflict</w:t>
      </w:r>
      <w:r w:rsidDel="00000000" w:rsidR="00000000" w:rsidRPr="00000000">
        <w:rPr>
          <w:rtl w:val="0"/>
        </w:rPr>
      </w:r>
    </w:p>
    <w:p w:rsidR="00000000" w:rsidDel="00000000" w:rsidP="00000000" w:rsidRDefault="00000000" w:rsidRPr="00000000" w14:paraId="0000000B">
      <w:pPr>
        <w:numPr>
          <w:ilvl w:val="0"/>
          <w:numId w:val="2"/>
        </w:numPr>
        <w:spacing w:after="0" w:afterAutospacing="0" w:before="120" w:line="275.9999942779541" w:lineRule="auto"/>
        <w:ind w:left="570" w:hanging="360"/>
      </w:pPr>
      <w:r w:rsidDel="00000000" w:rsidR="00000000" w:rsidRPr="00000000">
        <w:rPr>
          <w:b w:val="1"/>
          <w:bCs w:val="1"/>
          <w:color w:val="1f1f1f"/>
          <w:rtl w:val="0"/>
        </w:rPr>
        <w:t xml:space="preserve">Erosion of Professional Judgment:</w:t>
      </w:r>
      <w:r w:rsidDel="00000000" w:rsidR="00000000" w:rsidRPr="00000000">
        <w:rPr>
          <w:color w:val="1f1f1f"/>
          <w:rtl w:val="0"/>
        </w:rPr>
        <w:t xml:space="preserve"> The updates shift the determination of archaeological potential toward non-specialist approval authorities and introduce rigid, arbitrary definitions—such as the 20-meter "linear corridor"—that fail to account for project diversity.</w:t>
      </w:r>
      <w:r w:rsidDel="00000000" w:rsidR="00000000" w:rsidRPr="00000000">
        <w:rPr>
          <w:rtl w:val="0"/>
        </w:rPr>
      </w:r>
    </w:p>
    <w:p w:rsidR="00000000" w:rsidDel="00000000" w:rsidP="00000000" w:rsidRDefault="00000000" w:rsidRPr="00000000" w14:paraId="0000000C">
      <w:pPr>
        <w:numPr>
          <w:ilvl w:val="0"/>
          <w:numId w:val="2"/>
        </w:numPr>
        <w:spacing w:after="0" w:afterAutospacing="0" w:before="0" w:beforeAutospacing="0" w:line="275.9999942779541" w:lineRule="auto"/>
        <w:ind w:left="570" w:hanging="360"/>
      </w:pPr>
      <w:r w:rsidDel="00000000" w:rsidR="00000000" w:rsidRPr="00000000">
        <w:rPr>
          <w:rFonts w:ascii="Google Sans" w:cs="Google Sans" w:eastAsia="Google Sans" w:hAnsi="Google Sans"/>
          <w:b w:val="1"/>
          <w:bCs w:val="1"/>
          <w:color w:val="1f1f1f"/>
          <w:rtl w:val="0"/>
        </w:rPr>
        <w:t xml:space="preserve">Inconsistent Terminology</w:t>
      </w:r>
      <w:r w:rsidDel="00000000" w:rsidR="00000000" w:rsidRPr="00000000">
        <w:rPr>
          <w:rFonts w:ascii="Google Sans" w:cs="Google Sans" w:eastAsia="Google Sans" w:hAnsi="Google Sans"/>
          <w:color w:val="1f1f1f"/>
          <w:rtl w:val="0"/>
        </w:rPr>
        <w:t xml:space="preserve">: There are documented discrepancies between the glossary definitions and the main text, specifically regarding terms like "archaeological site" and "archaeological resources" ; these terms are not arbitrary and the proposed changes will significantly change how Ontario’s heritage is managed and protected.</w:t>
      </w:r>
    </w:p>
    <w:p w:rsidR="00000000" w:rsidDel="00000000" w:rsidP="00000000" w:rsidRDefault="00000000" w:rsidRPr="00000000" w14:paraId="0000000D">
      <w:pPr>
        <w:numPr>
          <w:ilvl w:val="0"/>
          <w:numId w:val="2"/>
        </w:numPr>
        <w:spacing w:after="0" w:afterAutospacing="0" w:line="275.9999942779541" w:lineRule="auto"/>
        <w:ind w:left="570" w:hanging="360"/>
      </w:pPr>
      <w:r w:rsidDel="00000000" w:rsidR="00000000" w:rsidRPr="00000000">
        <w:rPr>
          <w:b w:val="1"/>
          <w:bCs w:val="1"/>
          <w:color w:val="1f1f1f"/>
          <w:rtl w:val="0"/>
        </w:rPr>
        <w:t xml:space="preserve">Conflict with Environmental Assessments (EAs):</w:t>
      </w:r>
      <w:r w:rsidDel="00000000" w:rsidR="00000000" w:rsidRPr="00000000">
        <w:rPr>
          <w:color w:val="1f1f1f"/>
          <w:rtl w:val="0"/>
        </w:rPr>
        <w:t xml:space="preserve"> Removing the optional Stage 1 property inspections places the S&amp;Gs in direct conflict with existing Municipal and Provincial Environmental Assessment processes.</w:t>
      </w:r>
      <w:r w:rsidDel="00000000" w:rsidR="00000000" w:rsidRPr="00000000">
        <w:rPr>
          <w:rtl w:val="0"/>
        </w:rPr>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70" w:hanging="360"/>
      </w:pPr>
      <w:r w:rsidDel="00000000" w:rsidR="00000000" w:rsidRPr="00000000">
        <w:rPr>
          <w:rFonts w:ascii="Google Sans" w:cs="Google Sans" w:eastAsia="Google Sans" w:hAnsi="Google Sans"/>
          <w:b w:val="1"/>
          <w:bCs w:val="1"/>
          <w:color w:val="1f1f1f"/>
          <w:rtl w:val="0"/>
        </w:rPr>
        <w:t xml:space="preserve">Geographic Inaccuracies</w:t>
      </w:r>
      <w:r w:rsidDel="00000000" w:rsidR="00000000" w:rsidRPr="00000000">
        <w:rPr>
          <w:rFonts w:ascii="Google Sans" w:cs="Google Sans" w:eastAsia="Google Sans" w:hAnsi="Google Sans"/>
          <w:color w:val="1f1f1f"/>
          <w:rtl w:val="0"/>
        </w:rPr>
        <w:t xml:space="preserve">: Specific standards for Northern Ontario and the Canadian Shield—such as the classification of all sand and clay plains as high potential—lack supporting evidence and may lead to unnecessary or improperly scoped assessments.</w:t>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570" w:hanging="360"/>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Limited Assessments and Partial Clearance</w:t>
      </w:r>
      <w:r w:rsidDel="00000000" w:rsidR="00000000" w:rsidRPr="00000000">
        <w:rPr>
          <w:rFonts w:ascii="Google Sans" w:cs="Google Sans" w:eastAsia="Google Sans" w:hAnsi="Google Sans"/>
          <w:color w:val="1f1f1f"/>
          <w:rtl w:val="0"/>
        </w:rPr>
        <w:t xml:space="preserve">: Despite the intention to clarify and streamline archaeological assessments of a portion of a property and provide partial clearance where appropriate, the proposed S&amp;Gs put unreasonable restrictions, such as excluded lands being transferred to a public body or a lack of a temporary avoidance and protection strategy after Stage 2 assessments. </w:t>
      </w:r>
    </w:p>
    <w:p w:rsidR="00000000" w:rsidDel="00000000" w:rsidP="00000000" w:rsidRDefault="00000000" w:rsidRPr="00000000" w14:paraId="00000010">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Flaws in the Regulatory Oversight Framework</w:t>
      </w:r>
    </w:p>
    <w:p w:rsidR="00000000" w:rsidDel="00000000" w:rsidP="00000000" w:rsidRDefault="00000000" w:rsidRPr="00000000" w14:paraId="00000011">
      <w:pPr>
        <w:numPr>
          <w:ilvl w:val="0"/>
          <w:numId w:val="3"/>
        </w:numPr>
        <w:spacing w:after="0" w:afterAutospacing="0" w:line="275.9999942779541" w:lineRule="auto"/>
        <w:ind w:left="570" w:hanging="360"/>
      </w:pPr>
      <w:r w:rsidDel="00000000" w:rsidR="00000000" w:rsidRPr="00000000">
        <w:rPr>
          <w:b w:val="1"/>
          <w:bCs w:val="1"/>
          <w:color w:val="1f1f1f"/>
          <w:rtl w:val="0"/>
        </w:rPr>
        <w:t xml:space="preserve">Subjectivity in Compliance:</w:t>
      </w:r>
      <w:r w:rsidDel="00000000" w:rsidR="00000000" w:rsidRPr="00000000">
        <w:rPr>
          <w:color w:val="1f1f1f"/>
          <w:rtl w:val="0"/>
        </w:rPr>
        <w:t xml:space="preserve"> The proposed framework binds LCA compliance to a highly subjective report review process and flawed S&amp;Gs, creating serious legal ramifications.</w:t>
      </w:r>
      <w:r w:rsidDel="00000000" w:rsidR="00000000" w:rsidRPr="00000000">
        <w:rPr>
          <w:rtl w:val="0"/>
        </w:rPr>
        <w:br w:type="textWrapping"/>
      </w:r>
    </w:p>
    <w:p w:rsidR="00000000" w:rsidDel="00000000" w:rsidP="00000000" w:rsidRDefault="00000000" w:rsidRPr="00000000" w14:paraId="00000012">
      <w:pPr>
        <w:numPr>
          <w:ilvl w:val="0"/>
          <w:numId w:val="3"/>
        </w:numPr>
        <w:spacing w:after="120" w:before="0" w:beforeAutospacing="0" w:line="275.9999942779541" w:lineRule="auto"/>
        <w:ind w:left="570" w:hanging="360"/>
      </w:pPr>
      <w:r w:rsidDel="00000000" w:rsidR="00000000" w:rsidRPr="00000000">
        <w:rPr>
          <w:b w:val="1"/>
          <w:bCs w:val="1"/>
          <w:color w:val="1f1f1f"/>
          <w:rtl w:val="0"/>
        </w:rPr>
        <w:t xml:space="preserve">Lack of Ethical Standards:</w:t>
      </w:r>
      <w:r w:rsidDel="00000000" w:rsidR="00000000" w:rsidRPr="00000000">
        <w:rPr>
          <w:color w:val="1f1f1f"/>
          <w:rtl w:val="0"/>
        </w:rPr>
        <w:t xml:space="preserve"> Instead of establishing robust ethical data quality controls, the proposal focuses on micromanagement and over-defining processes. This will likely decrease consumer confidence and increase animosity between the profession and the licensing body.</w:t>
      </w:r>
      <w:r w:rsidDel="00000000" w:rsidR="00000000" w:rsidRPr="00000000">
        <w:rPr>
          <w:rtl w:val="0"/>
        </w:rPr>
      </w:r>
    </w:p>
    <w:p w:rsidR="00000000" w:rsidDel="00000000" w:rsidP="00000000" w:rsidRDefault="00000000" w:rsidRPr="00000000" w14:paraId="00000013">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b w:val="1"/>
          <w:bCs w:val="1"/>
          <w:i w:val="0"/>
          <w:iCs w:val="0"/>
          <w:color w:val="1f1f1f"/>
          <w:sz w:val="28"/>
          <w:szCs w:val="28"/>
        </w:rPr>
      </w:pPr>
      <w:r w:rsidDel="00000000" w:rsidR="00000000" w:rsidRPr="00000000">
        <w:rPr>
          <w:rFonts w:ascii="Google Sans" w:cs="Google Sans" w:eastAsia="Google Sans" w:hAnsi="Google Sans"/>
          <w:b w:val="1"/>
          <w:bCs w:val="1"/>
          <w:i w:val="0"/>
          <w:iCs w:val="0"/>
          <w:color w:val="1f1f1f"/>
          <w:sz w:val="28"/>
          <w:szCs w:val="28"/>
          <w:rtl w:val="0"/>
        </w:rPr>
        <w:t xml:space="preserve">Proposed Alternative: A Phased Strategic Plan</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50" w:line="275.9999942779541" w:lineRule="auto"/>
        <w:rPr>
          <w:rFonts w:ascii="Google Sans" w:cs="Google Sans" w:eastAsia="Google Sans" w:hAnsi="Google Sans"/>
          <w:color w:val="1f1f1f"/>
        </w:rPr>
      </w:pPr>
      <w:r w:rsidDel="00000000" w:rsidR="00000000" w:rsidRPr="00000000">
        <w:rPr>
          <w:color w:val="1f1f1f"/>
          <w:rtl w:val="0"/>
        </w:rPr>
        <w:t xml:space="preserve">Rather than an immediate overhaul, the Ministry should adopt a </w:t>
      </w:r>
      <w:r w:rsidDel="00000000" w:rsidR="00000000" w:rsidRPr="00000000">
        <w:rPr>
          <w:b w:val="1"/>
          <w:bCs w:val="1"/>
          <w:color w:val="1f1f1f"/>
          <w:rtl w:val="0"/>
        </w:rPr>
        <w:t xml:space="preserve">Phased Strategic Plan</w:t>
      </w:r>
      <w:r w:rsidDel="00000000" w:rsidR="00000000" w:rsidRPr="00000000">
        <w:rPr>
          <w:color w:val="1f1f1f"/>
          <w:rtl w:val="0"/>
        </w:rPr>
        <w:t xml:space="preserve"> developed in true collaboration with Indigenous communities, professional archaeologists, and municipal authorities. Implementation should follow a logical progression with updates to the S&amp;Gs and a regulatory framework being part of the tactical initiatives phase. </w:t>
      </w:r>
      <w:r w:rsidDel="00000000" w:rsidR="00000000" w:rsidRPr="00000000">
        <w:rPr>
          <w:rtl w:val="0"/>
        </w:rPr>
      </w:r>
    </w:p>
    <w:p w:rsidR="00000000" w:rsidDel="00000000" w:rsidP="00000000" w:rsidRDefault="00000000" w:rsidRPr="00000000" w14:paraId="00000015">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570" w:hanging="360"/>
      </w:pPr>
      <w:r w:rsidDel="00000000" w:rsidR="00000000" w:rsidRPr="00000000">
        <w:rPr>
          <w:rFonts w:ascii="Google Sans" w:cs="Google Sans" w:eastAsia="Google Sans" w:hAnsi="Google Sans"/>
          <w:b w:val="1"/>
          <w:bCs w:val="1"/>
          <w:color w:val="1f1f1f"/>
          <w:rtl w:val="0"/>
        </w:rPr>
        <w:t xml:space="preserve">Immediate Optimizations (Short-term)</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16">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70" w:hanging="360"/>
      </w:pPr>
      <w:r w:rsidDel="00000000" w:rsidR="00000000" w:rsidRPr="00000000">
        <w:rPr>
          <w:rFonts w:ascii="Google Sans" w:cs="Google Sans" w:eastAsia="Google Sans" w:hAnsi="Google Sans"/>
          <w:b w:val="1"/>
          <w:bCs w:val="1"/>
          <w:color w:val="1f1f1f"/>
          <w:rtl w:val="0"/>
        </w:rPr>
        <w:t xml:space="preserve">Tactical Initiatives (2–10 years)</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570" w:hanging="360"/>
      </w:pPr>
      <w:r w:rsidDel="00000000" w:rsidR="00000000" w:rsidRPr="00000000">
        <w:rPr>
          <w:rFonts w:ascii="Google Sans" w:cs="Google Sans" w:eastAsia="Google Sans" w:hAnsi="Google Sans"/>
          <w:b w:val="1"/>
          <w:bCs w:val="1"/>
          <w:color w:val="1f1f1f"/>
          <w:rtl w:val="0"/>
        </w:rPr>
        <w:t xml:space="preserve">Long-term Transformation (5–10+ years)</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18">
      <w:pPr>
        <w:pStyle w:val="Heading3"/>
        <w:spacing w:after="120" w:line="275.9999942779541" w:lineRule="auto"/>
        <w:rPr>
          <w:rFonts w:ascii="Google Sans" w:cs="Google Sans" w:eastAsia="Google Sans" w:hAnsi="Google Sans"/>
          <w:color w:val="1f1f1f"/>
        </w:rPr>
      </w:pPr>
      <w:bookmarkStart w:colFirst="0" w:colLast="0" w:name="_r8q65476r0st" w:id="0"/>
      <w:bookmarkEnd w:id="0"/>
      <w:r w:rsidDel="00000000" w:rsidR="00000000" w:rsidRPr="00000000">
        <w:rPr>
          <w:rFonts w:ascii="Google Sans" w:cs="Google Sans" w:eastAsia="Google Sans" w:hAnsi="Google Sans"/>
          <w:color w:val="1f1f1f"/>
          <w:rtl w:val="0"/>
        </w:rPr>
        <w:t xml:space="preserve">Conclusions</w:t>
      </w:r>
    </w:p>
    <w:p w:rsidR="00000000" w:rsidDel="00000000" w:rsidP="00000000" w:rsidRDefault="00000000" w:rsidRPr="00000000" w14:paraId="00000019">
      <w:pPr>
        <w:spacing w:after="15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Ministry is urged to reconsider this deployment and delay implementation until these standards have been sufficiently workshopped with archaeological professionals and Indigenous communities </w:t>
      </w:r>
      <w:r w:rsidDel="00000000" w:rsidR="00000000" w:rsidRPr="00000000">
        <w:rPr>
          <w:color w:val="1f1f1f"/>
          <w:rtl w:val="0"/>
        </w:rPr>
        <w:t xml:space="preserve">to ensure they actually achieve the goal of a streamlined, predictable, and effective Heritage Framework.</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5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7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57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57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05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