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AEBE" w14:textId="77777777" w:rsidR="005B20E0" w:rsidRPr="00D76A97" w:rsidRDefault="005B20E0" w:rsidP="005B20E0">
      <w:pPr>
        <w:pStyle w:val="NoSpacing"/>
        <w:rPr>
          <w:rFonts w:ascii="Verdana" w:hAnsi="Verdana"/>
          <w:b/>
          <w:bCs/>
          <w:lang w:val="en-US"/>
        </w:rPr>
      </w:pPr>
      <w:r w:rsidRPr="00D76A97">
        <w:rPr>
          <w:rFonts w:ascii="Verdana" w:hAnsi="Verdana"/>
          <w:b/>
          <w:bCs/>
          <w:lang w:val="en-US"/>
        </w:rPr>
        <w:t xml:space="preserve">ERO 026-0302 </w:t>
      </w:r>
    </w:p>
    <w:p w14:paraId="724270CF" w14:textId="77777777" w:rsidR="005B20E0" w:rsidRDefault="005B20E0" w:rsidP="005B20E0">
      <w:pPr>
        <w:pStyle w:val="NoSpacing"/>
        <w:rPr>
          <w:rFonts w:ascii="Verdana" w:hAnsi="Verdana"/>
          <w:lang w:val="en-US"/>
        </w:rPr>
      </w:pPr>
    </w:p>
    <w:p w14:paraId="79EEA178" w14:textId="77777777" w:rsidR="005B20E0" w:rsidRDefault="005B20E0" w:rsidP="005B20E0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Township of Southgate would like to submit the following comments regarding the above noted ERO regarding Communal drinking water and wastewater system municipal consent requirements.</w:t>
      </w:r>
    </w:p>
    <w:p w14:paraId="52B56491" w14:textId="77777777" w:rsidR="005B20E0" w:rsidRDefault="005B20E0" w:rsidP="005B20E0">
      <w:pPr>
        <w:pStyle w:val="NoSpacing"/>
        <w:rPr>
          <w:rFonts w:ascii="Verdana" w:hAnsi="Verdana"/>
          <w:lang w:val="en-US"/>
        </w:rPr>
      </w:pPr>
    </w:p>
    <w:p w14:paraId="13DFDEC7" w14:textId="77777777" w:rsidR="005B20E0" w:rsidRDefault="005B20E0" w:rsidP="005B20E0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Township does not agree with the proposed approached – that if criteria (which have not been specified) are met, the Township must provide consent. This places a potential burden to utility payers of municipalities, where developers or future condo boards should be responsible for these costs.</w:t>
      </w:r>
    </w:p>
    <w:p w14:paraId="0E723271" w14:textId="77777777" w:rsidR="005B20E0" w:rsidRDefault="005B20E0" w:rsidP="005B20E0">
      <w:pPr>
        <w:pStyle w:val="NoSpacing"/>
        <w:rPr>
          <w:rFonts w:ascii="Verdana" w:hAnsi="Verdana"/>
          <w:lang w:val="en-US"/>
        </w:rPr>
      </w:pPr>
    </w:p>
    <w:p w14:paraId="4E05CABA" w14:textId="77777777" w:rsidR="005B20E0" w:rsidRDefault="005B20E0" w:rsidP="005B20E0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If the Province is going to establish criteria, the Township would suggest the following:</w:t>
      </w:r>
    </w:p>
    <w:p w14:paraId="4F3F2BD1" w14:textId="77777777" w:rsidR="005B20E0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That ministry certification/approvals be required before a Municipality is forced to give consent. This includes establishing inspections done by the </w:t>
      </w:r>
      <w:proofErr w:type="gramStart"/>
      <w:r>
        <w:rPr>
          <w:rFonts w:ascii="Verdana" w:hAnsi="Verdana"/>
          <w:lang w:val="en-US"/>
        </w:rPr>
        <w:t>Province</w:t>
      </w:r>
      <w:proofErr w:type="gramEnd"/>
      <w:r>
        <w:rPr>
          <w:rFonts w:ascii="Verdana" w:hAnsi="Verdana"/>
          <w:lang w:val="en-US"/>
        </w:rPr>
        <w:t xml:space="preserve"> and reporting results to the Municipality at regular intervals (at least twice per year). The province should come up with the appropriate quality management criteria.</w:t>
      </w:r>
    </w:p>
    <w:p w14:paraId="4580E07E" w14:textId="77777777" w:rsidR="005B20E0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Prior to issuance of an ECA or approvals by the Province, the Municipality be given an opportunity to provide comments.</w:t>
      </w:r>
    </w:p>
    <w:p w14:paraId="7C312D5E" w14:textId="77777777" w:rsidR="005B20E0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developer/condo board is required to have proper liability insurance in place for system failures or repairs.</w:t>
      </w:r>
    </w:p>
    <w:p w14:paraId="05A66910" w14:textId="77777777" w:rsidR="005B20E0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Compatible systems to those used by the Township be required – this can be noted in the comment process for any provincial permit/approvals.</w:t>
      </w:r>
    </w:p>
    <w:p w14:paraId="5C192C4E" w14:textId="77777777" w:rsidR="005B20E0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Regular inspections by the Province and Township be required – any costs of the municipal inspection would be the developer/condo board/system operator.</w:t>
      </w:r>
    </w:p>
    <w:p w14:paraId="4CC58D98" w14:textId="77777777" w:rsidR="005B20E0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system operator must provide yearly reporting of capital plans, expenditures and reserves to the Province and Municipality.</w:t>
      </w:r>
    </w:p>
    <w:p w14:paraId="51D5D137" w14:textId="77777777" w:rsidR="005B20E0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That financial securities are required for future maintenance.</w:t>
      </w:r>
    </w:p>
    <w:p w14:paraId="12C81262" w14:textId="77777777" w:rsidR="005B20E0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That the appropriate ministry MUST communicate with the municipality that there have been issues with a specific system operator/condo board and what remedies or actions have been required.</w:t>
      </w:r>
    </w:p>
    <w:p w14:paraId="2076068E" w14:textId="77777777" w:rsidR="005B20E0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That the Municipality can opt out of consent if regular reporting and inspections are not carried out.</w:t>
      </w:r>
    </w:p>
    <w:p w14:paraId="6AE63DF7" w14:textId="77777777" w:rsidR="005B20E0" w:rsidRPr="00E173E5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 w:rsidRPr="00E173E5">
        <w:rPr>
          <w:rFonts w:ascii="Verdana" w:hAnsi="Verdana"/>
          <w:lang w:val="en-US"/>
        </w:rPr>
        <w:t xml:space="preserve">Transferred systems must have operational training provided if the municipality’s current operations do not utilize those technologies or equipment. </w:t>
      </w:r>
    </w:p>
    <w:p w14:paraId="1DE41868" w14:textId="77777777" w:rsidR="005B20E0" w:rsidRPr="00E173E5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 w:rsidRPr="00E173E5">
        <w:rPr>
          <w:rFonts w:ascii="Verdana" w:hAnsi="Verdana"/>
          <w:lang w:val="en-US"/>
        </w:rPr>
        <w:t xml:space="preserve">What if system operations are classified at a higher level than the current operators’ licensing is applicable to train &amp; upgrade licenses. </w:t>
      </w:r>
    </w:p>
    <w:p w14:paraId="52890201" w14:textId="77777777" w:rsidR="005B20E0" w:rsidRPr="00C933F2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 w:rsidRPr="00E173E5">
        <w:rPr>
          <w:rFonts w:ascii="Verdana" w:hAnsi="Verdana"/>
          <w:lang w:val="en-US"/>
        </w:rPr>
        <w:t>This will impact on a municipality’s staffing level</w:t>
      </w:r>
      <w:r>
        <w:rPr>
          <w:rFonts w:ascii="Verdana" w:hAnsi="Verdana"/>
          <w:lang w:val="en-US"/>
        </w:rPr>
        <w:t xml:space="preserve"> </w:t>
      </w:r>
      <w:r w:rsidRPr="00C933F2">
        <w:rPr>
          <w:rFonts w:ascii="Verdana" w:hAnsi="Verdana"/>
          <w:lang w:val="en-US"/>
        </w:rPr>
        <w:t>operations and increase travel distances, possibly fleet increase, O&amp;M costs.</w:t>
      </w:r>
    </w:p>
    <w:p w14:paraId="6D1ED15A" w14:textId="77777777" w:rsidR="005B20E0" w:rsidRPr="00E173E5" w:rsidRDefault="005B20E0" w:rsidP="005B20E0">
      <w:pPr>
        <w:pStyle w:val="NoSpacing"/>
        <w:numPr>
          <w:ilvl w:val="0"/>
          <w:numId w:val="1"/>
        </w:numPr>
        <w:rPr>
          <w:rFonts w:ascii="Verdana" w:hAnsi="Verdana"/>
          <w:lang w:val="en-US"/>
        </w:rPr>
      </w:pPr>
      <w:r w:rsidRPr="00E173E5">
        <w:rPr>
          <w:rFonts w:ascii="Verdana" w:hAnsi="Verdana"/>
          <w:lang w:val="en-US"/>
        </w:rPr>
        <w:t xml:space="preserve">User pay system could have financial </w:t>
      </w:r>
      <w:proofErr w:type="gramStart"/>
      <w:r w:rsidRPr="00E173E5">
        <w:rPr>
          <w:rFonts w:ascii="Verdana" w:hAnsi="Verdana"/>
          <w:lang w:val="en-US"/>
        </w:rPr>
        <w:t>hardship</w:t>
      </w:r>
      <w:proofErr w:type="gramEnd"/>
      <w:r w:rsidRPr="00E173E5">
        <w:rPr>
          <w:rFonts w:ascii="Verdana" w:hAnsi="Verdana"/>
          <w:lang w:val="en-US"/>
        </w:rPr>
        <w:t xml:space="preserve"> to accommodate for </w:t>
      </w:r>
      <w:proofErr w:type="gramStart"/>
      <w:r w:rsidRPr="00E173E5">
        <w:rPr>
          <w:rFonts w:ascii="Verdana" w:hAnsi="Verdana"/>
          <w:lang w:val="en-US"/>
        </w:rPr>
        <w:t>customer</w:t>
      </w:r>
      <w:proofErr w:type="gramEnd"/>
      <w:r w:rsidRPr="00E173E5">
        <w:rPr>
          <w:rFonts w:ascii="Verdana" w:hAnsi="Verdana"/>
          <w:lang w:val="en-US"/>
        </w:rPr>
        <w:t>.</w:t>
      </w:r>
    </w:p>
    <w:p w14:paraId="5252669A" w14:textId="77777777" w:rsidR="005B20E0" w:rsidRDefault="005B20E0" w:rsidP="005B20E0">
      <w:pPr>
        <w:pStyle w:val="NoSpacing"/>
        <w:rPr>
          <w:rFonts w:ascii="Verdana" w:hAnsi="Verdana"/>
          <w:lang w:val="en-US"/>
        </w:rPr>
      </w:pPr>
    </w:p>
    <w:p w14:paraId="3E36F3FE" w14:textId="77777777" w:rsidR="005B20E0" w:rsidRDefault="005B20E0" w:rsidP="005B20E0">
      <w:pPr>
        <w:pStyle w:val="NoSpacing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The Township also recommends the province provide a fund to municipalities to help offset increased costs when a municipality must take over these services. Allowing rural developments, in locations where primary services (sewer and water) </w:t>
      </w:r>
      <w:r>
        <w:rPr>
          <w:rFonts w:ascii="Verdana" w:hAnsi="Verdana"/>
          <w:lang w:val="en-US"/>
        </w:rPr>
        <w:lastRenderedPageBreak/>
        <w:t>are cost prohibitively expensive for servicing extensions are a Provincial decision that does not represent good planning. Allowing these systems as an extension of existing rural settlement areas may be a more balanced approach.</w:t>
      </w:r>
    </w:p>
    <w:p w14:paraId="5D3B2D24" w14:textId="77777777" w:rsidR="005B20E0" w:rsidRPr="00402747" w:rsidRDefault="005B20E0" w:rsidP="005B20E0">
      <w:pPr>
        <w:pStyle w:val="NoSpacing"/>
        <w:rPr>
          <w:rFonts w:ascii="Verdana" w:hAnsi="Verdana"/>
          <w:lang w:val="en-US"/>
        </w:rPr>
      </w:pPr>
    </w:p>
    <w:p w14:paraId="280AAE12" w14:textId="77777777" w:rsidR="005A2011" w:rsidRDefault="005A2011"/>
    <w:sectPr w:rsidR="005A2011" w:rsidSect="005B20E0">
      <w:foot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5587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23F9E10" w14:textId="77777777" w:rsidR="005B20E0" w:rsidRPr="00AA187E" w:rsidRDefault="005B20E0" w:rsidP="00E173E5">
        <w:pPr>
          <w:pStyle w:val="Footer"/>
          <w:pBdr>
            <w:bottom w:val="single" w:sz="12" w:space="1" w:color="auto"/>
          </w:pBdr>
          <w:jc w:val="center"/>
          <w:rPr>
            <w:sz w:val="20"/>
            <w:szCs w:val="20"/>
          </w:rPr>
        </w:pPr>
      </w:p>
      <w:p w14:paraId="1D9F9971" w14:textId="77777777" w:rsidR="005B20E0" w:rsidRPr="00E173E5" w:rsidRDefault="005B20E0" w:rsidP="00E173E5">
        <w:pPr>
          <w:pStyle w:val="Footer"/>
          <w:rPr>
            <w:rFonts w:ascii="Verdana" w:hAnsi="Verdana"/>
            <w:b/>
            <w:bCs/>
            <w:sz w:val="20"/>
            <w:szCs w:val="20"/>
          </w:rPr>
        </w:pPr>
        <w:r w:rsidRPr="00E173E5">
          <w:rPr>
            <w:rFonts w:ascii="Verdana" w:hAnsi="Verdana"/>
            <w:sz w:val="20"/>
            <w:szCs w:val="20"/>
          </w:rPr>
          <w:t>Changes to the Water and Wastewater Public Corporations Act</w:t>
        </w:r>
        <w:r>
          <w:rPr>
            <w:rFonts w:ascii="Verdana" w:hAnsi="Verdana"/>
            <w:sz w:val="20"/>
            <w:szCs w:val="20"/>
          </w:rPr>
          <w:t xml:space="preserve"> – </w:t>
        </w:r>
        <w:r>
          <w:rPr>
            <w:rFonts w:ascii="Verdana" w:hAnsi="Verdana"/>
            <w:b/>
            <w:bCs/>
            <w:sz w:val="20"/>
            <w:szCs w:val="20"/>
          </w:rPr>
          <w:t>Attachment 1</w:t>
        </w:r>
      </w:p>
      <w:p w14:paraId="0ECE3E6C" w14:textId="77777777" w:rsidR="005B20E0" w:rsidRPr="00E173E5" w:rsidRDefault="005B20E0" w:rsidP="00E173E5">
        <w:pPr>
          <w:pStyle w:val="Footer"/>
          <w:rPr>
            <w:rFonts w:ascii="Verdana" w:hAnsi="Verdana"/>
            <w:sz w:val="20"/>
            <w:szCs w:val="20"/>
          </w:rPr>
        </w:pPr>
        <w:r w:rsidRPr="00E173E5">
          <w:rPr>
            <w:rFonts w:ascii="Verdana" w:hAnsi="Verdana"/>
            <w:sz w:val="20"/>
            <w:szCs w:val="20"/>
          </w:rPr>
          <w:t>Report to Southgate Council – May 6, 2026</w:t>
        </w:r>
      </w:p>
      <w:p w14:paraId="193D7BD2" w14:textId="77777777" w:rsidR="005B20E0" w:rsidRPr="00E173E5" w:rsidRDefault="005B20E0" w:rsidP="00E173E5">
        <w:pPr>
          <w:pStyle w:val="Footer"/>
          <w:jc w:val="right"/>
          <w:rPr>
            <w:sz w:val="20"/>
            <w:szCs w:val="20"/>
          </w:rPr>
        </w:pPr>
        <w:r w:rsidRPr="00E173E5">
          <w:rPr>
            <w:rFonts w:ascii="Verdana" w:hAnsi="Verdana"/>
            <w:sz w:val="20"/>
            <w:szCs w:val="20"/>
          </w:rPr>
          <w:t xml:space="preserve">Page </w:t>
        </w:r>
        <w:r w:rsidRPr="00E173E5">
          <w:rPr>
            <w:rFonts w:ascii="Verdana" w:hAnsi="Verdana"/>
            <w:bCs/>
            <w:sz w:val="20"/>
            <w:szCs w:val="20"/>
          </w:rPr>
          <w:fldChar w:fldCharType="begin"/>
        </w:r>
        <w:r w:rsidRPr="00E173E5">
          <w:rPr>
            <w:rFonts w:ascii="Verdana" w:hAnsi="Verdana"/>
            <w:bCs/>
            <w:sz w:val="20"/>
            <w:szCs w:val="20"/>
          </w:rPr>
          <w:instrText xml:space="preserve"> PAGE </w:instrText>
        </w:r>
        <w:r w:rsidRPr="00E173E5">
          <w:rPr>
            <w:rFonts w:ascii="Verdana" w:hAnsi="Verdana"/>
            <w:bCs/>
            <w:sz w:val="20"/>
            <w:szCs w:val="20"/>
          </w:rPr>
          <w:fldChar w:fldCharType="separate"/>
        </w:r>
        <w:r w:rsidRPr="00E173E5">
          <w:rPr>
            <w:rFonts w:ascii="Verdana" w:hAnsi="Verdana"/>
            <w:bCs/>
            <w:sz w:val="20"/>
            <w:szCs w:val="20"/>
          </w:rPr>
          <w:t>3</w:t>
        </w:r>
        <w:r w:rsidRPr="00E173E5">
          <w:rPr>
            <w:rFonts w:ascii="Verdana" w:hAnsi="Verdana"/>
            <w:bCs/>
            <w:sz w:val="20"/>
            <w:szCs w:val="20"/>
          </w:rPr>
          <w:fldChar w:fldCharType="end"/>
        </w:r>
        <w:r w:rsidRPr="00E173E5">
          <w:rPr>
            <w:rFonts w:ascii="Verdana" w:hAnsi="Verdana"/>
            <w:sz w:val="20"/>
            <w:szCs w:val="20"/>
          </w:rPr>
          <w:t xml:space="preserve"> of </w:t>
        </w:r>
        <w:r w:rsidRPr="00E173E5">
          <w:rPr>
            <w:rFonts w:ascii="Verdana" w:hAnsi="Verdana"/>
            <w:bCs/>
            <w:sz w:val="20"/>
            <w:szCs w:val="20"/>
          </w:rPr>
          <w:fldChar w:fldCharType="begin"/>
        </w:r>
        <w:r w:rsidRPr="00E173E5">
          <w:rPr>
            <w:rFonts w:ascii="Verdana" w:hAnsi="Verdana"/>
            <w:bCs/>
            <w:sz w:val="20"/>
            <w:szCs w:val="20"/>
          </w:rPr>
          <w:instrText xml:space="preserve"> NUMPAGES  </w:instrText>
        </w:r>
        <w:r w:rsidRPr="00E173E5">
          <w:rPr>
            <w:rFonts w:ascii="Verdana" w:hAnsi="Verdana"/>
            <w:bCs/>
            <w:sz w:val="20"/>
            <w:szCs w:val="20"/>
          </w:rPr>
          <w:fldChar w:fldCharType="separate"/>
        </w:r>
        <w:r w:rsidRPr="00E173E5">
          <w:rPr>
            <w:rFonts w:ascii="Verdana" w:hAnsi="Verdana"/>
            <w:bCs/>
            <w:sz w:val="20"/>
            <w:szCs w:val="20"/>
          </w:rPr>
          <w:t>5</w:t>
        </w:r>
        <w:r w:rsidRPr="00E173E5">
          <w:rPr>
            <w:rFonts w:ascii="Verdana" w:hAnsi="Verdana"/>
            <w:bCs/>
            <w:sz w:val="20"/>
            <w:szCs w:val="20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846F7"/>
    <w:multiLevelType w:val="hybridMultilevel"/>
    <w:tmpl w:val="626A0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3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E0"/>
    <w:rsid w:val="0006529C"/>
    <w:rsid w:val="005A2011"/>
    <w:rsid w:val="005B20E0"/>
    <w:rsid w:val="0083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2D6E"/>
  <w15:chartTrackingRefBased/>
  <w15:docId w15:val="{A46674C8-FFBB-414F-B3FE-24D58DCA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E0"/>
  </w:style>
  <w:style w:type="paragraph" w:styleId="Heading1">
    <w:name w:val="heading 1"/>
    <w:basedOn w:val="Normal"/>
    <w:next w:val="Normal"/>
    <w:link w:val="Heading1Char"/>
    <w:uiPriority w:val="9"/>
    <w:qFormat/>
    <w:rsid w:val="005B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0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20E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B2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2469</Characters>
  <Application>Microsoft Office Word</Application>
  <DocSecurity>0</DocSecurity>
  <Lines>48</Lines>
  <Paragraphs>14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Melanson</dc:creator>
  <cp:keywords/>
  <dc:description/>
  <cp:lastModifiedBy>Ken Melanson</cp:lastModifiedBy>
  <cp:revision>1</cp:revision>
  <dcterms:created xsi:type="dcterms:W3CDTF">2026-05-11T17:26:00Z</dcterms:created>
  <dcterms:modified xsi:type="dcterms:W3CDTF">2026-05-11T17:27:00Z</dcterms:modified>
</cp:coreProperties>
</file>