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A1A3" w14:textId="62C7B294" w:rsidR="004B77F1" w:rsidRPr="006377EE" w:rsidRDefault="003E66A1" w:rsidP="006377EE">
      <w:pPr>
        <w:pBdr>
          <w:bottom w:val="single" w:sz="6" w:space="1" w:color="auto"/>
        </w:pBdr>
        <w:rPr>
          <w:rFonts w:asciiTheme="minorHAnsi" w:hAnsiTheme="minorHAnsi"/>
        </w:rPr>
      </w:pPr>
      <w:r w:rsidRPr="00546BC5">
        <w:rPr>
          <w:rFonts w:asciiTheme="minorHAnsi" w:hAnsiTheme="minorHAnsi"/>
          <w:b/>
          <w:bCs/>
        </w:rPr>
        <w:t>A</w:t>
      </w:r>
      <w:r w:rsidR="004C4ECB">
        <w:rPr>
          <w:rFonts w:asciiTheme="minorHAnsi" w:hAnsiTheme="minorHAnsi"/>
          <w:b/>
          <w:bCs/>
        </w:rPr>
        <w:t>ppendix</w:t>
      </w:r>
      <w:r w:rsidRPr="00546BC5">
        <w:rPr>
          <w:rFonts w:asciiTheme="minorHAnsi" w:hAnsiTheme="minorHAnsi"/>
          <w:b/>
          <w:bCs/>
        </w:rPr>
        <w:t xml:space="preserve"> 1 </w:t>
      </w:r>
      <w:r w:rsidR="007671F4">
        <w:rPr>
          <w:rFonts w:asciiTheme="minorHAnsi" w:hAnsiTheme="minorHAnsi"/>
          <w:b/>
          <w:bCs/>
        </w:rPr>
        <w:t>-</w:t>
      </w:r>
      <w:r w:rsidRPr="00546BC5">
        <w:rPr>
          <w:rFonts w:asciiTheme="minorHAnsi" w:hAnsiTheme="minorHAnsi"/>
          <w:b/>
          <w:bCs/>
        </w:rPr>
        <w:t xml:space="preserve"> </w:t>
      </w:r>
      <w:r w:rsidR="004B77F1" w:rsidRPr="00546BC5">
        <w:rPr>
          <w:rFonts w:asciiTheme="minorHAnsi" w:hAnsiTheme="minorHAnsi"/>
          <w:b/>
          <w:bCs/>
        </w:rPr>
        <w:t xml:space="preserve">City of Burlington </w:t>
      </w:r>
      <w:r w:rsidR="007671F4">
        <w:rPr>
          <w:rFonts w:asciiTheme="minorHAnsi" w:hAnsiTheme="minorHAnsi"/>
          <w:b/>
          <w:bCs/>
        </w:rPr>
        <w:t>C</w:t>
      </w:r>
      <w:r w:rsidR="004B77F1" w:rsidRPr="00546BC5">
        <w:rPr>
          <w:rFonts w:asciiTheme="minorHAnsi" w:hAnsiTheme="minorHAnsi"/>
          <w:b/>
          <w:bCs/>
        </w:rPr>
        <w:t>omments on</w:t>
      </w:r>
      <w:r w:rsidR="007671F4" w:rsidRPr="008416DA">
        <w:rPr>
          <w:b/>
          <w:bCs/>
        </w:rPr>
        <w:t xml:space="preserve"> </w:t>
      </w:r>
      <w:r w:rsidR="007671F4">
        <w:rPr>
          <w:b/>
          <w:bCs/>
        </w:rPr>
        <w:t>Proposed Changes to Support Standardizing of Parkland Requirements under the Planning Act</w:t>
      </w:r>
      <w:r w:rsidR="007671F4">
        <w:rPr>
          <w:rFonts w:asciiTheme="minorHAnsi" w:hAnsiTheme="minorHAnsi"/>
          <w:b/>
          <w:bCs/>
        </w:rPr>
        <w:t xml:space="preserve"> (</w:t>
      </w:r>
      <w:r w:rsidR="004B77F1" w:rsidRPr="00546BC5">
        <w:rPr>
          <w:rFonts w:asciiTheme="minorHAnsi" w:hAnsiTheme="minorHAnsi"/>
          <w:b/>
          <w:bCs/>
        </w:rPr>
        <w:t>ERO-026-0312</w:t>
      </w:r>
      <w:r w:rsidR="007671F4">
        <w:rPr>
          <w:rFonts w:asciiTheme="minorHAnsi" w:hAnsiTheme="minorHAnsi"/>
          <w:b/>
          <w:bCs/>
        </w:rPr>
        <w:t>)</w:t>
      </w:r>
      <w:r w:rsidRPr="00546BC5">
        <w:rPr>
          <w:rFonts w:asciiTheme="minorHAnsi" w:hAnsiTheme="minorHAnsi"/>
        </w:rPr>
        <w:t xml:space="preserve"> </w:t>
      </w:r>
    </w:p>
    <w:tbl>
      <w:tblPr>
        <w:tblStyle w:val="TableGrid"/>
        <w:tblW w:w="13187" w:type="dxa"/>
        <w:tblLook w:val="04A0" w:firstRow="1" w:lastRow="0" w:firstColumn="1" w:lastColumn="0" w:noHBand="0" w:noVBand="1"/>
      </w:tblPr>
      <w:tblGrid>
        <w:gridCol w:w="715"/>
        <w:gridCol w:w="2610"/>
        <w:gridCol w:w="5906"/>
        <w:gridCol w:w="3956"/>
      </w:tblGrid>
      <w:tr w:rsidR="004B77F1" w:rsidRPr="00B30110" w14:paraId="61FB8BCF" w14:textId="77777777" w:rsidTr="325BFFAA">
        <w:tc>
          <w:tcPr>
            <w:tcW w:w="715" w:type="dxa"/>
            <w:shd w:val="clear" w:color="auto" w:fill="A5C9EB" w:themeFill="text2" w:themeFillTint="40"/>
          </w:tcPr>
          <w:p w14:paraId="76F7FF6A" w14:textId="5886E3EC" w:rsidR="004B77F1" w:rsidRPr="00B30110" w:rsidRDefault="004B77F1" w:rsidP="003E66A1">
            <w:pPr>
              <w:rPr>
                <w:rFonts w:cs="Arial"/>
              </w:rPr>
            </w:pPr>
            <w:r w:rsidRPr="00B30110">
              <w:rPr>
                <w:rFonts w:cs="Arial"/>
                <w:lang w:val="en-US"/>
              </w:rPr>
              <w:t xml:space="preserve">Ref. </w:t>
            </w:r>
          </w:p>
        </w:tc>
        <w:tc>
          <w:tcPr>
            <w:tcW w:w="2610" w:type="dxa"/>
            <w:shd w:val="clear" w:color="auto" w:fill="A5C9EB" w:themeFill="text2" w:themeFillTint="40"/>
          </w:tcPr>
          <w:p w14:paraId="230E6DF6" w14:textId="354636FB" w:rsidR="004B77F1" w:rsidRPr="00B30110" w:rsidRDefault="00501AC8" w:rsidP="003E66A1">
            <w:pPr>
              <w:rPr>
                <w:rFonts w:cs="Arial"/>
              </w:rPr>
            </w:pPr>
            <w:r w:rsidRPr="00B30110">
              <w:rPr>
                <w:rFonts w:cs="Arial"/>
              </w:rPr>
              <w:t>Legislative Document</w:t>
            </w:r>
          </w:p>
        </w:tc>
        <w:tc>
          <w:tcPr>
            <w:tcW w:w="5906" w:type="dxa"/>
            <w:shd w:val="clear" w:color="auto" w:fill="A5C9EB" w:themeFill="text2" w:themeFillTint="40"/>
          </w:tcPr>
          <w:p w14:paraId="7B9D31EF" w14:textId="26BA03FB" w:rsidR="004B77F1" w:rsidRPr="00B30110" w:rsidRDefault="00546BC5" w:rsidP="003E66A1">
            <w:pPr>
              <w:rPr>
                <w:rFonts w:cs="Arial"/>
              </w:rPr>
            </w:pPr>
            <w:r w:rsidRPr="00B30110">
              <w:rPr>
                <w:rFonts w:cs="Arial"/>
              </w:rPr>
              <w:t xml:space="preserve">Legislation </w:t>
            </w:r>
          </w:p>
        </w:tc>
        <w:tc>
          <w:tcPr>
            <w:tcW w:w="3956" w:type="dxa"/>
            <w:shd w:val="clear" w:color="auto" w:fill="A5C9EB" w:themeFill="text2" w:themeFillTint="40"/>
          </w:tcPr>
          <w:p w14:paraId="5891872C" w14:textId="7CD3C208" w:rsidR="004B77F1" w:rsidRPr="00B30110" w:rsidRDefault="00546BC5" w:rsidP="003E66A1">
            <w:pPr>
              <w:rPr>
                <w:rFonts w:cs="Arial"/>
              </w:rPr>
            </w:pPr>
            <w:r w:rsidRPr="00B30110">
              <w:rPr>
                <w:rFonts w:cs="Arial"/>
              </w:rPr>
              <w:t>City of Burlington Comment</w:t>
            </w:r>
          </w:p>
        </w:tc>
      </w:tr>
      <w:tr w:rsidR="00F50092" w:rsidRPr="00B30110" w14:paraId="74434855" w14:textId="77777777" w:rsidTr="325BFFAA">
        <w:tc>
          <w:tcPr>
            <w:tcW w:w="715" w:type="dxa"/>
          </w:tcPr>
          <w:p w14:paraId="2AEA1220" w14:textId="305E0DFD" w:rsidR="00F50092" w:rsidRPr="00B30110" w:rsidRDefault="006377EE" w:rsidP="00073568">
            <w:r>
              <w:t>1</w:t>
            </w:r>
          </w:p>
        </w:tc>
        <w:tc>
          <w:tcPr>
            <w:tcW w:w="2610" w:type="dxa"/>
          </w:tcPr>
          <w:p w14:paraId="70C60ECB" w14:textId="2737B722" w:rsidR="00F50092" w:rsidRPr="00B30110" w:rsidRDefault="001835EE" w:rsidP="00073568">
            <w:r w:rsidRPr="00B30110">
              <w:t>ERO-026-0312</w:t>
            </w:r>
          </w:p>
        </w:tc>
        <w:tc>
          <w:tcPr>
            <w:tcW w:w="5906" w:type="dxa"/>
          </w:tcPr>
          <w:p w14:paraId="2D5CE48C" w14:textId="44A0ADEA" w:rsidR="00F50092" w:rsidRPr="00B30110" w:rsidRDefault="001835EE" w:rsidP="00073568">
            <w:r w:rsidRPr="00B30110">
              <w:t>Proposal Summary</w:t>
            </w:r>
            <w:r w:rsidR="00A91D31" w:rsidRPr="00B30110">
              <w:t>:</w:t>
            </w:r>
          </w:p>
          <w:p w14:paraId="79327249" w14:textId="594BE5EF" w:rsidR="001835EE" w:rsidRPr="00B30110" w:rsidRDefault="001835EE" w:rsidP="001835EE">
            <w:pPr>
              <w:pStyle w:val="ListParagraph"/>
              <w:numPr>
                <w:ilvl w:val="0"/>
                <w:numId w:val="13"/>
              </w:numPr>
            </w:pPr>
            <w:r w:rsidRPr="00B30110">
              <w:t xml:space="preserve">The government is seeking public feedback on a Minister’s regulation under the Planning Act to standardize parkland dedication requirements in Ontario in respect of the conveyance of developer-identified parkland, including encumbered lands and privately owned public spaces (POPS) arrangements, to implement Bill 23 provisions. </w:t>
            </w:r>
          </w:p>
        </w:tc>
        <w:tc>
          <w:tcPr>
            <w:tcW w:w="3956" w:type="dxa"/>
          </w:tcPr>
          <w:p w14:paraId="1F575421" w14:textId="59983D5D" w:rsidR="00F50092" w:rsidRPr="00B30110" w:rsidRDefault="00A91D31" w:rsidP="00073568">
            <w:r w:rsidRPr="00B30110">
              <w:t xml:space="preserve">With respect to the ‘Developer identified parkland’ piece, what role and authority do </w:t>
            </w:r>
            <w:r w:rsidR="006377EE">
              <w:t>municipalities</w:t>
            </w:r>
            <w:r w:rsidRPr="00B30110">
              <w:t xml:space="preserve"> have with respect to parkland dedication under the new proposal? For example, if a secondary plan identifies a future community park from neighbouring development applications, can a Developer choose not to participate in the parkland dedication? What role or authority do </w:t>
            </w:r>
            <w:r w:rsidR="006377EE">
              <w:t xml:space="preserve">municipalities </w:t>
            </w:r>
            <w:r w:rsidRPr="00B30110">
              <w:t xml:space="preserve">parkland criteria play?  </w:t>
            </w:r>
          </w:p>
        </w:tc>
      </w:tr>
      <w:tr w:rsidR="0066659E" w:rsidRPr="00B30110" w14:paraId="69A1C946" w14:textId="77777777" w:rsidTr="325BFFAA">
        <w:tc>
          <w:tcPr>
            <w:tcW w:w="715" w:type="dxa"/>
          </w:tcPr>
          <w:p w14:paraId="3D0353FD" w14:textId="757D6757" w:rsidR="0066659E" w:rsidRDefault="00870FBE" w:rsidP="0066659E">
            <w:r>
              <w:t>2</w:t>
            </w:r>
          </w:p>
        </w:tc>
        <w:tc>
          <w:tcPr>
            <w:tcW w:w="2610" w:type="dxa"/>
          </w:tcPr>
          <w:p w14:paraId="43B9F397" w14:textId="1C9E0DAA" w:rsidR="0066659E" w:rsidRPr="00B30110" w:rsidRDefault="0066659E" w:rsidP="0066659E">
            <w:r w:rsidRPr="00B30110">
              <w:t>ERO-026-0312</w:t>
            </w:r>
          </w:p>
        </w:tc>
        <w:tc>
          <w:tcPr>
            <w:tcW w:w="5906" w:type="dxa"/>
          </w:tcPr>
          <w:p w14:paraId="767224A1" w14:textId="77777777" w:rsidR="0066659E" w:rsidRPr="00B30110" w:rsidRDefault="0066659E" w:rsidP="0066659E">
            <w:r w:rsidRPr="00B30110">
              <w:t>Proposal Summary:</w:t>
            </w:r>
          </w:p>
          <w:p w14:paraId="4FC2CA29" w14:textId="13F42F99" w:rsidR="0066659E" w:rsidRPr="0066659E" w:rsidRDefault="0066659E" w:rsidP="0066659E">
            <w:pPr>
              <w:pStyle w:val="ListParagraph"/>
              <w:numPr>
                <w:ilvl w:val="0"/>
                <w:numId w:val="23"/>
              </w:numPr>
              <w:ind w:left="360"/>
            </w:pPr>
            <w:r w:rsidRPr="0066659E">
              <w:t>The government is seeking public feedback on a Minister’s regulation under the Planning Act to standardize parkland dedication requirements in Ontario in respect of the conveyance of developer-identified parkland, including encumbered lands and privately owned public spaces (POPS) arrangements, to implement Bill 23 provisions.</w:t>
            </w:r>
          </w:p>
        </w:tc>
        <w:tc>
          <w:tcPr>
            <w:tcW w:w="3956" w:type="dxa"/>
          </w:tcPr>
          <w:p w14:paraId="7ED26CB8" w14:textId="4E813A9E" w:rsidR="0066659E" w:rsidRPr="00B30110" w:rsidRDefault="0066659E" w:rsidP="0066659E">
            <w:r>
              <w:t xml:space="preserve">If the encumbrances do not support park development, does the municipality have the ability to reject the proposal? What criteria can the municipality rely on to refuse parks on encumbered lands? </w:t>
            </w:r>
          </w:p>
        </w:tc>
      </w:tr>
      <w:tr w:rsidR="0066659E" w:rsidRPr="00B30110" w14:paraId="108E2F50" w14:textId="77777777" w:rsidTr="325BFFAA">
        <w:tc>
          <w:tcPr>
            <w:tcW w:w="715" w:type="dxa"/>
          </w:tcPr>
          <w:p w14:paraId="4310C9C6" w14:textId="7F24732F" w:rsidR="0066659E" w:rsidRPr="00B30110" w:rsidRDefault="00870FBE" w:rsidP="0066659E">
            <w:r>
              <w:t>3</w:t>
            </w:r>
          </w:p>
        </w:tc>
        <w:tc>
          <w:tcPr>
            <w:tcW w:w="2610" w:type="dxa"/>
          </w:tcPr>
          <w:p w14:paraId="76198705" w14:textId="178F130B" w:rsidR="0066659E" w:rsidRPr="00B30110" w:rsidRDefault="0066659E" w:rsidP="0066659E">
            <w:r w:rsidRPr="00B30110">
              <w:t>ERO-026-0312</w:t>
            </w:r>
          </w:p>
        </w:tc>
        <w:tc>
          <w:tcPr>
            <w:tcW w:w="5906" w:type="dxa"/>
          </w:tcPr>
          <w:p w14:paraId="0E90A334" w14:textId="666ED2FA" w:rsidR="0066659E" w:rsidRPr="00B30110" w:rsidRDefault="0066659E" w:rsidP="0066659E">
            <w:r w:rsidRPr="00B30110">
              <w:t>Proposal Summary:</w:t>
            </w:r>
          </w:p>
          <w:p w14:paraId="4C5DBFB4" w14:textId="5DD1B1EB" w:rsidR="0066659E" w:rsidRPr="00B30110" w:rsidRDefault="0066659E" w:rsidP="0066659E">
            <w:pPr>
              <w:pStyle w:val="ListParagraph"/>
              <w:numPr>
                <w:ilvl w:val="0"/>
                <w:numId w:val="13"/>
              </w:numPr>
            </w:pPr>
            <w:r w:rsidRPr="00B30110">
              <w:t xml:space="preserve">The government is seeking public feedback on a Minister’s regulation under the Planning Act to standardize parkland dedication requirements in Ontario in respect of the conveyance of developer-identified parkland, including encumbered lands and </w:t>
            </w:r>
            <w:r w:rsidRPr="00B30110">
              <w:lastRenderedPageBreak/>
              <w:t>privately owned public spaces (POPS) arrangements, to implement Bill 23 provisions.</w:t>
            </w:r>
          </w:p>
        </w:tc>
        <w:tc>
          <w:tcPr>
            <w:tcW w:w="3956" w:type="dxa"/>
          </w:tcPr>
          <w:p w14:paraId="43904404" w14:textId="53A6B60B" w:rsidR="0066659E" w:rsidRPr="00B30110" w:rsidRDefault="0066659E" w:rsidP="0066659E">
            <w:r w:rsidRPr="00B30110">
              <w:lastRenderedPageBreak/>
              <w:t xml:space="preserve">What is the definition and criteria of ‘encumbered </w:t>
            </w:r>
            <w:proofErr w:type="gramStart"/>
            <w:r w:rsidRPr="00B30110">
              <w:t>lands’</w:t>
            </w:r>
            <w:proofErr w:type="gramEnd"/>
            <w:r w:rsidRPr="00B30110">
              <w:t xml:space="preserve">? Is there a sliding scale of encumbrances and land valuation? Is a parcel with one utility/encumbrance worth of the same valuation of that which has </w:t>
            </w:r>
            <w:r>
              <w:t xml:space="preserve">multiple </w:t>
            </w:r>
            <w:r w:rsidRPr="00B30110">
              <w:t xml:space="preserve">utilities/encumbrances? </w:t>
            </w:r>
            <w:r>
              <w:t xml:space="preserve">Is </w:t>
            </w:r>
            <w:r>
              <w:lastRenderedPageBreak/>
              <w:t xml:space="preserve">encumbrance based on the number of utilities or the size of utility, or perhaps its impact? </w:t>
            </w:r>
          </w:p>
        </w:tc>
      </w:tr>
      <w:tr w:rsidR="0066659E" w:rsidRPr="00B30110" w14:paraId="6282A41C" w14:textId="77777777" w:rsidTr="325BFFAA">
        <w:tc>
          <w:tcPr>
            <w:tcW w:w="715" w:type="dxa"/>
          </w:tcPr>
          <w:p w14:paraId="4FC34EE2" w14:textId="72F171D9" w:rsidR="0066659E" w:rsidRPr="00B30110" w:rsidRDefault="00870FBE" w:rsidP="0066659E">
            <w:r>
              <w:lastRenderedPageBreak/>
              <w:t>4</w:t>
            </w:r>
          </w:p>
        </w:tc>
        <w:tc>
          <w:tcPr>
            <w:tcW w:w="2610" w:type="dxa"/>
          </w:tcPr>
          <w:p w14:paraId="12B60BFF" w14:textId="5725F2CB" w:rsidR="0066659E" w:rsidRPr="00B30110" w:rsidRDefault="0066659E" w:rsidP="0066659E">
            <w:pPr>
              <w:rPr>
                <w:b/>
                <w:bCs/>
              </w:rPr>
            </w:pPr>
            <w:r w:rsidRPr="00B30110">
              <w:t>ERO-026-0312</w:t>
            </w:r>
          </w:p>
        </w:tc>
        <w:tc>
          <w:tcPr>
            <w:tcW w:w="5906" w:type="dxa"/>
          </w:tcPr>
          <w:p w14:paraId="56632AE1" w14:textId="77777777" w:rsidR="0066659E" w:rsidRPr="00B30110" w:rsidRDefault="0066659E" w:rsidP="0066659E">
            <w:r w:rsidRPr="00B30110">
              <w:t xml:space="preserve">Proposal Details: </w:t>
            </w:r>
          </w:p>
          <w:p w14:paraId="6CF6EB95" w14:textId="4D6477C7" w:rsidR="0066659E" w:rsidRPr="00B30110" w:rsidRDefault="0066659E" w:rsidP="0066659E">
            <w:pPr>
              <w:pStyle w:val="ListParagraph"/>
              <w:numPr>
                <w:ilvl w:val="0"/>
                <w:numId w:val="13"/>
              </w:numPr>
            </w:pPr>
            <w:r w:rsidRPr="00B30110">
              <w:t>Developer-identified lands, including land with encumbrances and POPS arrangements, to count towards municipal parkland dedication requirements</w:t>
            </w:r>
          </w:p>
        </w:tc>
        <w:tc>
          <w:tcPr>
            <w:tcW w:w="3956" w:type="dxa"/>
          </w:tcPr>
          <w:p w14:paraId="57B8AAF0" w14:textId="22B3B6F5" w:rsidR="0066659E" w:rsidRPr="00B30110" w:rsidRDefault="0066659E" w:rsidP="0066659E">
            <w:r w:rsidRPr="00B30110">
              <w:t xml:space="preserve">What about instances with encumbered POPS arrangements? Are there separate criteria for POPS and encumbered POPS? </w:t>
            </w:r>
          </w:p>
        </w:tc>
      </w:tr>
      <w:tr w:rsidR="0066659E" w:rsidRPr="00B30110" w14:paraId="0521D74B" w14:textId="77777777" w:rsidTr="325BFFAA">
        <w:tc>
          <w:tcPr>
            <w:tcW w:w="715" w:type="dxa"/>
          </w:tcPr>
          <w:p w14:paraId="0FA518E6" w14:textId="03D54CC9" w:rsidR="0066659E" w:rsidRDefault="00870FBE" w:rsidP="0066659E">
            <w:r>
              <w:t>5</w:t>
            </w:r>
          </w:p>
        </w:tc>
        <w:tc>
          <w:tcPr>
            <w:tcW w:w="2610" w:type="dxa"/>
          </w:tcPr>
          <w:p w14:paraId="4BB8DBD6" w14:textId="3B4C095C" w:rsidR="0066659E" w:rsidRPr="00B30110" w:rsidRDefault="0066659E" w:rsidP="0066659E">
            <w:r w:rsidRPr="00B30110">
              <w:t>ERO-026-0312</w:t>
            </w:r>
          </w:p>
        </w:tc>
        <w:tc>
          <w:tcPr>
            <w:tcW w:w="5906" w:type="dxa"/>
          </w:tcPr>
          <w:p w14:paraId="2C3393F3" w14:textId="77777777" w:rsidR="0066659E" w:rsidRPr="00B30110" w:rsidRDefault="0066659E" w:rsidP="0066659E">
            <w:r w:rsidRPr="00B30110">
              <w:t xml:space="preserve">Proposal Details: </w:t>
            </w:r>
          </w:p>
          <w:p w14:paraId="0DD687FF" w14:textId="51BF929D" w:rsidR="0066659E" w:rsidRPr="0066659E" w:rsidRDefault="0066659E" w:rsidP="0066659E">
            <w:pPr>
              <w:pStyle w:val="ListParagraph"/>
              <w:numPr>
                <w:ilvl w:val="0"/>
                <w:numId w:val="13"/>
              </w:numPr>
            </w:pPr>
            <w:r w:rsidRPr="0066659E">
              <w:t>Developer-identified lands, including land with encumbrances and POPS arrangements, to count towards municipal parkland dedication requirements</w:t>
            </w:r>
          </w:p>
        </w:tc>
        <w:tc>
          <w:tcPr>
            <w:tcW w:w="3956" w:type="dxa"/>
          </w:tcPr>
          <w:p w14:paraId="0906A7A3" w14:textId="77777777" w:rsidR="0066659E" w:rsidRDefault="0066659E" w:rsidP="0066659E">
            <w:r>
              <w:t>With respect to the valuation of encumbered lands, the municipality has an established land calculation methodology for Parkland Dedication (PD) where Cash-in-Lieu is not selected. If a Developer conveys encumbered lands to the municipality, would those lands be treated as fee simple lands for the purposes of the PD conveyance calculation?</w:t>
            </w:r>
          </w:p>
          <w:p w14:paraId="117C7756" w14:textId="77777777" w:rsidR="0066659E" w:rsidRDefault="0066659E" w:rsidP="0066659E"/>
          <w:p w14:paraId="7A2C00A6" w14:textId="63AFD575" w:rsidR="0066659E" w:rsidRPr="00B30110" w:rsidRDefault="0066659E" w:rsidP="0066659E">
            <w:r>
              <w:t xml:space="preserve">Further clarification is required on whether a discount would apply. For example, if one acre of free and clear land is required, would two acres of encumbered land be required to satisfy the same obligation (i.e. a 50% discount)? Clear direction is needed on how PD </w:t>
            </w:r>
            <w:r w:rsidR="002C35EC">
              <w:t xml:space="preserve">conveyance calculations will apply to encumbered lands. </w:t>
            </w:r>
          </w:p>
        </w:tc>
      </w:tr>
      <w:tr w:rsidR="0066659E" w:rsidRPr="00B30110" w14:paraId="647B637C" w14:textId="77777777" w:rsidTr="325BFFAA">
        <w:tc>
          <w:tcPr>
            <w:tcW w:w="715" w:type="dxa"/>
          </w:tcPr>
          <w:p w14:paraId="250CCD28" w14:textId="044691A0" w:rsidR="0066659E" w:rsidRPr="00B30110" w:rsidRDefault="00870FBE" w:rsidP="0066659E">
            <w:r>
              <w:t>6</w:t>
            </w:r>
          </w:p>
        </w:tc>
        <w:tc>
          <w:tcPr>
            <w:tcW w:w="2610" w:type="dxa"/>
          </w:tcPr>
          <w:p w14:paraId="77273724" w14:textId="724BD21C" w:rsidR="0066659E" w:rsidRPr="00B30110" w:rsidRDefault="0066659E" w:rsidP="0066659E">
            <w:pPr>
              <w:rPr>
                <w:b/>
                <w:bCs/>
              </w:rPr>
            </w:pPr>
            <w:r w:rsidRPr="00B30110">
              <w:t>ERO-026-0312</w:t>
            </w:r>
          </w:p>
        </w:tc>
        <w:tc>
          <w:tcPr>
            <w:tcW w:w="5906" w:type="dxa"/>
          </w:tcPr>
          <w:p w14:paraId="56F10D80" w14:textId="77777777" w:rsidR="0066659E" w:rsidRPr="00B30110" w:rsidRDefault="0066659E" w:rsidP="0066659E">
            <w:r w:rsidRPr="00B30110">
              <w:t xml:space="preserve">Proposal Details: </w:t>
            </w:r>
          </w:p>
          <w:p w14:paraId="367B6873" w14:textId="59248BAC" w:rsidR="0066659E" w:rsidRPr="00B30110" w:rsidRDefault="0066659E" w:rsidP="0066659E">
            <w:pPr>
              <w:pStyle w:val="ListParagraph"/>
              <w:numPr>
                <w:ilvl w:val="0"/>
                <w:numId w:val="13"/>
              </w:numPr>
            </w:pPr>
            <w:r w:rsidRPr="00B30110">
              <w:t>The landowner to be able to appeal to the Ontario Land Tribunal (OLT) in cases where the municipality rejects developer-identified land, with the OLT required to order the land to be conveyed to the municipality if it meets prescribed criteria.</w:t>
            </w:r>
          </w:p>
        </w:tc>
        <w:tc>
          <w:tcPr>
            <w:tcW w:w="3956" w:type="dxa"/>
          </w:tcPr>
          <w:p w14:paraId="3762CDBB" w14:textId="022D6A58" w:rsidR="0066659E" w:rsidRPr="00B30110" w:rsidRDefault="0066659E" w:rsidP="0066659E">
            <w:r w:rsidRPr="00B30110">
              <w:t xml:space="preserve">What is the ‘prescribed criteria’? Will </w:t>
            </w:r>
            <w:r>
              <w:t>municipalities</w:t>
            </w:r>
            <w:r w:rsidRPr="00B30110">
              <w:t xml:space="preserve"> know these criteria upfront or will it be a case-by-case situation? How does the prescribe</w:t>
            </w:r>
            <w:r w:rsidR="007D6A4B">
              <w:t>d</w:t>
            </w:r>
            <w:r w:rsidRPr="00B30110">
              <w:t xml:space="preserve"> criteria align with local governments </w:t>
            </w:r>
            <w:r w:rsidRPr="00B30110">
              <w:lastRenderedPageBreak/>
              <w:t xml:space="preserve">legislation such as by-laws, official plan policies and other criteria?  </w:t>
            </w:r>
          </w:p>
        </w:tc>
      </w:tr>
      <w:tr w:rsidR="0066659E" w:rsidRPr="00B30110" w14:paraId="1E5CC420" w14:textId="77777777" w:rsidTr="325BFFAA">
        <w:tc>
          <w:tcPr>
            <w:tcW w:w="715" w:type="dxa"/>
          </w:tcPr>
          <w:p w14:paraId="50C39C07" w14:textId="09AE393F" w:rsidR="0066659E" w:rsidRPr="00B30110" w:rsidRDefault="00870FBE" w:rsidP="0066659E">
            <w:r>
              <w:lastRenderedPageBreak/>
              <w:t>7</w:t>
            </w:r>
          </w:p>
        </w:tc>
        <w:tc>
          <w:tcPr>
            <w:tcW w:w="2610" w:type="dxa"/>
          </w:tcPr>
          <w:p w14:paraId="7B458B43" w14:textId="3878A563" w:rsidR="0066659E" w:rsidRPr="00B30110" w:rsidRDefault="0066659E" w:rsidP="0066659E">
            <w:pPr>
              <w:rPr>
                <w:b/>
                <w:bCs/>
              </w:rPr>
            </w:pPr>
            <w:r w:rsidRPr="00B30110">
              <w:t>ERO-026-0312</w:t>
            </w:r>
          </w:p>
        </w:tc>
        <w:tc>
          <w:tcPr>
            <w:tcW w:w="5906" w:type="dxa"/>
          </w:tcPr>
          <w:p w14:paraId="06EE1C40" w14:textId="77777777" w:rsidR="0066659E" w:rsidRPr="00B30110" w:rsidRDefault="0066659E" w:rsidP="0066659E">
            <w:r w:rsidRPr="00B30110">
              <w:t xml:space="preserve">Proposal Details: </w:t>
            </w:r>
          </w:p>
          <w:p w14:paraId="2F2B3880" w14:textId="77777777" w:rsidR="0066659E" w:rsidRPr="00B30110" w:rsidRDefault="0066659E" w:rsidP="0066659E">
            <w:pPr>
              <w:pStyle w:val="ListParagraph"/>
              <w:numPr>
                <w:ilvl w:val="0"/>
                <w:numId w:val="14"/>
              </w:numPr>
            </w:pPr>
            <w:r w:rsidRPr="00B30110">
              <w:t xml:space="preserve">Ineligible Land – land with any of the following conditions cannot be conveyed to municipalities for park and recreation purposes: </w:t>
            </w:r>
          </w:p>
          <w:p w14:paraId="35FC778F" w14:textId="7809695C" w:rsidR="0066659E" w:rsidRPr="00B30110" w:rsidRDefault="0066659E" w:rsidP="0066659E">
            <w:pPr>
              <w:pStyle w:val="ListParagraph"/>
              <w:numPr>
                <w:ilvl w:val="0"/>
                <w:numId w:val="13"/>
              </w:numPr>
            </w:pPr>
            <w:r w:rsidRPr="00B30110">
              <w:t>Contaminated lands – lands that have in or on them any contaminants from industrial or other uses that pose a public health risk</w:t>
            </w:r>
          </w:p>
        </w:tc>
        <w:tc>
          <w:tcPr>
            <w:tcW w:w="3956" w:type="dxa"/>
          </w:tcPr>
          <w:p w14:paraId="31838A48" w14:textId="5314EAF9" w:rsidR="0066659E" w:rsidRPr="00B30110" w:rsidRDefault="0066659E" w:rsidP="0066659E">
            <w:r w:rsidRPr="00B30110">
              <w:t xml:space="preserve">Will the Developer be required to submit a Record of Site Condition and ESA to confirm the lands are ‘clean’ if there is doubt by the municipality? </w:t>
            </w:r>
          </w:p>
        </w:tc>
      </w:tr>
      <w:tr w:rsidR="0066659E" w:rsidRPr="00B30110" w14:paraId="5EB87273" w14:textId="77777777" w:rsidTr="325BFFAA">
        <w:tc>
          <w:tcPr>
            <w:tcW w:w="715" w:type="dxa"/>
          </w:tcPr>
          <w:p w14:paraId="5AFBFD6B" w14:textId="7BE4DBE3" w:rsidR="0066659E" w:rsidRPr="00B30110" w:rsidRDefault="00870FBE" w:rsidP="0066659E">
            <w:r>
              <w:t>8</w:t>
            </w:r>
          </w:p>
        </w:tc>
        <w:tc>
          <w:tcPr>
            <w:tcW w:w="2610" w:type="dxa"/>
          </w:tcPr>
          <w:p w14:paraId="1035CA4A" w14:textId="39570666" w:rsidR="0066659E" w:rsidRPr="00B30110" w:rsidRDefault="0066659E" w:rsidP="0066659E">
            <w:pPr>
              <w:rPr>
                <w:b/>
                <w:bCs/>
              </w:rPr>
            </w:pPr>
            <w:r w:rsidRPr="00B30110">
              <w:t>ERO-026-0312</w:t>
            </w:r>
          </w:p>
        </w:tc>
        <w:tc>
          <w:tcPr>
            <w:tcW w:w="5906" w:type="dxa"/>
          </w:tcPr>
          <w:p w14:paraId="5B6B0439" w14:textId="77777777" w:rsidR="0066659E" w:rsidRPr="00B30110" w:rsidRDefault="0066659E" w:rsidP="0066659E">
            <w:r w:rsidRPr="00B30110">
              <w:t xml:space="preserve">Proposal Details: </w:t>
            </w:r>
          </w:p>
          <w:p w14:paraId="338DDB18" w14:textId="77777777" w:rsidR="0066659E" w:rsidRPr="00B30110" w:rsidRDefault="0066659E" w:rsidP="0066659E">
            <w:pPr>
              <w:pStyle w:val="ListParagraph"/>
              <w:numPr>
                <w:ilvl w:val="0"/>
                <w:numId w:val="15"/>
              </w:numPr>
            </w:pPr>
            <w:r w:rsidRPr="00B30110">
              <w:t xml:space="preserve">Ineligible Land – land with any of the following conditions cannot be conveyed to municipalities for park and recreation purposes: </w:t>
            </w:r>
          </w:p>
          <w:p w14:paraId="7A9E393E" w14:textId="36E76985" w:rsidR="0066659E" w:rsidRPr="00B30110" w:rsidRDefault="0066659E" w:rsidP="0066659E">
            <w:pPr>
              <w:pStyle w:val="ListParagraph"/>
              <w:numPr>
                <w:ilvl w:val="0"/>
                <w:numId w:val="13"/>
              </w:numPr>
              <w:rPr>
                <w:b/>
                <w:bCs/>
              </w:rPr>
            </w:pPr>
            <w:r w:rsidRPr="00B30110">
              <w:t xml:space="preserve">Lands within and adjacent to natural heritage features and areas are eligible on the condition that a park would not interfere with or compromise the natural heritage features and areas. </w:t>
            </w:r>
          </w:p>
        </w:tc>
        <w:tc>
          <w:tcPr>
            <w:tcW w:w="3956" w:type="dxa"/>
          </w:tcPr>
          <w:p w14:paraId="778FB7CE" w14:textId="102918FB" w:rsidR="0066659E" w:rsidRPr="00B30110" w:rsidRDefault="0066659E" w:rsidP="0066659E">
            <w:r w:rsidRPr="00B30110">
              <w:t xml:space="preserve">What criteria or boundary is to be used in defining ‘adjacent to’? Is this intended to mean directly adjacent to in that it shares a property line? </w:t>
            </w:r>
          </w:p>
          <w:p w14:paraId="00E199C2" w14:textId="77777777" w:rsidR="0066659E" w:rsidRPr="00B30110" w:rsidRDefault="0066659E" w:rsidP="0066659E"/>
          <w:p w14:paraId="230700DA" w14:textId="5F8B5FA8" w:rsidR="0066659E" w:rsidRPr="00B30110" w:rsidRDefault="0066659E" w:rsidP="0066659E">
            <w:r w:rsidRPr="00B30110">
              <w:t xml:space="preserve">Who determines what is deemed to interfere with or compromise the natural heritage feature and area? What criteria is being used to determine this? </w:t>
            </w:r>
          </w:p>
        </w:tc>
      </w:tr>
      <w:tr w:rsidR="002C35EC" w:rsidRPr="00B30110" w14:paraId="6C8352AB" w14:textId="77777777" w:rsidTr="325BFFAA">
        <w:tc>
          <w:tcPr>
            <w:tcW w:w="715" w:type="dxa"/>
          </w:tcPr>
          <w:p w14:paraId="1F5A20EF" w14:textId="27EFB900" w:rsidR="002C35EC" w:rsidRDefault="00870FBE" w:rsidP="0066659E">
            <w:r>
              <w:t>9</w:t>
            </w:r>
          </w:p>
        </w:tc>
        <w:tc>
          <w:tcPr>
            <w:tcW w:w="2610" w:type="dxa"/>
          </w:tcPr>
          <w:p w14:paraId="5FAE33A9" w14:textId="0746BCFB" w:rsidR="002C35EC" w:rsidRPr="00B30110" w:rsidRDefault="002C35EC" w:rsidP="0066659E">
            <w:r w:rsidRPr="00B30110">
              <w:t>ERO-026-0312</w:t>
            </w:r>
          </w:p>
        </w:tc>
        <w:tc>
          <w:tcPr>
            <w:tcW w:w="5906" w:type="dxa"/>
          </w:tcPr>
          <w:p w14:paraId="504B9B4A" w14:textId="77777777" w:rsidR="002C35EC" w:rsidRPr="00B30110" w:rsidRDefault="002C35EC" w:rsidP="002C35EC">
            <w:r w:rsidRPr="00B30110">
              <w:t xml:space="preserve">Proposal Details: </w:t>
            </w:r>
          </w:p>
          <w:p w14:paraId="7F914018" w14:textId="77777777" w:rsidR="002C35EC" w:rsidRPr="00B30110" w:rsidRDefault="002C35EC" w:rsidP="002C35EC">
            <w:pPr>
              <w:pStyle w:val="ListParagraph"/>
              <w:numPr>
                <w:ilvl w:val="0"/>
                <w:numId w:val="24"/>
              </w:numPr>
            </w:pPr>
            <w:r w:rsidRPr="00B30110">
              <w:t xml:space="preserve">Ineligible Land – land with any of the following conditions cannot be conveyed to municipalities for park and recreation purposes: </w:t>
            </w:r>
          </w:p>
          <w:p w14:paraId="3900B522" w14:textId="0254CD3D" w:rsidR="002C35EC" w:rsidRPr="002C35EC" w:rsidRDefault="002C35EC" w:rsidP="002C35EC">
            <w:pPr>
              <w:pStyle w:val="ListParagraph"/>
              <w:numPr>
                <w:ilvl w:val="0"/>
                <w:numId w:val="13"/>
              </w:numPr>
            </w:pPr>
            <w:r w:rsidRPr="002C35EC">
              <w:t>Lands within and adjacent to natural heritage features and areas are eligible on the condition that a park would not interfere with or compromise the natural heritage features and areas.</w:t>
            </w:r>
          </w:p>
        </w:tc>
        <w:tc>
          <w:tcPr>
            <w:tcW w:w="3956" w:type="dxa"/>
          </w:tcPr>
          <w:p w14:paraId="6B31B1EA" w14:textId="16C0455C" w:rsidR="002C35EC" w:rsidRPr="00B30110" w:rsidRDefault="002C35EC" w:rsidP="0066659E">
            <w:r>
              <w:t>Any and all creek blocks should not be counted as parkland dedication lands and should be clearly identified as ineligible lands.</w:t>
            </w:r>
          </w:p>
        </w:tc>
      </w:tr>
      <w:tr w:rsidR="0066659E" w:rsidRPr="00B30110" w14:paraId="3F698C2B" w14:textId="77777777" w:rsidTr="325BFFAA">
        <w:tc>
          <w:tcPr>
            <w:tcW w:w="715" w:type="dxa"/>
          </w:tcPr>
          <w:p w14:paraId="21EEE98B" w14:textId="19322DA3" w:rsidR="0066659E" w:rsidRPr="00B30110" w:rsidRDefault="00870FBE" w:rsidP="0066659E">
            <w:r>
              <w:t>10</w:t>
            </w:r>
          </w:p>
        </w:tc>
        <w:tc>
          <w:tcPr>
            <w:tcW w:w="2610" w:type="dxa"/>
          </w:tcPr>
          <w:p w14:paraId="65822FD1" w14:textId="0BC2B732" w:rsidR="0066659E" w:rsidRPr="00B30110" w:rsidRDefault="0066659E" w:rsidP="0066659E">
            <w:pPr>
              <w:rPr>
                <w:b/>
                <w:bCs/>
              </w:rPr>
            </w:pPr>
            <w:r w:rsidRPr="00B30110">
              <w:t>ERO-026-0312</w:t>
            </w:r>
          </w:p>
        </w:tc>
        <w:tc>
          <w:tcPr>
            <w:tcW w:w="5906" w:type="dxa"/>
          </w:tcPr>
          <w:p w14:paraId="080E09DA" w14:textId="4976737C" w:rsidR="0066659E" w:rsidRPr="00B30110" w:rsidRDefault="0066659E" w:rsidP="0066659E">
            <w:r w:rsidRPr="00B30110">
              <w:t>Proposal Details:</w:t>
            </w:r>
          </w:p>
          <w:p w14:paraId="2A605BB4" w14:textId="601C8C7E" w:rsidR="0066659E" w:rsidRPr="00B30110" w:rsidRDefault="0066659E" w:rsidP="0066659E">
            <w:pPr>
              <w:pStyle w:val="ListParagraph"/>
              <w:numPr>
                <w:ilvl w:val="0"/>
                <w:numId w:val="14"/>
              </w:numPr>
            </w:pPr>
            <w:r w:rsidRPr="00B30110">
              <w:t xml:space="preserve">Land Accessibility/Comfort for Use – parkland must be accessible, visible and comfortable to facilitate public use of it and, in particular, must be:  </w:t>
            </w:r>
          </w:p>
          <w:p w14:paraId="4E715937" w14:textId="7ACFC5B8" w:rsidR="0066659E" w:rsidRPr="00B30110" w:rsidRDefault="0066659E" w:rsidP="0066659E">
            <w:pPr>
              <w:pStyle w:val="ListParagraph"/>
              <w:numPr>
                <w:ilvl w:val="0"/>
                <w:numId w:val="13"/>
              </w:numPr>
              <w:rPr>
                <w:b/>
                <w:bCs/>
              </w:rPr>
            </w:pPr>
            <w:r w:rsidRPr="00B30110">
              <w:t xml:space="preserve">Accessible by all users directly from the public realm and readily visible from the public realm. </w:t>
            </w:r>
          </w:p>
        </w:tc>
        <w:tc>
          <w:tcPr>
            <w:tcW w:w="3956" w:type="dxa"/>
          </w:tcPr>
          <w:p w14:paraId="6D786938" w14:textId="54863B0B" w:rsidR="0066659E" w:rsidRPr="00B30110" w:rsidRDefault="0066659E" w:rsidP="0066659E">
            <w:r w:rsidRPr="00B30110">
              <w:t xml:space="preserve">What is the definition of public realm being used to test visibility and accessibility? </w:t>
            </w:r>
          </w:p>
        </w:tc>
      </w:tr>
      <w:tr w:rsidR="0066659E" w:rsidRPr="00B30110" w14:paraId="50ECADDB" w14:textId="77777777" w:rsidTr="325BFFAA">
        <w:tc>
          <w:tcPr>
            <w:tcW w:w="715" w:type="dxa"/>
          </w:tcPr>
          <w:p w14:paraId="2E6CBFEE" w14:textId="7EF0CBA5" w:rsidR="0066659E" w:rsidRPr="00B30110" w:rsidRDefault="00870FBE" w:rsidP="0066659E">
            <w:r>
              <w:lastRenderedPageBreak/>
              <w:t>11</w:t>
            </w:r>
          </w:p>
        </w:tc>
        <w:tc>
          <w:tcPr>
            <w:tcW w:w="2610" w:type="dxa"/>
          </w:tcPr>
          <w:p w14:paraId="1D0BE967" w14:textId="735092F5" w:rsidR="0066659E" w:rsidRPr="00B30110" w:rsidRDefault="0066659E" w:rsidP="0066659E">
            <w:pPr>
              <w:rPr>
                <w:b/>
                <w:bCs/>
              </w:rPr>
            </w:pPr>
            <w:r w:rsidRPr="00B30110">
              <w:t>ERO-026-0312</w:t>
            </w:r>
          </w:p>
        </w:tc>
        <w:tc>
          <w:tcPr>
            <w:tcW w:w="5906" w:type="dxa"/>
          </w:tcPr>
          <w:p w14:paraId="730D4492" w14:textId="4F03632B" w:rsidR="0066659E" w:rsidRPr="00B30110" w:rsidRDefault="0066659E" w:rsidP="0066659E">
            <w:r w:rsidRPr="00B30110">
              <w:t xml:space="preserve">Proposal Details: </w:t>
            </w:r>
          </w:p>
          <w:p w14:paraId="07B055D7" w14:textId="3EBD571D" w:rsidR="0066659E" w:rsidRPr="00B30110" w:rsidRDefault="0066659E" w:rsidP="0066659E">
            <w:pPr>
              <w:pStyle w:val="ListParagraph"/>
              <w:numPr>
                <w:ilvl w:val="0"/>
                <w:numId w:val="14"/>
              </w:numPr>
            </w:pPr>
            <w:r w:rsidRPr="00B30110">
              <w:t xml:space="preserve">Land Accessibility/Comfort for Use – parkland must be accessible, visible and comfortable to facilitate public use of it and, in particular, must be:  </w:t>
            </w:r>
          </w:p>
          <w:p w14:paraId="6D05C305" w14:textId="23053625" w:rsidR="0066659E" w:rsidRPr="00B30110" w:rsidRDefault="0066659E" w:rsidP="0066659E">
            <w:pPr>
              <w:pStyle w:val="ListParagraph"/>
              <w:numPr>
                <w:ilvl w:val="0"/>
                <w:numId w:val="13"/>
              </w:numPr>
              <w:rPr>
                <w:b/>
                <w:bCs/>
              </w:rPr>
            </w:pPr>
            <w:r w:rsidRPr="00B30110">
              <w:t>Land must be of a size and shape that is capable of serving park or public recreation purposes.</w:t>
            </w:r>
          </w:p>
        </w:tc>
        <w:tc>
          <w:tcPr>
            <w:tcW w:w="3956" w:type="dxa"/>
          </w:tcPr>
          <w:p w14:paraId="11179646" w14:textId="71CEC2A1" w:rsidR="0066659E" w:rsidRPr="00B30110" w:rsidRDefault="0066659E" w:rsidP="0066659E">
            <w:r>
              <w:t>What is the test for determining capability to serve park or public recreation purposes? For example, smaller parcels may</w:t>
            </w:r>
            <w:r w:rsidR="006251D6">
              <w:t xml:space="preserve"> </w:t>
            </w:r>
            <w:r>
              <w:t>be suited for passive parks, but if the municipality requires larger parcels for active recreation purposes, does the developer</w:t>
            </w:r>
            <w:r w:rsidR="1EF9B77E">
              <w:t>’</w:t>
            </w:r>
            <w:r>
              <w:t xml:space="preserve">s smaller fragment qualify? </w:t>
            </w:r>
          </w:p>
        </w:tc>
      </w:tr>
      <w:tr w:rsidR="0066659E" w:rsidRPr="00B30110" w14:paraId="151790E4" w14:textId="77777777" w:rsidTr="325BFFAA">
        <w:tc>
          <w:tcPr>
            <w:tcW w:w="715" w:type="dxa"/>
          </w:tcPr>
          <w:p w14:paraId="1183F140" w14:textId="3D7A13CC" w:rsidR="0066659E" w:rsidRPr="00B30110" w:rsidRDefault="00870FBE" w:rsidP="0066659E">
            <w:r>
              <w:t>12</w:t>
            </w:r>
          </w:p>
        </w:tc>
        <w:tc>
          <w:tcPr>
            <w:tcW w:w="2610" w:type="dxa"/>
          </w:tcPr>
          <w:p w14:paraId="0DCAEEE2" w14:textId="6DBC7FFB" w:rsidR="0066659E" w:rsidRPr="00B30110" w:rsidRDefault="0066659E" w:rsidP="0066659E">
            <w:pPr>
              <w:rPr>
                <w:b/>
                <w:bCs/>
              </w:rPr>
            </w:pPr>
            <w:r w:rsidRPr="00B30110">
              <w:t>ERO-026-0312</w:t>
            </w:r>
          </w:p>
        </w:tc>
        <w:tc>
          <w:tcPr>
            <w:tcW w:w="5906" w:type="dxa"/>
          </w:tcPr>
          <w:p w14:paraId="2A8D4300" w14:textId="77777777" w:rsidR="0066659E" w:rsidRPr="00B30110" w:rsidRDefault="0066659E" w:rsidP="0066659E">
            <w:r w:rsidRPr="00B30110">
              <w:t xml:space="preserve">Supporting Implementation Matters: </w:t>
            </w:r>
          </w:p>
          <w:p w14:paraId="469CC4A3" w14:textId="77777777" w:rsidR="0066659E" w:rsidRPr="00B30110" w:rsidRDefault="0066659E" w:rsidP="0066659E">
            <w:pPr>
              <w:pStyle w:val="ListParagraph"/>
              <w:numPr>
                <w:ilvl w:val="0"/>
                <w:numId w:val="18"/>
              </w:numPr>
            </w:pPr>
            <w:r w:rsidRPr="00B30110">
              <w:t>Documents to Support Identification of Land</w:t>
            </w:r>
          </w:p>
          <w:p w14:paraId="0DF172D0" w14:textId="77777777" w:rsidR="0066659E" w:rsidRPr="00B30110" w:rsidRDefault="0066659E" w:rsidP="0066659E">
            <w:pPr>
              <w:pStyle w:val="ListParagraph"/>
              <w:numPr>
                <w:ilvl w:val="0"/>
                <w:numId w:val="13"/>
              </w:numPr>
            </w:pPr>
            <w:r w:rsidRPr="00B30110">
              <w:t xml:space="preserve">Documentation of specified lands and boundaries, through a Plan of Survey and Topographic Plan. </w:t>
            </w:r>
          </w:p>
          <w:p w14:paraId="3D3B0448" w14:textId="6ECDC097" w:rsidR="0066659E" w:rsidRPr="00B30110" w:rsidRDefault="0066659E" w:rsidP="0066659E">
            <w:pPr>
              <w:pStyle w:val="ListParagraph"/>
              <w:numPr>
                <w:ilvl w:val="0"/>
                <w:numId w:val="13"/>
              </w:numPr>
            </w:pPr>
            <w:r w:rsidRPr="00B30110">
              <w:t xml:space="preserve">Attestation from the owner of the land or an authorized representative, to confirm that the land and/or POPS arrangement is not considered to be ineligible land. </w:t>
            </w:r>
          </w:p>
        </w:tc>
        <w:tc>
          <w:tcPr>
            <w:tcW w:w="3956" w:type="dxa"/>
          </w:tcPr>
          <w:p w14:paraId="1C201021" w14:textId="1D46AF1E" w:rsidR="0066659E" w:rsidRPr="00B30110" w:rsidRDefault="0066659E" w:rsidP="0066659E">
            <w:r w:rsidRPr="00B30110">
              <w:t xml:space="preserve">At which point in the development application process are these materials provided to the municipality? Will the attestation be templated for standardization or on a case-by-case basis from each site or Developer? </w:t>
            </w:r>
          </w:p>
        </w:tc>
      </w:tr>
      <w:tr w:rsidR="0066659E" w:rsidRPr="00B30110" w14:paraId="4400C7E0" w14:textId="77777777" w:rsidTr="325BFFAA">
        <w:tc>
          <w:tcPr>
            <w:tcW w:w="715" w:type="dxa"/>
          </w:tcPr>
          <w:p w14:paraId="1C068CC2" w14:textId="52072A4F" w:rsidR="0066659E" w:rsidRPr="00B30110" w:rsidRDefault="0066659E" w:rsidP="0066659E">
            <w:r>
              <w:t>1</w:t>
            </w:r>
            <w:r w:rsidR="00870FBE">
              <w:t>3</w:t>
            </w:r>
          </w:p>
        </w:tc>
        <w:tc>
          <w:tcPr>
            <w:tcW w:w="2610" w:type="dxa"/>
          </w:tcPr>
          <w:p w14:paraId="4252A2DA" w14:textId="35534256" w:rsidR="0066659E" w:rsidRPr="00B30110" w:rsidRDefault="0066659E" w:rsidP="0066659E">
            <w:pPr>
              <w:rPr>
                <w:b/>
                <w:bCs/>
              </w:rPr>
            </w:pPr>
            <w:r w:rsidRPr="00B30110">
              <w:t>ERO-026-0312</w:t>
            </w:r>
          </w:p>
        </w:tc>
        <w:tc>
          <w:tcPr>
            <w:tcW w:w="5906" w:type="dxa"/>
          </w:tcPr>
          <w:p w14:paraId="43D92462" w14:textId="77777777" w:rsidR="0066659E" w:rsidRPr="00B30110" w:rsidRDefault="0066659E" w:rsidP="0066659E">
            <w:r w:rsidRPr="00B30110">
              <w:t xml:space="preserve">Supporting Implementation Matters: </w:t>
            </w:r>
          </w:p>
          <w:p w14:paraId="2558BD8A" w14:textId="77777777" w:rsidR="0066659E" w:rsidRPr="00B30110" w:rsidRDefault="0066659E" w:rsidP="0066659E">
            <w:pPr>
              <w:pStyle w:val="ListParagraph"/>
              <w:numPr>
                <w:ilvl w:val="0"/>
                <w:numId w:val="18"/>
              </w:numPr>
            </w:pPr>
            <w:r w:rsidRPr="00B30110">
              <w:t>Notice to Owners</w:t>
            </w:r>
          </w:p>
          <w:p w14:paraId="773E5DC2" w14:textId="6FBB4182" w:rsidR="0066659E" w:rsidRPr="00B30110" w:rsidRDefault="0066659E" w:rsidP="002C35EC">
            <w:pPr>
              <w:pStyle w:val="ListParagraph"/>
              <w:numPr>
                <w:ilvl w:val="0"/>
                <w:numId w:val="19"/>
              </w:numPr>
              <w:ind w:left="360"/>
            </w:pPr>
            <w:r w:rsidRPr="00B30110">
              <w:t>The municipality shall provide notice to the owner of the land within 20 days of the municipality making its decision to refuse, by personal service, fax, mail or email.</w:t>
            </w:r>
          </w:p>
        </w:tc>
        <w:tc>
          <w:tcPr>
            <w:tcW w:w="3956" w:type="dxa"/>
          </w:tcPr>
          <w:p w14:paraId="2E9FD024" w14:textId="568075D2" w:rsidR="0066659E" w:rsidRPr="00B30110" w:rsidRDefault="0066659E" w:rsidP="0066659E">
            <w:r w:rsidRPr="00B30110">
              <w:t xml:space="preserve">Provide clarity and certainty if the 20 days is 20 business days or 20 calendar days. </w:t>
            </w:r>
          </w:p>
        </w:tc>
      </w:tr>
      <w:tr w:rsidR="0066659E" w:rsidRPr="00B30110" w14:paraId="0E1CFA12" w14:textId="77777777" w:rsidTr="325BFFAA">
        <w:tc>
          <w:tcPr>
            <w:tcW w:w="715" w:type="dxa"/>
          </w:tcPr>
          <w:p w14:paraId="0EFE898C" w14:textId="27A7409B" w:rsidR="0066659E" w:rsidRPr="00B30110" w:rsidRDefault="0066659E" w:rsidP="0066659E">
            <w:r>
              <w:t>1</w:t>
            </w:r>
            <w:r w:rsidR="00870FBE">
              <w:t>4</w:t>
            </w:r>
          </w:p>
        </w:tc>
        <w:tc>
          <w:tcPr>
            <w:tcW w:w="2610" w:type="dxa"/>
          </w:tcPr>
          <w:p w14:paraId="55EF786E" w14:textId="6DC36693" w:rsidR="0066659E" w:rsidRPr="00B30110" w:rsidRDefault="0066659E" w:rsidP="0066659E">
            <w:pPr>
              <w:rPr>
                <w:b/>
                <w:bCs/>
              </w:rPr>
            </w:pPr>
            <w:r w:rsidRPr="00B30110">
              <w:t>ERO-026-0312</w:t>
            </w:r>
          </w:p>
        </w:tc>
        <w:tc>
          <w:tcPr>
            <w:tcW w:w="5906" w:type="dxa"/>
          </w:tcPr>
          <w:p w14:paraId="2C97FE92" w14:textId="77777777" w:rsidR="0066659E" w:rsidRPr="00B30110" w:rsidRDefault="0066659E" w:rsidP="0066659E">
            <w:r w:rsidRPr="00B30110">
              <w:t xml:space="preserve">Supporting Implementation Matters: </w:t>
            </w:r>
          </w:p>
          <w:p w14:paraId="5E0DFB08" w14:textId="78949D2A" w:rsidR="0066659E" w:rsidRPr="00B30110" w:rsidRDefault="0066659E" w:rsidP="002C35EC">
            <w:pPr>
              <w:pStyle w:val="ListParagraph"/>
              <w:numPr>
                <w:ilvl w:val="0"/>
                <w:numId w:val="24"/>
              </w:numPr>
            </w:pPr>
            <w:r w:rsidRPr="00B30110">
              <w:t>Notice to Owners</w:t>
            </w:r>
          </w:p>
          <w:p w14:paraId="5402B771" w14:textId="77777777" w:rsidR="0066659E" w:rsidRPr="00B30110" w:rsidRDefault="0066659E" w:rsidP="002C35EC">
            <w:pPr>
              <w:pStyle w:val="ListParagraph"/>
              <w:numPr>
                <w:ilvl w:val="0"/>
                <w:numId w:val="19"/>
              </w:numPr>
              <w:ind w:left="360"/>
            </w:pPr>
            <w:r w:rsidRPr="00B30110">
              <w:t xml:space="preserve">Notice shall contain the following information: </w:t>
            </w:r>
          </w:p>
          <w:p w14:paraId="5EEBF31E" w14:textId="695BE6E5" w:rsidR="0066659E" w:rsidRPr="00B30110" w:rsidRDefault="0066659E" w:rsidP="0066659E">
            <w:pPr>
              <w:pStyle w:val="ListParagraph"/>
              <w:numPr>
                <w:ilvl w:val="0"/>
                <w:numId w:val="21"/>
              </w:numPr>
              <w:rPr>
                <w:b/>
                <w:bCs/>
              </w:rPr>
            </w:pPr>
            <w:r w:rsidRPr="00B30110">
              <w:t>A description of the lands to which the refusal applies</w:t>
            </w:r>
          </w:p>
        </w:tc>
        <w:tc>
          <w:tcPr>
            <w:tcW w:w="3956" w:type="dxa"/>
          </w:tcPr>
          <w:p w14:paraId="1CDAB9F7" w14:textId="3F4AD84C" w:rsidR="0066659E" w:rsidRPr="00B30110" w:rsidRDefault="0066659E" w:rsidP="0066659E">
            <w:r w:rsidRPr="00B30110">
              <w:t xml:space="preserve">What criteria or standardization is expected in the description; civic address, PIN, lot-block-plan? </w:t>
            </w:r>
          </w:p>
        </w:tc>
      </w:tr>
      <w:tr w:rsidR="0066659E" w:rsidRPr="00B30110" w14:paraId="1FEA9A29" w14:textId="77777777" w:rsidTr="325BFFAA">
        <w:tc>
          <w:tcPr>
            <w:tcW w:w="715" w:type="dxa"/>
          </w:tcPr>
          <w:p w14:paraId="7E85E7C2" w14:textId="2EC286F6" w:rsidR="0066659E" w:rsidRPr="00B30110" w:rsidRDefault="0066659E" w:rsidP="0066659E">
            <w:r>
              <w:t>1</w:t>
            </w:r>
            <w:r w:rsidR="00870FBE">
              <w:t>5</w:t>
            </w:r>
          </w:p>
        </w:tc>
        <w:tc>
          <w:tcPr>
            <w:tcW w:w="2610" w:type="dxa"/>
          </w:tcPr>
          <w:p w14:paraId="721905FE" w14:textId="2F2C7EBB" w:rsidR="0066659E" w:rsidRPr="00C81CEC" w:rsidRDefault="0066659E" w:rsidP="0066659E">
            <w:r w:rsidRPr="00C81CEC">
              <w:t>ERO-026-0312</w:t>
            </w:r>
          </w:p>
        </w:tc>
        <w:tc>
          <w:tcPr>
            <w:tcW w:w="5906" w:type="dxa"/>
          </w:tcPr>
          <w:p w14:paraId="4712FD5E" w14:textId="77777777" w:rsidR="0066659E" w:rsidRPr="00C81CEC" w:rsidRDefault="0066659E" w:rsidP="0066659E">
            <w:r w:rsidRPr="00C81CEC">
              <w:t>Impact on the Environment</w:t>
            </w:r>
          </w:p>
          <w:p w14:paraId="4507DFAD" w14:textId="4146C3FB" w:rsidR="0066659E" w:rsidRPr="00C81CEC" w:rsidRDefault="0066659E" w:rsidP="002C35EC">
            <w:pPr>
              <w:pStyle w:val="ListParagraph"/>
              <w:numPr>
                <w:ilvl w:val="0"/>
                <w:numId w:val="19"/>
              </w:numPr>
              <w:ind w:left="360"/>
            </w:pPr>
            <w:r w:rsidRPr="00C81CEC">
              <w:t>Further, the Ministry will monitor implementation of these changes to ensure residents continue to have access to high quality local parks.</w:t>
            </w:r>
          </w:p>
        </w:tc>
        <w:tc>
          <w:tcPr>
            <w:tcW w:w="3956" w:type="dxa"/>
          </w:tcPr>
          <w:p w14:paraId="5A1CDA2B" w14:textId="5FC2817C" w:rsidR="0066659E" w:rsidRPr="00C81CEC" w:rsidRDefault="0066659E" w:rsidP="0066659E">
            <w:r w:rsidRPr="00C81CEC">
              <w:t>What does the monitoring plan look like and what are the details? How often will updates and/or reports be p</w:t>
            </w:r>
            <w:r>
              <w:t>ublished</w:t>
            </w:r>
            <w:r w:rsidRPr="00C81CEC">
              <w:t xml:space="preserve">? </w:t>
            </w:r>
          </w:p>
        </w:tc>
      </w:tr>
      <w:tr w:rsidR="0066659E" w:rsidRPr="00B30110" w14:paraId="69D0E193" w14:textId="77777777" w:rsidTr="325BFFAA">
        <w:tc>
          <w:tcPr>
            <w:tcW w:w="715" w:type="dxa"/>
          </w:tcPr>
          <w:p w14:paraId="2AC6DC6A" w14:textId="286DD128" w:rsidR="0066659E" w:rsidRPr="00B30110" w:rsidRDefault="0066659E" w:rsidP="0066659E">
            <w:r>
              <w:t>1</w:t>
            </w:r>
            <w:r w:rsidR="00870FBE">
              <w:t>6</w:t>
            </w:r>
          </w:p>
        </w:tc>
        <w:tc>
          <w:tcPr>
            <w:tcW w:w="2610" w:type="dxa"/>
          </w:tcPr>
          <w:p w14:paraId="2A02A401" w14:textId="43B9DBF0" w:rsidR="0066659E" w:rsidRPr="00B30110" w:rsidRDefault="0066659E" w:rsidP="0066659E">
            <w:pPr>
              <w:rPr>
                <w:b/>
                <w:bCs/>
              </w:rPr>
            </w:pPr>
            <w:r w:rsidRPr="00C81CEC">
              <w:t>ERO-026-0312</w:t>
            </w:r>
          </w:p>
        </w:tc>
        <w:tc>
          <w:tcPr>
            <w:tcW w:w="5906" w:type="dxa"/>
          </w:tcPr>
          <w:p w14:paraId="038E7816" w14:textId="77777777" w:rsidR="0066659E" w:rsidRPr="00D422EA" w:rsidRDefault="0066659E" w:rsidP="0066659E">
            <w:r w:rsidRPr="00D422EA">
              <w:t>Analysis of Regulatory Impact</w:t>
            </w:r>
          </w:p>
          <w:p w14:paraId="425A7781" w14:textId="03188EAE" w:rsidR="0066659E" w:rsidRPr="00981E6C" w:rsidRDefault="0066659E" w:rsidP="002C35EC">
            <w:pPr>
              <w:pStyle w:val="ListParagraph"/>
              <w:numPr>
                <w:ilvl w:val="0"/>
                <w:numId w:val="22"/>
              </w:numPr>
              <w:ind w:left="360"/>
            </w:pPr>
            <w:r w:rsidRPr="00981E6C">
              <w:lastRenderedPageBreak/>
              <w:t xml:space="preserve">The proposed changes are expected to result in additional costs related to municipal staff learning about the changes. </w:t>
            </w:r>
          </w:p>
        </w:tc>
        <w:tc>
          <w:tcPr>
            <w:tcW w:w="3956" w:type="dxa"/>
          </w:tcPr>
          <w:p w14:paraId="23A77219" w14:textId="55550DCD" w:rsidR="0066659E" w:rsidRPr="00981E6C" w:rsidRDefault="0066659E" w:rsidP="0066659E">
            <w:r w:rsidRPr="00981E6C">
              <w:lastRenderedPageBreak/>
              <w:t xml:space="preserve">What magnitude of cost is anticipated? Will municipalities be empowered to recoup these additional costs through </w:t>
            </w:r>
            <w:r w:rsidRPr="00981E6C">
              <w:lastRenderedPageBreak/>
              <w:t xml:space="preserve">fees, provincial subsidy or other financial mechanisms? </w:t>
            </w:r>
            <w:r>
              <w:br/>
            </w:r>
            <w:r>
              <w:br/>
              <w:t>Will there be training from the Province for municipal staff on the changes?</w:t>
            </w:r>
          </w:p>
        </w:tc>
      </w:tr>
      <w:tr w:rsidR="0066659E" w:rsidRPr="00B30110" w14:paraId="083F00F7" w14:textId="77777777" w:rsidTr="325BFFAA">
        <w:tc>
          <w:tcPr>
            <w:tcW w:w="715" w:type="dxa"/>
          </w:tcPr>
          <w:p w14:paraId="60A6AC45" w14:textId="7950CFCF" w:rsidR="0066659E" w:rsidRPr="00981E6C" w:rsidRDefault="0066659E" w:rsidP="0066659E">
            <w:r>
              <w:lastRenderedPageBreak/>
              <w:t>1</w:t>
            </w:r>
            <w:r w:rsidR="00870FBE">
              <w:t>7</w:t>
            </w:r>
          </w:p>
        </w:tc>
        <w:tc>
          <w:tcPr>
            <w:tcW w:w="2610" w:type="dxa"/>
          </w:tcPr>
          <w:p w14:paraId="752BCC4C" w14:textId="325DA5A6" w:rsidR="0066659E" w:rsidRPr="00B30110" w:rsidRDefault="0066659E" w:rsidP="0066659E">
            <w:pPr>
              <w:rPr>
                <w:b/>
                <w:bCs/>
              </w:rPr>
            </w:pPr>
            <w:r w:rsidRPr="00C81CEC">
              <w:t>ERO-026-0312</w:t>
            </w:r>
          </w:p>
        </w:tc>
        <w:tc>
          <w:tcPr>
            <w:tcW w:w="5906" w:type="dxa"/>
          </w:tcPr>
          <w:p w14:paraId="3AFF4AB6" w14:textId="77777777" w:rsidR="0066659E" w:rsidRPr="00D422EA" w:rsidRDefault="0066659E" w:rsidP="0066659E">
            <w:r w:rsidRPr="00D422EA">
              <w:t>Analysis of Regulatory Impact</w:t>
            </w:r>
          </w:p>
          <w:p w14:paraId="2C497BC4" w14:textId="37EB8B49" w:rsidR="0066659E" w:rsidRPr="00981E6C" w:rsidRDefault="0066659E" w:rsidP="002C35EC">
            <w:pPr>
              <w:pStyle w:val="ListParagraph"/>
              <w:numPr>
                <w:ilvl w:val="0"/>
                <w:numId w:val="22"/>
              </w:numPr>
              <w:ind w:left="360"/>
              <w:rPr>
                <w:b/>
                <w:bCs/>
              </w:rPr>
            </w:pPr>
            <w:r w:rsidRPr="00981E6C">
              <w:t>The</w:t>
            </w:r>
            <w:r>
              <w:t xml:space="preserve">re could be additional costs to municipalities related to legal costs associated with entering into agreements with landowners in respect of encumbered lands and POPS arrangements as part of municipal parkland dedication requirements. </w:t>
            </w:r>
          </w:p>
        </w:tc>
        <w:tc>
          <w:tcPr>
            <w:tcW w:w="3956" w:type="dxa"/>
          </w:tcPr>
          <w:p w14:paraId="1A1DE74C" w14:textId="7CE6776C" w:rsidR="0066659E" w:rsidRPr="00B30110" w:rsidRDefault="0066659E" w:rsidP="0066659E">
            <w:pPr>
              <w:rPr>
                <w:b/>
                <w:bCs/>
              </w:rPr>
            </w:pPr>
            <w:r w:rsidRPr="00981E6C">
              <w:t>What magnitude of cost is anticipated? Will municipalities be empowered to recoup these additional costs through fees, provincial subsidy or other financial mechanisms?</w:t>
            </w:r>
          </w:p>
        </w:tc>
      </w:tr>
      <w:tr w:rsidR="002C35EC" w:rsidRPr="00B30110" w14:paraId="1575FDD6" w14:textId="77777777" w:rsidTr="325BFFAA">
        <w:tc>
          <w:tcPr>
            <w:tcW w:w="715" w:type="dxa"/>
          </w:tcPr>
          <w:p w14:paraId="6B5C34D2" w14:textId="4DE39706" w:rsidR="002C35EC" w:rsidRDefault="00870FBE" w:rsidP="002C35EC">
            <w:r>
              <w:t>18</w:t>
            </w:r>
          </w:p>
        </w:tc>
        <w:tc>
          <w:tcPr>
            <w:tcW w:w="2610" w:type="dxa"/>
          </w:tcPr>
          <w:p w14:paraId="4B634E68" w14:textId="7E372A98" w:rsidR="002C35EC" w:rsidRPr="00C81CEC" w:rsidRDefault="002C35EC" w:rsidP="002C35EC">
            <w:r w:rsidRPr="00C81CEC">
              <w:t>ERO-026-0312</w:t>
            </w:r>
          </w:p>
        </w:tc>
        <w:tc>
          <w:tcPr>
            <w:tcW w:w="5906" w:type="dxa"/>
          </w:tcPr>
          <w:p w14:paraId="02EC557C" w14:textId="77777777" w:rsidR="002C35EC" w:rsidRPr="00D422EA" w:rsidRDefault="002C35EC" w:rsidP="002C35EC">
            <w:r w:rsidRPr="00D422EA">
              <w:t>Analysis of Regulatory Impact</w:t>
            </w:r>
          </w:p>
          <w:p w14:paraId="3BC3B7D6" w14:textId="3F982793" w:rsidR="002C35EC" w:rsidRPr="002C35EC" w:rsidRDefault="002C35EC" w:rsidP="002C35EC">
            <w:pPr>
              <w:pStyle w:val="ListParagraph"/>
              <w:numPr>
                <w:ilvl w:val="0"/>
                <w:numId w:val="22"/>
              </w:numPr>
              <w:ind w:left="360"/>
            </w:pPr>
            <w:r w:rsidRPr="002C35EC">
              <w:t xml:space="preserve">There could be additional costs to municipalities related to legal costs associated with entering into agreements with landowners in respect of encumbered lands and POPS arrangements as part of municipal parkland dedication requirements. </w:t>
            </w:r>
          </w:p>
        </w:tc>
        <w:tc>
          <w:tcPr>
            <w:tcW w:w="3956" w:type="dxa"/>
          </w:tcPr>
          <w:p w14:paraId="5E704E3A" w14:textId="5EBA92B8" w:rsidR="002C35EC" w:rsidRPr="00981E6C" w:rsidRDefault="002C35EC" w:rsidP="002C35EC">
            <w:r>
              <w:t xml:space="preserve">Encumbered lands and POPS will have a financial and operational impact on the municipality during negotiations, agreement drafting and ongoing management to ensure compliance. The municipality’s insurance and litigation exposure may also increase. From a realty and risk management perspective, easement or fee simple acquisition is preferred over agreement-based approaches. </w:t>
            </w:r>
          </w:p>
        </w:tc>
      </w:tr>
      <w:tr w:rsidR="002C35EC" w:rsidRPr="00B30110" w14:paraId="04FE6CBC" w14:textId="77777777" w:rsidTr="325BFFAA">
        <w:tc>
          <w:tcPr>
            <w:tcW w:w="715" w:type="dxa"/>
          </w:tcPr>
          <w:p w14:paraId="22BABC85" w14:textId="0BCD8977" w:rsidR="002C35EC" w:rsidRPr="002C35EC" w:rsidRDefault="00870FBE" w:rsidP="002C35EC">
            <w:pPr>
              <w:rPr>
                <w:highlight w:val="yellow"/>
              </w:rPr>
            </w:pPr>
            <w:r w:rsidRPr="00870FBE">
              <w:t>19</w:t>
            </w:r>
          </w:p>
        </w:tc>
        <w:tc>
          <w:tcPr>
            <w:tcW w:w="2610" w:type="dxa"/>
          </w:tcPr>
          <w:p w14:paraId="70DEFB34" w14:textId="4E66A020" w:rsidR="002C35EC" w:rsidRPr="00C81CEC" w:rsidRDefault="002C35EC" w:rsidP="002C35EC">
            <w:r w:rsidRPr="00C81CEC">
              <w:t>ERO-026-0312</w:t>
            </w:r>
          </w:p>
        </w:tc>
        <w:tc>
          <w:tcPr>
            <w:tcW w:w="5906" w:type="dxa"/>
          </w:tcPr>
          <w:p w14:paraId="6D09CE2F" w14:textId="77777777" w:rsidR="002C35EC" w:rsidRPr="00D422EA" w:rsidRDefault="002C35EC" w:rsidP="002C35EC">
            <w:r w:rsidRPr="00D422EA">
              <w:t>Analysis of Regulatory Impact</w:t>
            </w:r>
          </w:p>
          <w:p w14:paraId="3557DF45" w14:textId="2C37E0FA" w:rsidR="002C35EC" w:rsidRPr="002C35EC" w:rsidRDefault="002C35EC" w:rsidP="002C35EC">
            <w:pPr>
              <w:pStyle w:val="ListParagraph"/>
              <w:numPr>
                <w:ilvl w:val="0"/>
                <w:numId w:val="22"/>
              </w:numPr>
              <w:ind w:left="360"/>
            </w:pPr>
            <w:r w:rsidRPr="002C35EC">
              <w:t>There could be additional costs to municipalities related to legal costs associated with entering into agreements with landowners in respect of encumbered lands and POPS arrangements as part of municipal parkland dedication requirements.</w:t>
            </w:r>
          </w:p>
        </w:tc>
        <w:tc>
          <w:tcPr>
            <w:tcW w:w="3956" w:type="dxa"/>
          </w:tcPr>
          <w:p w14:paraId="071D2AC5" w14:textId="7638E103" w:rsidR="002C35EC" w:rsidRPr="00981E6C" w:rsidRDefault="002C35EC" w:rsidP="002C35EC">
            <w:r>
              <w:t xml:space="preserve">Allowing parks on encumbered lands will also impact the municipalities </w:t>
            </w:r>
            <w:r w:rsidR="00AB26EB">
              <w:t xml:space="preserve">operating budget from a maintenance standpoint. Encumbrances may require repair and ongoing maintenance which could disrupt park functionality or temporarily take parks out of service. This may require additional municipal resources to address infrastructure concerns and coordinate with the underlying property owner. Fee simple </w:t>
            </w:r>
            <w:r w:rsidR="00AB26EB">
              <w:lastRenderedPageBreak/>
              <w:t xml:space="preserve">parkland should be prioritized wherever possible. </w:t>
            </w:r>
          </w:p>
        </w:tc>
      </w:tr>
      <w:tr w:rsidR="002C35EC" w:rsidRPr="00B30110" w14:paraId="7EB20A93" w14:textId="77777777" w:rsidTr="325BFFAA">
        <w:tc>
          <w:tcPr>
            <w:tcW w:w="715" w:type="dxa"/>
          </w:tcPr>
          <w:p w14:paraId="6B8766BB" w14:textId="28D5DF46" w:rsidR="002C35EC" w:rsidRPr="00981E6C" w:rsidRDefault="00870FBE" w:rsidP="002C35EC">
            <w:r>
              <w:lastRenderedPageBreak/>
              <w:t>20</w:t>
            </w:r>
          </w:p>
        </w:tc>
        <w:tc>
          <w:tcPr>
            <w:tcW w:w="2610" w:type="dxa"/>
          </w:tcPr>
          <w:p w14:paraId="447CF3C4" w14:textId="3B5DAA0F" w:rsidR="002C35EC" w:rsidRPr="00C81CEC" w:rsidRDefault="002C35EC" w:rsidP="002C35EC">
            <w:r w:rsidRPr="00C81CEC">
              <w:t>ERO-026-0312</w:t>
            </w:r>
          </w:p>
        </w:tc>
        <w:tc>
          <w:tcPr>
            <w:tcW w:w="5906" w:type="dxa"/>
          </w:tcPr>
          <w:p w14:paraId="62EDA500" w14:textId="77777777" w:rsidR="002C35EC" w:rsidRPr="00D422EA" w:rsidRDefault="002C35EC" w:rsidP="002C35EC">
            <w:r w:rsidRPr="00D422EA">
              <w:t>Analysis of Regulatory Impact</w:t>
            </w:r>
          </w:p>
          <w:p w14:paraId="08A08C56" w14:textId="117B5456" w:rsidR="002C35EC" w:rsidRPr="004303BC" w:rsidRDefault="002C35EC" w:rsidP="002C35EC">
            <w:pPr>
              <w:pStyle w:val="ListParagraph"/>
              <w:numPr>
                <w:ilvl w:val="0"/>
                <w:numId w:val="22"/>
              </w:numPr>
              <w:ind w:left="360"/>
            </w:pPr>
            <w:r>
              <w:t xml:space="preserve">Overall, these proposed regulatory changes, along with the proposed legislative changes, could increase direct compliance cost and administrative time across municipalities that impose parkland dedication requirements under section 42 of the Planning Act on a development or redevelopment. </w:t>
            </w:r>
          </w:p>
        </w:tc>
        <w:tc>
          <w:tcPr>
            <w:tcW w:w="3956" w:type="dxa"/>
          </w:tcPr>
          <w:p w14:paraId="12346276" w14:textId="4A6DCA34" w:rsidR="002C35EC" w:rsidRPr="00981E6C" w:rsidRDefault="002C35EC" w:rsidP="002C35EC">
            <w:r>
              <w:t xml:space="preserve">What about other applicable sections of the Planning Act such as </w:t>
            </w:r>
            <w:r w:rsidRPr="00B30110">
              <w:t>Section 51.1 or 53.</w:t>
            </w:r>
          </w:p>
        </w:tc>
      </w:tr>
      <w:tr w:rsidR="002C35EC" w:rsidRPr="00B30110" w14:paraId="270C08DE" w14:textId="77777777" w:rsidTr="325BFFAA">
        <w:tc>
          <w:tcPr>
            <w:tcW w:w="715" w:type="dxa"/>
          </w:tcPr>
          <w:p w14:paraId="40F06E68" w14:textId="086E8F6E" w:rsidR="002C35EC" w:rsidRDefault="00870FBE" w:rsidP="002C35EC">
            <w:r>
              <w:t>21</w:t>
            </w:r>
          </w:p>
        </w:tc>
        <w:tc>
          <w:tcPr>
            <w:tcW w:w="2610" w:type="dxa"/>
          </w:tcPr>
          <w:p w14:paraId="62C874D4" w14:textId="018414F6" w:rsidR="002C35EC" w:rsidRPr="00C81CEC" w:rsidRDefault="002C35EC" w:rsidP="002C35EC">
            <w:r w:rsidRPr="00B30110">
              <w:t>General</w:t>
            </w:r>
            <w:r>
              <w:t xml:space="preserve"> Comment</w:t>
            </w:r>
          </w:p>
        </w:tc>
        <w:tc>
          <w:tcPr>
            <w:tcW w:w="5906" w:type="dxa"/>
          </w:tcPr>
          <w:p w14:paraId="3F36DC2E" w14:textId="77777777" w:rsidR="002C35EC" w:rsidRPr="00D422EA" w:rsidRDefault="002C35EC" w:rsidP="002C35EC"/>
        </w:tc>
        <w:tc>
          <w:tcPr>
            <w:tcW w:w="3956" w:type="dxa"/>
          </w:tcPr>
          <w:p w14:paraId="36A9B185" w14:textId="13B7C650" w:rsidR="002C35EC" w:rsidRDefault="002C35EC" w:rsidP="002C35EC">
            <w:r>
              <w:rPr>
                <w:lang w:val="en-US"/>
              </w:rPr>
              <w:t>For encumbered lands, t</w:t>
            </w:r>
            <w:r w:rsidRPr="00B30110">
              <w:rPr>
                <w:lang w:val="en-US"/>
              </w:rPr>
              <w:t>here should be a percentage of what should be accepted as parkland based on set criteria. Highly encumbered lands should be valued less in comparison to lesser or non-encumbered lands. This may give developers incentive to provide more suitable land if they are getting more credit towards parkland.</w:t>
            </w:r>
          </w:p>
        </w:tc>
      </w:tr>
      <w:tr w:rsidR="002C35EC" w:rsidRPr="00B30110" w14:paraId="217D6B3E" w14:textId="77777777" w:rsidTr="325BFFAA">
        <w:tc>
          <w:tcPr>
            <w:tcW w:w="715" w:type="dxa"/>
          </w:tcPr>
          <w:p w14:paraId="0AC20E62" w14:textId="1CD784FD" w:rsidR="002C35EC" w:rsidRDefault="00870FBE" w:rsidP="002C35EC">
            <w:r>
              <w:t>22</w:t>
            </w:r>
          </w:p>
        </w:tc>
        <w:tc>
          <w:tcPr>
            <w:tcW w:w="2610" w:type="dxa"/>
          </w:tcPr>
          <w:p w14:paraId="51AE7FD2" w14:textId="11D953E3" w:rsidR="002C35EC" w:rsidRPr="00C81CEC" w:rsidRDefault="002C35EC" w:rsidP="002C35EC">
            <w:r w:rsidRPr="00B30110">
              <w:t>General</w:t>
            </w:r>
            <w:r>
              <w:t xml:space="preserve"> Comment</w:t>
            </w:r>
          </w:p>
        </w:tc>
        <w:tc>
          <w:tcPr>
            <w:tcW w:w="5906" w:type="dxa"/>
          </w:tcPr>
          <w:p w14:paraId="2E6A7A4D" w14:textId="77777777" w:rsidR="002C35EC" w:rsidRPr="00D422EA" w:rsidRDefault="002C35EC" w:rsidP="002C35EC"/>
        </w:tc>
        <w:tc>
          <w:tcPr>
            <w:tcW w:w="3956" w:type="dxa"/>
          </w:tcPr>
          <w:p w14:paraId="45E29BBD" w14:textId="2011175C" w:rsidR="002C35EC" w:rsidRDefault="002C35EC" w:rsidP="002C35EC">
            <w:r w:rsidRPr="00F50092">
              <w:rPr>
                <w:lang w:val="en-US"/>
              </w:rPr>
              <w:t xml:space="preserve">Municipalities are striving to build “complete communities” and if </w:t>
            </w:r>
            <w:r>
              <w:rPr>
                <w:lang w:val="en-US"/>
              </w:rPr>
              <w:t xml:space="preserve">by way of these changes </w:t>
            </w:r>
            <w:r w:rsidRPr="00F50092">
              <w:rPr>
                <w:lang w:val="en-US"/>
              </w:rPr>
              <w:t>the development process is amended to encourage POPS (hard tree-less urban plazas) as substitutes for parkland, the quality</w:t>
            </w:r>
            <w:r>
              <w:rPr>
                <w:lang w:val="en-US"/>
              </w:rPr>
              <w:t xml:space="preserve"> of life for resident</w:t>
            </w:r>
            <w:r w:rsidRPr="00F50092">
              <w:rPr>
                <w:lang w:val="en-US"/>
              </w:rPr>
              <w:t xml:space="preserve"> a</w:t>
            </w:r>
            <w:r>
              <w:rPr>
                <w:lang w:val="en-US"/>
              </w:rPr>
              <w:t>long</w:t>
            </w:r>
            <w:r w:rsidRPr="00F50092">
              <w:rPr>
                <w:lang w:val="en-US"/>
              </w:rPr>
              <w:t xml:space="preserve"> </w:t>
            </w:r>
            <w:r>
              <w:rPr>
                <w:lang w:val="en-US"/>
              </w:rPr>
              <w:t xml:space="preserve">with the </w:t>
            </w:r>
            <w:r w:rsidRPr="00F50092">
              <w:rPr>
                <w:lang w:val="en-US"/>
              </w:rPr>
              <w:t xml:space="preserve">overall health </w:t>
            </w:r>
            <w:r>
              <w:rPr>
                <w:lang w:val="en-US"/>
              </w:rPr>
              <w:t xml:space="preserve">and sustainability </w:t>
            </w:r>
            <w:r w:rsidRPr="00F50092">
              <w:rPr>
                <w:lang w:val="en-US"/>
              </w:rPr>
              <w:t>of cit</w:t>
            </w:r>
            <w:r w:rsidR="00B24353">
              <w:rPr>
                <w:lang w:val="en-US"/>
              </w:rPr>
              <w:t>i</w:t>
            </w:r>
            <w:r w:rsidRPr="00F50092">
              <w:rPr>
                <w:lang w:val="en-US"/>
              </w:rPr>
              <w:t>es will be compromised.</w:t>
            </w:r>
          </w:p>
        </w:tc>
      </w:tr>
      <w:tr w:rsidR="002C35EC" w:rsidRPr="00B30110" w14:paraId="5B4D91FE" w14:textId="77777777" w:rsidTr="325BFFAA">
        <w:tc>
          <w:tcPr>
            <w:tcW w:w="715" w:type="dxa"/>
          </w:tcPr>
          <w:p w14:paraId="178D73AE" w14:textId="42F9D585" w:rsidR="002C35EC" w:rsidRDefault="00870FBE" w:rsidP="002C35EC">
            <w:r>
              <w:t>23</w:t>
            </w:r>
          </w:p>
        </w:tc>
        <w:tc>
          <w:tcPr>
            <w:tcW w:w="2610" w:type="dxa"/>
          </w:tcPr>
          <w:p w14:paraId="289BA01F" w14:textId="3944A9BD" w:rsidR="002C35EC" w:rsidRPr="00C81CEC" w:rsidRDefault="002C35EC" w:rsidP="002C35EC">
            <w:r w:rsidRPr="00B30110">
              <w:t>General</w:t>
            </w:r>
            <w:r>
              <w:t xml:space="preserve"> Comment</w:t>
            </w:r>
          </w:p>
        </w:tc>
        <w:tc>
          <w:tcPr>
            <w:tcW w:w="5906" w:type="dxa"/>
          </w:tcPr>
          <w:p w14:paraId="755A8ACB" w14:textId="77777777" w:rsidR="002C35EC" w:rsidRPr="00D422EA" w:rsidRDefault="002C35EC" w:rsidP="002C35EC"/>
        </w:tc>
        <w:tc>
          <w:tcPr>
            <w:tcW w:w="3956" w:type="dxa"/>
          </w:tcPr>
          <w:p w14:paraId="2D8B7D2A" w14:textId="7DBE5F7A" w:rsidR="002C35EC" w:rsidRDefault="002C35EC" w:rsidP="002C35EC">
            <w:r>
              <w:t xml:space="preserve">Due to the increased cost of constructing and maintain parks on encumbered parcels, municipalities maybe </w:t>
            </w:r>
            <w:r w:rsidRPr="00B30110">
              <w:t>no longer</w:t>
            </w:r>
            <w:r>
              <w:t xml:space="preserve"> able to</w:t>
            </w:r>
            <w:r w:rsidRPr="00B30110">
              <w:t xml:space="preserve"> afford </w:t>
            </w:r>
            <w:r>
              <w:t>purchase of new</w:t>
            </w:r>
            <w:r w:rsidRPr="00B30110">
              <w:t xml:space="preserve"> parkland and struggle </w:t>
            </w:r>
            <w:r w:rsidRPr="00B30110">
              <w:lastRenderedPageBreak/>
              <w:t>to keep up with renewal of existing investments in park infrastructure.</w:t>
            </w:r>
          </w:p>
        </w:tc>
      </w:tr>
      <w:tr w:rsidR="002C35EC" w:rsidRPr="00B30110" w14:paraId="451A817F" w14:textId="77777777" w:rsidTr="325BFFAA">
        <w:tc>
          <w:tcPr>
            <w:tcW w:w="715" w:type="dxa"/>
          </w:tcPr>
          <w:p w14:paraId="7B467548" w14:textId="480DDB3A" w:rsidR="002C35EC" w:rsidRDefault="00870FBE" w:rsidP="002C35EC">
            <w:r>
              <w:lastRenderedPageBreak/>
              <w:t>24</w:t>
            </w:r>
          </w:p>
        </w:tc>
        <w:tc>
          <w:tcPr>
            <w:tcW w:w="2610" w:type="dxa"/>
          </w:tcPr>
          <w:p w14:paraId="590E40B8" w14:textId="43CEDF9F" w:rsidR="002C35EC" w:rsidRPr="00C81CEC" w:rsidRDefault="002C35EC" w:rsidP="002C35EC">
            <w:r>
              <w:t>General Comment</w:t>
            </w:r>
          </w:p>
        </w:tc>
        <w:tc>
          <w:tcPr>
            <w:tcW w:w="5906" w:type="dxa"/>
          </w:tcPr>
          <w:p w14:paraId="12D5AC89" w14:textId="77777777" w:rsidR="002C35EC" w:rsidRPr="00D422EA" w:rsidRDefault="002C35EC" w:rsidP="002C35EC"/>
        </w:tc>
        <w:tc>
          <w:tcPr>
            <w:tcW w:w="3956" w:type="dxa"/>
          </w:tcPr>
          <w:p w14:paraId="2A48C782" w14:textId="5B7B45C8" w:rsidR="002C35EC" w:rsidRDefault="002C35EC" w:rsidP="002C35EC">
            <w:r w:rsidRPr="00B30110">
              <w:t>With POPS</w:t>
            </w:r>
            <w:r>
              <w:t xml:space="preserve"> and encumbered lands</w:t>
            </w:r>
            <w:r w:rsidRPr="00B30110">
              <w:t xml:space="preserve">, comprehensive </w:t>
            </w:r>
            <w:r>
              <w:t>l</w:t>
            </w:r>
            <w:r w:rsidRPr="00B30110">
              <w:t xml:space="preserve">egal </w:t>
            </w:r>
            <w:r>
              <w:t>a</w:t>
            </w:r>
            <w:r w:rsidRPr="00B30110">
              <w:t>greements and schedules are needed referencing expectation around access, temporary closures, capital responsibility and ownership</w:t>
            </w:r>
            <w:r>
              <w:t xml:space="preserve">. </w:t>
            </w:r>
          </w:p>
        </w:tc>
      </w:tr>
      <w:tr w:rsidR="002C35EC" w:rsidRPr="00B30110" w14:paraId="51F68A61" w14:textId="77777777" w:rsidTr="325BFFAA">
        <w:tc>
          <w:tcPr>
            <w:tcW w:w="715" w:type="dxa"/>
          </w:tcPr>
          <w:p w14:paraId="1E21FEFE" w14:textId="729F56EB" w:rsidR="002C35EC" w:rsidRDefault="002C35EC" w:rsidP="002C35EC">
            <w:r>
              <w:t>2</w:t>
            </w:r>
            <w:r w:rsidR="00870FBE">
              <w:t>5</w:t>
            </w:r>
          </w:p>
        </w:tc>
        <w:tc>
          <w:tcPr>
            <w:tcW w:w="2610" w:type="dxa"/>
          </w:tcPr>
          <w:p w14:paraId="19401AC3" w14:textId="41654D22" w:rsidR="002C35EC" w:rsidRPr="00C81CEC" w:rsidRDefault="002C35EC" w:rsidP="002C35EC">
            <w:r>
              <w:t>General Comment</w:t>
            </w:r>
          </w:p>
        </w:tc>
        <w:tc>
          <w:tcPr>
            <w:tcW w:w="5906" w:type="dxa"/>
          </w:tcPr>
          <w:p w14:paraId="4B4F5F11" w14:textId="77777777" w:rsidR="002C35EC" w:rsidRPr="00D422EA" w:rsidRDefault="002C35EC" w:rsidP="002C35EC"/>
        </w:tc>
        <w:tc>
          <w:tcPr>
            <w:tcW w:w="3956" w:type="dxa"/>
          </w:tcPr>
          <w:p w14:paraId="3EFED9CE" w14:textId="2EF05399" w:rsidR="002C35EC" w:rsidRDefault="002C35EC" w:rsidP="002C35EC">
            <w:r>
              <w:rPr>
                <w:lang w:val="en-US"/>
              </w:rPr>
              <w:t>A</w:t>
            </w:r>
            <w:r w:rsidRPr="00F50092">
              <w:rPr>
                <w:lang w:val="en-US"/>
              </w:rPr>
              <w:t>lternative solutions to POPS</w:t>
            </w:r>
            <w:r>
              <w:rPr>
                <w:lang w:val="en-US"/>
              </w:rPr>
              <w:t xml:space="preserve"> and encumbered lands</w:t>
            </w:r>
            <w:r w:rsidRPr="00F50092">
              <w:rPr>
                <w:lang w:val="en-US"/>
              </w:rPr>
              <w:t xml:space="preserve"> include offsite dedication, land exchange or municipal</w:t>
            </w:r>
            <w:r>
              <w:rPr>
                <w:lang w:val="en-US"/>
              </w:rPr>
              <w:t xml:space="preserve"> land</w:t>
            </w:r>
            <w:r w:rsidRPr="00F50092">
              <w:rPr>
                <w:lang w:val="en-US"/>
              </w:rPr>
              <w:t xml:space="preserve"> purchase lands park use.</w:t>
            </w:r>
          </w:p>
        </w:tc>
      </w:tr>
      <w:tr w:rsidR="002C35EC" w:rsidRPr="00B30110" w14:paraId="461CD563" w14:textId="77777777" w:rsidTr="325BFFAA">
        <w:tc>
          <w:tcPr>
            <w:tcW w:w="715" w:type="dxa"/>
          </w:tcPr>
          <w:p w14:paraId="03F1142D" w14:textId="6CE5771E" w:rsidR="002C35EC" w:rsidRDefault="002C35EC" w:rsidP="002C35EC">
            <w:r>
              <w:t>2</w:t>
            </w:r>
            <w:r w:rsidR="00870FBE">
              <w:t>6</w:t>
            </w:r>
          </w:p>
        </w:tc>
        <w:tc>
          <w:tcPr>
            <w:tcW w:w="2610" w:type="dxa"/>
          </w:tcPr>
          <w:p w14:paraId="529FB78C" w14:textId="7C4DC356" w:rsidR="002C35EC" w:rsidRPr="00C81CEC" w:rsidRDefault="002C35EC" w:rsidP="002C35EC">
            <w:r>
              <w:t>General Comment</w:t>
            </w:r>
          </w:p>
        </w:tc>
        <w:tc>
          <w:tcPr>
            <w:tcW w:w="5906" w:type="dxa"/>
          </w:tcPr>
          <w:p w14:paraId="54514E59" w14:textId="77777777" w:rsidR="002C35EC" w:rsidRPr="00D422EA" w:rsidRDefault="002C35EC" w:rsidP="002C35EC"/>
        </w:tc>
        <w:tc>
          <w:tcPr>
            <w:tcW w:w="3956" w:type="dxa"/>
          </w:tcPr>
          <w:p w14:paraId="4E379A07" w14:textId="50025668" w:rsidR="002C35EC" w:rsidRDefault="002C35EC" w:rsidP="002C35EC">
            <w:r>
              <w:t xml:space="preserve">With developer-identified lands, what mechanism would a municipality have to </w:t>
            </w:r>
            <w:r w:rsidR="00B24353" w:rsidRPr="00F50092">
              <w:rPr>
                <w:lang w:val="en-US"/>
              </w:rPr>
              <w:t>collabor</w:t>
            </w:r>
            <w:r w:rsidR="00B24353">
              <w:t>ate</w:t>
            </w:r>
            <w:r>
              <w:rPr>
                <w:lang w:val="en-US"/>
              </w:rPr>
              <w:t xml:space="preserve"> and deliver unified parcels; for example, in the past municipalities have had </w:t>
            </w:r>
            <w:r w:rsidRPr="00F50092">
              <w:rPr>
                <w:lang w:val="en-US"/>
              </w:rPr>
              <w:t xml:space="preserve">two different </w:t>
            </w:r>
            <w:r w:rsidRPr="00B30110">
              <w:rPr>
                <w:lang w:val="en-US"/>
              </w:rPr>
              <w:t>landowners</w:t>
            </w:r>
            <w:r w:rsidRPr="00F50092">
              <w:rPr>
                <w:lang w:val="en-US"/>
              </w:rPr>
              <w:t xml:space="preserve"> each propose a new public park beside each other to create one larger </w:t>
            </w:r>
            <w:r>
              <w:rPr>
                <w:lang w:val="en-US"/>
              </w:rPr>
              <w:t xml:space="preserve">unified </w:t>
            </w:r>
            <w:r w:rsidRPr="00F50092">
              <w:rPr>
                <w:lang w:val="en-US"/>
              </w:rPr>
              <w:t>city park</w:t>
            </w:r>
            <w:r w:rsidRPr="00B30110">
              <w:rPr>
                <w:lang w:val="en-US"/>
              </w:rPr>
              <w:t>.</w:t>
            </w:r>
          </w:p>
        </w:tc>
      </w:tr>
      <w:tr w:rsidR="002C35EC" w:rsidRPr="00B30110" w14:paraId="580C3983" w14:textId="77777777" w:rsidTr="325BFFAA">
        <w:tc>
          <w:tcPr>
            <w:tcW w:w="715" w:type="dxa"/>
          </w:tcPr>
          <w:p w14:paraId="1999CB7A" w14:textId="36E19C18" w:rsidR="002C35EC" w:rsidRDefault="002C35EC" w:rsidP="002C35EC">
            <w:r>
              <w:t>2</w:t>
            </w:r>
            <w:r w:rsidR="00870FBE">
              <w:t>7</w:t>
            </w:r>
          </w:p>
        </w:tc>
        <w:tc>
          <w:tcPr>
            <w:tcW w:w="2610" w:type="dxa"/>
          </w:tcPr>
          <w:p w14:paraId="3C1FC3A3" w14:textId="40FF2AD5" w:rsidR="002C35EC" w:rsidRPr="00C81CEC" w:rsidRDefault="002C35EC" w:rsidP="002C35EC">
            <w:r>
              <w:t>General Comment</w:t>
            </w:r>
          </w:p>
        </w:tc>
        <w:tc>
          <w:tcPr>
            <w:tcW w:w="5906" w:type="dxa"/>
          </w:tcPr>
          <w:p w14:paraId="29A12686" w14:textId="77777777" w:rsidR="002C35EC" w:rsidRPr="00D422EA" w:rsidRDefault="002C35EC" w:rsidP="002C35EC"/>
        </w:tc>
        <w:tc>
          <w:tcPr>
            <w:tcW w:w="3956" w:type="dxa"/>
          </w:tcPr>
          <w:p w14:paraId="181AFDB4" w14:textId="77777777" w:rsidR="002C35EC" w:rsidRPr="00C01B34" w:rsidRDefault="002C35EC" w:rsidP="002C35EC">
            <w:pPr>
              <w:rPr>
                <w:lang w:val="en-US"/>
              </w:rPr>
            </w:pPr>
            <w:r w:rsidRPr="00C01B34">
              <w:rPr>
                <w:lang w:val="en-US"/>
              </w:rPr>
              <w:t>Cash in lieu of parkland should be prioritized over POPS where:</w:t>
            </w:r>
          </w:p>
          <w:p w14:paraId="5E83B170" w14:textId="79C833AC" w:rsidR="002C35EC" w:rsidRPr="00C01B34" w:rsidRDefault="002C35EC" w:rsidP="002C35EC">
            <w:pPr>
              <w:numPr>
                <w:ilvl w:val="0"/>
                <w:numId w:val="6"/>
              </w:numPr>
              <w:rPr>
                <w:lang w:val="en-US"/>
              </w:rPr>
            </w:pPr>
            <w:r w:rsidRPr="00C01B34">
              <w:rPr>
                <w:lang w:val="en-US"/>
              </w:rPr>
              <w:t xml:space="preserve">there is no viable option for </w:t>
            </w:r>
            <w:r>
              <w:rPr>
                <w:lang w:val="en-US"/>
              </w:rPr>
              <w:t xml:space="preserve">meaningful </w:t>
            </w:r>
            <w:r w:rsidRPr="00C01B34">
              <w:rPr>
                <w:lang w:val="en-US"/>
              </w:rPr>
              <w:t xml:space="preserve">parkland </w:t>
            </w:r>
            <w:r>
              <w:rPr>
                <w:lang w:val="en-US"/>
              </w:rPr>
              <w:t xml:space="preserve">dedication </w:t>
            </w:r>
            <w:r w:rsidRPr="00C01B34">
              <w:rPr>
                <w:lang w:val="en-US"/>
              </w:rPr>
              <w:t>on the property</w:t>
            </w:r>
          </w:p>
          <w:p w14:paraId="264FA225" w14:textId="727AE0FD" w:rsidR="002C35EC" w:rsidRPr="00911779" w:rsidRDefault="002C35EC" w:rsidP="002C35EC">
            <w:pPr>
              <w:numPr>
                <w:ilvl w:val="0"/>
                <w:numId w:val="6"/>
              </w:numPr>
              <w:rPr>
                <w:lang w:val="en-US"/>
              </w:rPr>
            </w:pPr>
            <w:r w:rsidRPr="00C01B34">
              <w:rPr>
                <w:lang w:val="en-US"/>
              </w:rPr>
              <w:t>there is adequate parkland supply in the area</w:t>
            </w:r>
          </w:p>
        </w:tc>
      </w:tr>
      <w:tr w:rsidR="002C35EC" w:rsidRPr="00B30110" w14:paraId="270DBD35" w14:textId="77777777" w:rsidTr="325BFFAA">
        <w:tc>
          <w:tcPr>
            <w:tcW w:w="715" w:type="dxa"/>
          </w:tcPr>
          <w:p w14:paraId="635C2ABC" w14:textId="69DBE233" w:rsidR="002C35EC" w:rsidRDefault="002C35EC" w:rsidP="002C35EC">
            <w:r>
              <w:t>2</w:t>
            </w:r>
            <w:r w:rsidR="00870FBE">
              <w:t>8</w:t>
            </w:r>
          </w:p>
        </w:tc>
        <w:tc>
          <w:tcPr>
            <w:tcW w:w="2610" w:type="dxa"/>
          </w:tcPr>
          <w:p w14:paraId="61E05446" w14:textId="54029EE4" w:rsidR="002C35EC" w:rsidRPr="00C81CEC" w:rsidRDefault="002C35EC" w:rsidP="002C35EC">
            <w:r>
              <w:t>General Comment</w:t>
            </w:r>
          </w:p>
        </w:tc>
        <w:tc>
          <w:tcPr>
            <w:tcW w:w="5906" w:type="dxa"/>
          </w:tcPr>
          <w:p w14:paraId="760DE36F" w14:textId="77777777" w:rsidR="002C35EC" w:rsidRPr="00D422EA" w:rsidRDefault="002C35EC" w:rsidP="002C35EC"/>
        </w:tc>
        <w:tc>
          <w:tcPr>
            <w:tcW w:w="3956" w:type="dxa"/>
          </w:tcPr>
          <w:p w14:paraId="0DDB09A5" w14:textId="7FBF6CCD" w:rsidR="002C35EC" w:rsidRDefault="002C35EC" w:rsidP="002C35EC">
            <w:r>
              <w:t xml:space="preserve">Stormwater ponds and stormwater infrastructure should be explicitly added to the list of ineligible lands. </w:t>
            </w:r>
          </w:p>
        </w:tc>
      </w:tr>
    </w:tbl>
    <w:p w14:paraId="5ED79F1E" w14:textId="77777777" w:rsidR="008416DA" w:rsidRDefault="008416DA"/>
    <w:sectPr w:rsidR="008416DA" w:rsidSect="003E66A1">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2573" w14:textId="77777777" w:rsidR="00085287" w:rsidRDefault="00085287" w:rsidP="008416DA">
      <w:pPr>
        <w:spacing w:after="0"/>
      </w:pPr>
      <w:r>
        <w:separator/>
      </w:r>
    </w:p>
  </w:endnote>
  <w:endnote w:type="continuationSeparator" w:id="0">
    <w:p w14:paraId="3C4E1E79" w14:textId="77777777" w:rsidR="00085287" w:rsidRDefault="00085287" w:rsidP="008416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7283" w14:textId="2A9E7479" w:rsidR="001F6B84" w:rsidRPr="001F6B84" w:rsidRDefault="001F6B84" w:rsidP="001F6B84">
    <w:pPr>
      <w:pStyle w:val="Footer"/>
      <w:jc w:val="center"/>
      <w:rPr>
        <w:b/>
        <w:bCs/>
      </w:rPr>
    </w:pPr>
    <w:r>
      <w:t xml:space="preserve">426 Brant Street </w:t>
    </w:r>
    <w:r w:rsidRPr="001F6B84">
      <w:rPr>
        <w:b/>
        <w:bCs/>
      </w:rPr>
      <w:t>•</w:t>
    </w:r>
    <w:r>
      <w:rPr>
        <w:b/>
        <w:bCs/>
      </w:rPr>
      <w:t xml:space="preserve"> </w:t>
    </w:r>
    <w:r>
      <w:t xml:space="preserve">P.O. Box 5013 </w:t>
    </w:r>
    <w:r w:rsidRPr="001F6B84">
      <w:rPr>
        <w:b/>
        <w:bCs/>
      </w:rPr>
      <w:t>•</w:t>
    </w:r>
    <w:r>
      <w:t xml:space="preserve"> Burlington, ON </w:t>
    </w:r>
    <w:r w:rsidRPr="001F6B84">
      <w:rPr>
        <w:b/>
        <w:bCs/>
      </w:rPr>
      <w:t>•</w:t>
    </w:r>
    <w:r>
      <w:t xml:space="preserve"> L7R 3Z6 </w:t>
    </w:r>
    <w:r w:rsidRPr="001F6B84">
      <w:rPr>
        <w:b/>
        <w:bCs/>
      </w:rPr>
      <w:t>•</w:t>
    </w:r>
    <w:r>
      <w:rPr>
        <w:b/>
        <w:bCs/>
      </w:rPr>
      <w:t xml:space="preserve"> </w:t>
    </w:r>
    <w:r>
      <w:t>www.burlington.ca</w:t>
    </w:r>
  </w:p>
  <w:p w14:paraId="0E1E78A1" w14:textId="77777777" w:rsidR="001F6B84" w:rsidRDefault="001F6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710B" w14:textId="0CE125E9" w:rsidR="001F6B84" w:rsidRDefault="001F6B84" w:rsidP="001F6B84">
    <w:pPr>
      <w:pStyle w:val="Footer"/>
      <w:jc w:val="center"/>
    </w:pPr>
    <w:r>
      <w:t xml:space="preserve">426 Brant Street </w:t>
    </w:r>
    <w:r w:rsidRPr="001F6B84">
      <w:rPr>
        <w:b/>
        <w:bCs/>
      </w:rPr>
      <w:t>•</w:t>
    </w:r>
    <w:r>
      <w:rPr>
        <w:b/>
        <w:bCs/>
      </w:rPr>
      <w:t xml:space="preserve"> </w:t>
    </w:r>
    <w:r>
      <w:t xml:space="preserve">P.O. Box 5013 </w:t>
    </w:r>
    <w:r w:rsidRPr="001F6B84">
      <w:rPr>
        <w:b/>
        <w:bCs/>
      </w:rPr>
      <w:t>•</w:t>
    </w:r>
    <w:r>
      <w:t xml:space="preserve"> Burlington, ON </w:t>
    </w:r>
    <w:r w:rsidRPr="001F6B84">
      <w:rPr>
        <w:b/>
        <w:bCs/>
      </w:rPr>
      <w:t>•</w:t>
    </w:r>
    <w:r>
      <w:t xml:space="preserve"> L7R 3Z6 </w:t>
    </w:r>
    <w:r w:rsidRPr="001F6B84">
      <w:rPr>
        <w:b/>
        <w:bCs/>
      </w:rPr>
      <w:t>•</w:t>
    </w:r>
    <w:r>
      <w:rPr>
        <w:b/>
        <w:bCs/>
      </w:rPr>
      <w:t xml:space="preserve"> </w:t>
    </w:r>
    <w:r>
      <w:t>www.burlington.ca</w:t>
    </w:r>
  </w:p>
  <w:p w14:paraId="578DE309" w14:textId="77777777" w:rsidR="001F6B84" w:rsidRPr="001F6B84" w:rsidRDefault="001F6B84">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F916" w14:textId="77777777" w:rsidR="00085287" w:rsidRDefault="00085287" w:rsidP="008416DA">
      <w:pPr>
        <w:spacing w:after="0"/>
      </w:pPr>
      <w:r>
        <w:separator/>
      </w:r>
    </w:p>
  </w:footnote>
  <w:footnote w:type="continuationSeparator" w:id="0">
    <w:p w14:paraId="19C431A4" w14:textId="77777777" w:rsidR="00085287" w:rsidRDefault="00085287" w:rsidP="008416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E15D" w14:textId="3160E17D" w:rsidR="008416DA" w:rsidRDefault="008416DA" w:rsidP="008416DA">
    <w:pPr>
      <w:pStyle w:val="Header"/>
    </w:pPr>
    <w:r>
      <w:t xml:space="preserve">City of Burlington comments on </w:t>
    </w:r>
    <w:r w:rsidR="004B77F1">
      <w:t>ERO-026-0312</w:t>
    </w:r>
  </w:p>
  <w:sdt>
    <w:sdtPr>
      <w:id w:val="-1318336367"/>
      <w:docPartObj>
        <w:docPartGallery w:val="Page Numbers (Top of Page)"/>
        <w:docPartUnique/>
      </w:docPartObj>
    </w:sdtPr>
    <w:sdtEndPr/>
    <w:sdtContent>
      <w:p w14:paraId="6A1744D4" w14:textId="77777777" w:rsidR="008416DA" w:rsidRDefault="008416DA">
        <w:pPr>
          <w:pStyle w:val="Header"/>
          <w:pBdr>
            <w:bottom w:val="single" w:sz="6" w:space="1" w:color="auto"/>
          </w:pBd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7511F4D9" w14:textId="05EFC7E6" w:rsidR="008416DA" w:rsidRDefault="005D679E">
        <w:pPr>
          <w:pStyle w:val="Header"/>
          <w:jc w:val="right"/>
        </w:pPr>
      </w:p>
    </w:sdtContent>
  </w:sdt>
  <w:p w14:paraId="217DF74F" w14:textId="1ED790C0" w:rsidR="008416DA" w:rsidRDefault="00841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4E1E" w14:textId="35EB4063" w:rsidR="008416DA" w:rsidRDefault="008416DA">
    <w:pPr>
      <w:pStyle w:val="Header"/>
    </w:pPr>
    <w:r>
      <w:rPr>
        <w:noProof/>
      </w:rPr>
      <w:drawing>
        <wp:inline distT="0" distB="0" distL="0" distR="0" wp14:anchorId="5AFA85E4" wp14:editId="34E7A680">
          <wp:extent cx="2819400" cy="885825"/>
          <wp:effectExtent l="0" t="0" r="0" b="9525"/>
          <wp:docPr id="129489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885825"/>
                  </a:xfrm>
                  <a:prstGeom prst="rect">
                    <a:avLst/>
                  </a:prstGeom>
                  <a:noFill/>
                  <a:ln>
                    <a:noFill/>
                  </a:ln>
                </pic:spPr>
              </pic:pic>
            </a:graphicData>
          </a:graphic>
        </wp:inline>
      </w:drawing>
    </w:r>
  </w:p>
  <w:p w14:paraId="7BEC29F5" w14:textId="77777777" w:rsidR="008416DA" w:rsidRDefault="00841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F233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55CC8"/>
    <w:multiLevelType w:val="hybridMultilevel"/>
    <w:tmpl w:val="82D0C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C4BDF"/>
    <w:multiLevelType w:val="hybridMultilevel"/>
    <w:tmpl w:val="EC46ED9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28B1DB3"/>
    <w:multiLevelType w:val="hybridMultilevel"/>
    <w:tmpl w:val="0DE0854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72B0DD8"/>
    <w:multiLevelType w:val="hybridMultilevel"/>
    <w:tmpl w:val="E4D0B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292869"/>
    <w:multiLevelType w:val="hybridMultilevel"/>
    <w:tmpl w:val="FE6287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244B9"/>
    <w:multiLevelType w:val="hybridMultilevel"/>
    <w:tmpl w:val="5BF2A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3975F6"/>
    <w:multiLevelType w:val="hybridMultilevel"/>
    <w:tmpl w:val="5BF2A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D585C"/>
    <w:multiLevelType w:val="hybridMultilevel"/>
    <w:tmpl w:val="1332BD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2698F"/>
    <w:multiLevelType w:val="hybridMultilevel"/>
    <w:tmpl w:val="AF5C0D5E"/>
    <w:lvl w:ilvl="0" w:tplc="C938125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E6C4F"/>
    <w:multiLevelType w:val="hybridMultilevel"/>
    <w:tmpl w:val="058C0C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9D48C0"/>
    <w:multiLevelType w:val="hybridMultilevel"/>
    <w:tmpl w:val="8692FC1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CE15351"/>
    <w:multiLevelType w:val="hybridMultilevel"/>
    <w:tmpl w:val="41A0225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D7E5580"/>
    <w:multiLevelType w:val="hybridMultilevel"/>
    <w:tmpl w:val="5BF2A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2D4B38"/>
    <w:multiLevelType w:val="hybridMultilevel"/>
    <w:tmpl w:val="F33E175E"/>
    <w:lvl w:ilvl="0" w:tplc="BB844DEC">
      <w:start w:val="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863776"/>
    <w:multiLevelType w:val="hybridMultilevel"/>
    <w:tmpl w:val="5BF2A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182A74"/>
    <w:multiLevelType w:val="hybridMultilevel"/>
    <w:tmpl w:val="7BA60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6D00364"/>
    <w:multiLevelType w:val="hybridMultilevel"/>
    <w:tmpl w:val="5BF2A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501BCD"/>
    <w:multiLevelType w:val="hybridMultilevel"/>
    <w:tmpl w:val="7F52E65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E56181B"/>
    <w:multiLevelType w:val="hybridMultilevel"/>
    <w:tmpl w:val="E4D0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8D24B4"/>
    <w:multiLevelType w:val="hybridMultilevel"/>
    <w:tmpl w:val="BB4A8E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A4D9C"/>
    <w:multiLevelType w:val="hybridMultilevel"/>
    <w:tmpl w:val="2BA840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1913974">
    <w:abstractNumId w:val="0"/>
  </w:num>
  <w:num w:numId="2" w16cid:durableId="1423066332">
    <w:abstractNumId w:val="16"/>
  </w:num>
  <w:num w:numId="3" w16cid:durableId="2131387597">
    <w:abstractNumId w:val="9"/>
  </w:num>
  <w:num w:numId="4" w16cid:durableId="1324117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1114282">
    <w:abstractNumId w:val="2"/>
  </w:num>
  <w:num w:numId="6" w16cid:durableId="558825744">
    <w:abstractNumId w:val="3"/>
  </w:num>
  <w:num w:numId="7" w16cid:durableId="417211784">
    <w:abstractNumId w:val="11"/>
  </w:num>
  <w:num w:numId="8" w16cid:durableId="637809590">
    <w:abstractNumId w:val="12"/>
  </w:num>
  <w:num w:numId="9" w16cid:durableId="1893423415">
    <w:abstractNumId w:val="18"/>
  </w:num>
  <w:num w:numId="10" w16cid:durableId="1168137584">
    <w:abstractNumId w:val="2"/>
  </w:num>
  <w:num w:numId="11" w16cid:durableId="1720015753">
    <w:abstractNumId w:val="1"/>
  </w:num>
  <w:num w:numId="12" w16cid:durableId="298610864">
    <w:abstractNumId w:val="21"/>
  </w:num>
  <w:num w:numId="13" w16cid:durableId="821581443">
    <w:abstractNumId w:val="10"/>
  </w:num>
  <w:num w:numId="14" w16cid:durableId="1430277142">
    <w:abstractNumId w:val="7"/>
  </w:num>
  <w:num w:numId="15" w16cid:durableId="1339698075">
    <w:abstractNumId w:val="17"/>
  </w:num>
  <w:num w:numId="16" w16cid:durableId="1813592759">
    <w:abstractNumId w:val="15"/>
  </w:num>
  <w:num w:numId="17" w16cid:durableId="1062560668">
    <w:abstractNumId w:val="6"/>
  </w:num>
  <w:num w:numId="18" w16cid:durableId="640840824">
    <w:abstractNumId w:val="19"/>
  </w:num>
  <w:num w:numId="19" w16cid:durableId="817845307">
    <w:abstractNumId w:val="5"/>
  </w:num>
  <w:num w:numId="20" w16cid:durableId="933631545">
    <w:abstractNumId w:val="4"/>
  </w:num>
  <w:num w:numId="21" w16cid:durableId="312294375">
    <w:abstractNumId w:val="14"/>
  </w:num>
  <w:num w:numId="22" w16cid:durableId="1044789705">
    <w:abstractNumId w:val="8"/>
  </w:num>
  <w:num w:numId="23" w16cid:durableId="952710870">
    <w:abstractNumId w:val="20"/>
  </w:num>
  <w:num w:numId="24" w16cid:durableId="1196701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DA"/>
    <w:rsid w:val="0005646B"/>
    <w:rsid w:val="00073568"/>
    <w:rsid w:val="00085287"/>
    <w:rsid w:val="000A26DC"/>
    <w:rsid w:val="000A4617"/>
    <w:rsid w:val="000B20AA"/>
    <w:rsid w:val="0012798E"/>
    <w:rsid w:val="001538D4"/>
    <w:rsid w:val="001835EE"/>
    <w:rsid w:val="001A3B52"/>
    <w:rsid w:val="001D4F8A"/>
    <w:rsid w:val="001F6B84"/>
    <w:rsid w:val="0022067C"/>
    <w:rsid w:val="0027136B"/>
    <w:rsid w:val="00274E12"/>
    <w:rsid w:val="00285439"/>
    <w:rsid w:val="00285B39"/>
    <w:rsid w:val="002B0080"/>
    <w:rsid w:val="002C35EC"/>
    <w:rsid w:val="002D3A92"/>
    <w:rsid w:val="00370E33"/>
    <w:rsid w:val="003E66A1"/>
    <w:rsid w:val="0042057A"/>
    <w:rsid w:val="004303BC"/>
    <w:rsid w:val="004611E9"/>
    <w:rsid w:val="004648D5"/>
    <w:rsid w:val="0048624C"/>
    <w:rsid w:val="004B77F1"/>
    <w:rsid w:val="004C4ECB"/>
    <w:rsid w:val="004E0B48"/>
    <w:rsid w:val="004F2986"/>
    <w:rsid w:val="00501AC8"/>
    <w:rsid w:val="00546BC5"/>
    <w:rsid w:val="005721D1"/>
    <w:rsid w:val="00590197"/>
    <w:rsid w:val="00600C43"/>
    <w:rsid w:val="006251D6"/>
    <w:rsid w:val="006377EE"/>
    <w:rsid w:val="0066659E"/>
    <w:rsid w:val="00725BED"/>
    <w:rsid w:val="007469E6"/>
    <w:rsid w:val="00750F50"/>
    <w:rsid w:val="007631E5"/>
    <w:rsid w:val="007671F4"/>
    <w:rsid w:val="007D044B"/>
    <w:rsid w:val="007D6A4B"/>
    <w:rsid w:val="007F23E0"/>
    <w:rsid w:val="008416DA"/>
    <w:rsid w:val="00844644"/>
    <w:rsid w:val="008613F7"/>
    <w:rsid w:val="00870FBE"/>
    <w:rsid w:val="008A2C5C"/>
    <w:rsid w:val="008F5DD1"/>
    <w:rsid w:val="00911779"/>
    <w:rsid w:val="00956352"/>
    <w:rsid w:val="00981E6C"/>
    <w:rsid w:val="00986165"/>
    <w:rsid w:val="00A71963"/>
    <w:rsid w:val="00A76DFF"/>
    <w:rsid w:val="00A91D31"/>
    <w:rsid w:val="00AB26EB"/>
    <w:rsid w:val="00AC6FE5"/>
    <w:rsid w:val="00AE2A85"/>
    <w:rsid w:val="00B24353"/>
    <w:rsid w:val="00B30110"/>
    <w:rsid w:val="00B616D9"/>
    <w:rsid w:val="00B83183"/>
    <w:rsid w:val="00BE6C00"/>
    <w:rsid w:val="00C01B34"/>
    <w:rsid w:val="00C81CEC"/>
    <w:rsid w:val="00CD438F"/>
    <w:rsid w:val="00D11A95"/>
    <w:rsid w:val="00D422EA"/>
    <w:rsid w:val="00D62D5F"/>
    <w:rsid w:val="00D70988"/>
    <w:rsid w:val="00D83DB6"/>
    <w:rsid w:val="00D86859"/>
    <w:rsid w:val="00DC363F"/>
    <w:rsid w:val="00E21B14"/>
    <w:rsid w:val="00EE59F9"/>
    <w:rsid w:val="00F460E2"/>
    <w:rsid w:val="00F50092"/>
    <w:rsid w:val="00F53181"/>
    <w:rsid w:val="00FC4DED"/>
    <w:rsid w:val="1EF9B77E"/>
    <w:rsid w:val="325BF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1EEAF"/>
  <w15:chartTrackingRefBased/>
  <w15:docId w15:val="{14F5A0CD-3F5C-48F2-A8E8-34F543CE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6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6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16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16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16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16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16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6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6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16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16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16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16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16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16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6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6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16DA"/>
    <w:pPr>
      <w:spacing w:before="160"/>
      <w:jc w:val="center"/>
    </w:pPr>
    <w:rPr>
      <w:i/>
      <w:iCs/>
      <w:color w:val="404040" w:themeColor="text1" w:themeTint="BF"/>
    </w:rPr>
  </w:style>
  <w:style w:type="character" w:customStyle="1" w:styleId="QuoteChar">
    <w:name w:val="Quote Char"/>
    <w:basedOn w:val="DefaultParagraphFont"/>
    <w:link w:val="Quote"/>
    <w:uiPriority w:val="29"/>
    <w:rsid w:val="008416DA"/>
    <w:rPr>
      <w:i/>
      <w:iCs/>
      <w:color w:val="404040" w:themeColor="text1" w:themeTint="BF"/>
    </w:rPr>
  </w:style>
  <w:style w:type="paragraph" w:styleId="ListParagraph">
    <w:name w:val="List Paragraph"/>
    <w:basedOn w:val="Normal"/>
    <w:uiPriority w:val="34"/>
    <w:qFormat/>
    <w:rsid w:val="008416DA"/>
    <w:pPr>
      <w:ind w:left="720"/>
      <w:contextualSpacing/>
    </w:pPr>
  </w:style>
  <w:style w:type="character" w:styleId="IntenseEmphasis">
    <w:name w:val="Intense Emphasis"/>
    <w:basedOn w:val="DefaultParagraphFont"/>
    <w:uiPriority w:val="21"/>
    <w:qFormat/>
    <w:rsid w:val="008416DA"/>
    <w:rPr>
      <w:i/>
      <w:iCs/>
      <w:color w:val="0F4761" w:themeColor="accent1" w:themeShade="BF"/>
    </w:rPr>
  </w:style>
  <w:style w:type="paragraph" w:styleId="IntenseQuote">
    <w:name w:val="Intense Quote"/>
    <w:basedOn w:val="Normal"/>
    <w:next w:val="Normal"/>
    <w:link w:val="IntenseQuoteChar"/>
    <w:uiPriority w:val="30"/>
    <w:qFormat/>
    <w:rsid w:val="00841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6DA"/>
    <w:rPr>
      <w:i/>
      <w:iCs/>
      <w:color w:val="0F4761" w:themeColor="accent1" w:themeShade="BF"/>
    </w:rPr>
  </w:style>
  <w:style w:type="character" w:styleId="IntenseReference">
    <w:name w:val="Intense Reference"/>
    <w:basedOn w:val="DefaultParagraphFont"/>
    <w:uiPriority w:val="32"/>
    <w:qFormat/>
    <w:rsid w:val="008416DA"/>
    <w:rPr>
      <w:b/>
      <w:bCs/>
      <w:smallCaps/>
      <w:color w:val="0F4761" w:themeColor="accent1" w:themeShade="BF"/>
      <w:spacing w:val="5"/>
    </w:rPr>
  </w:style>
  <w:style w:type="paragraph" w:styleId="Header">
    <w:name w:val="header"/>
    <w:basedOn w:val="Normal"/>
    <w:link w:val="HeaderChar"/>
    <w:uiPriority w:val="99"/>
    <w:unhideWhenUsed/>
    <w:rsid w:val="008416DA"/>
    <w:pPr>
      <w:tabs>
        <w:tab w:val="center" w:pos="4680"/>
        <w:tab w:val="right" w:pos="9360"/>
      </w:tabs>
      <w:spacing w:after="0"/>
    </w:pPr>
  </w:style>
  <w:style w:type="character" w:customStyle="1" w:styleId="HeaderChar">
    <w:name w:val="Header Char"/>
    <w:basedOn w:val="DefaultParagraphFont"/>
    <w:link w:val="Header"/>
    <w:uiPriority w:val="99"/>
    <w:rsid w:val="008416DA"/>
  </w:style>
  <w:style w:type="paragraph" w:styleId="Footer">
    <w:name w:val="footer"/>
    <w:basedOn w:val="Normal"/>
    <w:link w:val="FooterChar"/>
    <w:uiPriority w:val="99"/>
    <w:unhideWhenUsed/>
    <w:rsid w:val="008416DA"/>
    <w:pPr>
      <w:tabs>
        <w:tab w:val="center" w:pos="4680"/>
        <w:tab w:val="right" w:pos="9360"/>
      </w:tabs>
      <w:spacing w:after="0"/>
    </w:pPr>
  </w:style>
  <w:style w:type="character" w:customStyle="1" w:styleId="FooterChar">
    <w:name w:val="Footer Char"/>
    <w:basedOn w:val="DefaultParagraphFont"/>
    <w:link w:val="Footer"/>
    <w:uiPriority w:val="99"/>
    <w:rsid w:val="008416DA"/>
  </w:style>
  <w:style w:type="paragraph" w:styleId="ListBullet">
    <w:name w:val="List Bullet"/>
    <w:basedOn w:val="Normal"/>
    <w:uiPriority w:val="99"/>
    <w:unhideWhenUsed/>
    <w:rsid w:val="001F6B84"/>
    <w:pPr>
      <w:numPr>
        <w:numId w:val="1"/>
      </w:numPr>
      <w:contextualSpacing/>
    </w:pPr>
  </w:style>
  <w:style w:type="character" w:styleId="Hyperlink">
    <w:name w:val="Hyperlink"/>
    <w:basedOn w:val="DefaultParagraphFont"/>
    <w:uiPriority w:val="99"/>
    <w:unhideWhenUsed/>
    <w:rsid w:val="001F6B84"/>
    <w:rPr>
      <w:color w:val="467886" w:themeColor="hyperlink"/>
      <w:u w:val="single"/>
    </w:rPr>
  </w:style>
  <w:style w:type="character" w:styleId="UnresolvedMention">
    <w:name w:val="Unresolved Mention"/>
    <w:basedOn w:val="DefaultParagraphFont"/>
    <w:uiPriority w:val="99"/>
    <w:semiHidden/>
    <w:unhideWhenUsed/>
    <w:rsid w:val="001F6B84"/>
    <w:rPr>
      <w:color w:val="605E5C"/>
      <w:shd w:val="clear" w:color="auto" w:fill="E1DFDD"/>
    </w:rPr>
  </w:style>
  <w:style w:type="table" w:styleId="TableGrid">
    <w:name w:val="Table Grid"/>
    <w:basedOn w:val="TableNormal"/>
    <w:uiPriority w:val="39"/>
    <w:rsid w:val="003E66A1"/>
    <w:pPr>
      <w:spacing w:after="0"/>
    </w:pPr>
    <w:rPr>
      <w:rFonts w:ascii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5439"/>
    <w:rPr>
      <w:sz w:val="16"/>
      <w:szCs w:val="16"/>
    </w:rPr>
  </w:style>
  <w:style w:type="paragraph" w:styleId="CommentText">
    <w:name w:val="annotation text"/>
    <w:basedOn w:val="Normal"/>
    <w:link w:val="CommentTextChar"/>
    <w:uiPriority w:val="99"/>
    <w:unhideWhenUsed/>
    <w:rsid w:val="00285439"/>
    <w:rPr>
      <w:sz w:val="20"/>
      <w:szCs w:val="20"/>
    </w:rPr>
  </w:style>
  <w:style w:type="character" w:customStyle="1" w:styleId="CommentTextChar">
    <w:name w:val="Comment Text Char"/>
    <w:basedOn w:val="DefaultParagraphFont"/>
    <w:link w:val="CommentText"/>
    <w:uiPriority w:val="99"/>
    <w:rsid w:val="00285439"/>
    <w:rPr>
      <w:sz w:val="20"/>
      <w:szCs w:val="20"/>
    </w:rPr>
  </w:style>
  <w:style w:type="paragraph" w:styleId="CommentSubject">
    <w:name w:val="annotation subject"/>
    <w:basedOn w:val="CommentText"/>
    <w:next w:val="CommentText"/>
    <w:link w:val="CommentSubjectChar"/>
    <w:uiPriority w:val="99"/>
    <w:semiHidden/>
    <w:unhideWhenUsed/>
    <w:rsid w:val="00285439"/>
    <w:rPr>
      <w:b/>
      <w:bCs/>
    </w:rPr>
  </w:style>
  <w:style w:type="character" w:customStyle="1" w:styleId="CommentSubjectChar">
    <w:name w:val="Comment Subject Char"/>
    <w:basedOn w:val="CommentTextChar"/>
    <w:link w:val="CommentSubject"/>
    <w:uiPriority w:val="99"/>
    <w:semiHidden/>
    <w:rsid w:val="00285439"/>
    <w:rPr>
      <w:b/>
      <w:bCs/>
      <w:sz w:val="20"/>
      <w:szCs w:val="20"/>
    </w:rPr>
  </w:style>
  <w:style w:type="character" w:styleId="FollowedHyperlink">
    <w:name w:val="FollowedHyperlink"/>
    <w:basedOn w:val="DefaultParagraphFont"/>
    <w:uiPriority w:val="99"/>
    <w:semiHidden/>
    <w:unhideWhenUsed/>
    <w:rsid w:val="00750F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131E7-EB62-4A3B-BB0D-C14BFAC6EA42}">
  <ds:schemaRefs>
    <ds:schemaRef ds:uri="http://schemas.openxmlformats.org/officeDocument/2006/bibliography"/>
  </ds:schemaRefs>
</ds:datastoreItem>
</file>

<file path=docMetadata/LabelInfo.xml><?xml version="1.0" encoding="utf-8"?>
<clbl:labelList xmlns:clbl="http://schemas.microsoft.com/office/2020/mipLabelMetadata">
  <clbl:label id="{fe0e43b9-f544-4aa6-9c13-b3500fedb2ee}" enabled="0" method="" siteId="{fe0e43b9-f544-4aa6-9c13-b3500fedb2ee}"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1858</Words>
  <Characters>10688</Characters>
  <Application>Microsoft Office Word</Application>
  <DocSecurity>0</DocSecurity>
  <Lines>390</Lines>
  <Paragraphs>143</Paragraphs>
  <ScaleCrop>false</ScaleCrop>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Szachlewicz, Paul</dc:creator>
  <cp:keywords/>
  <dc:description/>
  <cp:lastModifiedBy>Doll, Jayson</cp:lastModifiedBy>
  <cp:revision>3</cp:revision>
  <dcterms:created xsi:type="dcterms:W3CDTF">2026-05-14T20:17:00Z</dcterms:created>
  <dcterms:modified xsi:type="dcterms:W3CDTF">2026-05-14T20:17:00Z</dcterms:modified>
</cp:coreProperties>
</file>