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3AD8D" w14:textId="77777777" w:rsidR="000E65F8" w:rsidRDefault="005F14D5">
      <w:pPr>
        <w:spacing w:after="60"/>
        <w:jc w:val="center"/>
      </w:pPr>
      <w:r>
        <w:rPr>
          <w:b/>
          <w:bCs/>
          <w:color w:val="8B0000"/>
          <w:sz w:val="32"/>
          <w:szCs w:val="32"/>
        </w:rPr>
        <w:t>SCHEDULE 1</w:t>
      </w:r>
    </w:p>
    <w:p w14:paraId="5D95DA81" w14:textId="77777777" w:rsidR="000E65F8" w:rsidRDefault="005F14D5">
      <w:pPr>
        <w:spacing w:before="40" w:after="40"/>
        <w:jc w:val="center"/>
      </w:pPr>
      <w:r>
        <w:rPr>
          <w:b/>
          <w:bCs/>
          <w:sz w:val="26"/>
          <w:szCs w:val="26"/>
        </w:rPr>
        <w:t>Legal Precedent and Statutory Reference</w:t>
      </w:r>
    </w:p>
    <w:p w14:paraId="58EC705C" w14:textId="77777777" w:rsidR="000E65F8" w:rsidRDefault="005F14D5">
      <w:pPr>
        <w:spacing w:before="40" w:after="40"/>
        <w:jc w:val="center"/>
      </w:pPr>
      <w:r>
        <w:rPr>
          <w:color w:val="555555"/>
        </w:rPr>
        <w:t>Attached to Community Member ERO Submission</w:t>
      </w:r>
    </w:p>
    <w:p w14:paraId="019F700A" w14:textId="77777777" w:rsidR="000E65F8" w:rsidRDefault="005F14D5">
      <w:pPr>
        <w:spacing w:before="40" w:after="40"/>
        <w:jc w:val="center"/>
      </w:pPr>
      <w:r>
        <w:rPr>
          <w:color w:val="555555"/>
        </w:rPr>
        <w:t>Bill 5: Protect Ontario by Unleashing our Economy Act, 2025</w:t>
      </w:r>
    </w:p>
    <w:p w14:paraId="5C99D159" w14:textId="77777777" w:rsidR="000E65F8" w:rsidRDefault="005F14D5">
      <w:pPr>
        <w:spacing w:before="40" w:after="40"/>
        <w:jc w:val="center"/>
      </w:pPr>
      <w:proofErr w:type="spellStart"/>
      <w:r>
        <w:rPr>
          <w:b/>
          <w:bCs/>
          <w:color w:val="002147"/>
        </w:rPr>
        <w:t>Bkejwanong</w:t>
      </w:r>
      <w:proofErr w:type="spellEnd"/>
      <w:r>
        <w:rPr>
          <w:b/>
          <w:bCs/>
          <w:color w:val="002147"/>
        </w:rPr>
        <w:t xml:space="preserve"> Territory — Walpole Island First Nation</w:t>
      </w:r>
    </w:p>
    <w:p w14:paraId="14013980" w14:textId="77777777" w:rsidR="000E65F8" w:rsidRDefault="000E65F8">
      <w:pPr>
        <w:pBdr>
          <w:bottom w:val="single" w:sz="6" w:space="1" w:color="8B0000"/>
        </w:pBdr>
        <w:spacing w:before="200" w:after="200"/>
      </w:pPr>
    </w:p>
    <w:p w14:paraId="0E078D3D" w14:textId="77777777" w:rsidR="000E65F8" w:rsidRDefault="005F14D5">
      <w:pPr>
        <w:spacing w:before="80" w:after="160" w:line="320" w:lineRule="auto"/>
        <w:jc w:val="both"/>
      </w:pPr>
      <w:r>
        <w:rPr>
          <w:color w:val="555555"/>
          <w:sz w:val="20"/>
          <w:szCs w:val="20"/>
        </w:rPr>
        <w:t>The following cases, statutes, and international instruments form the legal foundation of this community submission. They are provided as a reference for decision-makers reviewing this ERO comment. This list is not exhaustive. The full evidentiary record, including formal submissions from the Sovereign Grandmothers of the Hereditary Line, is filed concurrently.</w:t>
      </w:r>
    </w:p>
    <w:p w14:paraId="52C2174E" w14:textId="77777777" w:rsidR="000E65F8" w:rsidRDefault="005F14D5">
      <w:pPr>
        <w:spacing w:before="240" w:after="80"/>
      </w:pPr>
      <w:r>
        <w:rPr>
          <w:b/>
          <w:bCs/>
          <w:caps/>
          <w:color w:val="002147"/>
        </w:rPr>
        <w:t>1. Duty to Consult and Accommodate</w:t>
      </w:r>
    </w:p>
    <w:p w14:paraId="7B04E360" w14:textId="77777777" w:rsidR="000E65F8" w:rsidRDefault="000E65F8">
      <w:pPr>
        <w:pBdr>
          <w:bottom w:val="single" w:sz="2" w:space="1" w:color="555555"/>
        </w:pBdr>
        <w:spacing w:before="120" w:after="120"/>
      </w:pPr>
    </w:p>
    <w:p w14:paraId="0593C421" w14:textId="77777777" w:rsidR="000E65F8" w:rsidRDefault="005F14D5">
      <w:pPr>
        <w:spacing w:before="120" w:after="40"/>
      </w:pPr>
      <w:proofErr w:type="spellStart"/>
      <w:r>
        <w:rPr>
          <w:b/>
          <w:bCs/>
          <w:i/>
          <w:iCs/>
          <w:color w:val="8B0000"/>
        </w:rPr>
        <w:t>Haida</w:t>
      </w:r>
      <w:proofErr w:type="spellEnd"/>
      <w:r>
        <w:rPr>
          <w:b/>
          <w:bCs/>
          <w:i/>
          <w:iCs/>
          <w:color w:val="8B0000"/>
        </w:rPr>
        <w:t xml:space="preserve"> Nation v. British Columbia (Minister of Forests), 2004 SCC 73</w:t>
      </w:r>
    </w:p>
    <w:p w14:paraId="10D7C8D5" w14:textId="77777777" w:rsidR="000E65F8" w:rsidRDefault="005F14D5">
      <w:pPr>
        <w:spacing w:before="40" w:after="100" w:line="300" w:lineRule="auto"/>
        <w:ind w:left="360"/>
        <w:jc w:val="both"/>
      </w:pPr>
      <w:r>
        <w:rPr>
          <w:sz w:val="20"/>
          <w:szCs w:val="20"/>
        </w:rPr>
        <w:t>Established the Crown's duty to consult and accommodate Indigenous peoples before making decisions that may adversely affect their rights. Confirmed that the duty to consult cannot be delegated to third parties including municipalities or project proponents — only specific procedural steps may be delegated, and the Crown must supervise those steps.</w:t>
      </w:r>
    </w:p>
    <w:p w14:paraId="4140589D" w14:textId="77777777" w:rsidR="000E65F8" w:rsidRDefault="005F14D5">
      <w:pPr>
        <w:spacing w:before="120" w:after="40"/>
      </w:pPr>
      <w:proofErr w:type="spellStart"/>
      <w:r>
        <w:rPr>
          <w:b/>
          <w:bCs/>
          <w:i/>
          <w:iCs/>
          <w:color w:val="8B0000"/>
        </w:rPr>
        <w:t>Mikisew</w:t>
      </w:r>
      <w:proofErr w:type="spellEnd"/>
      <w:r>
        <w:rPr>
          <w:b/>
          <w:bCs/>
          <w:i/>
          <w:iCs/>
          <w:color w:val="8B0000"/>
        </w:rPr>
        <w:t xml:space="preserve"> Cree First Nation v. Canada (Minister of Canadian Heritage), 2005 SCC 69</w:t>
      </w:r>
    </w:p>
    <w:p w14:paraId="5C945294" w14:textId="77777777" w:rsidR="000E65F8" w:rsidRDefault="005F14D5">
      <w:pPr>
        <w:spacing w:before="40" w:after="100" w:line="300" w:lineRule="auto"/>
        <w:ind w:left="360"/>
        <w:jc w:val="both"/>
      </w:pPr>
      <w:r>
        <w:rPr>
          <w:sz w:val="20"/>
          <w:szCs w:val="20"/>
        </w:rPr>
        <w:t>Affirmed that the duty to consult applies to decisions affecting Treaty rights. Confirmed that the Crown must engage in a meaningful, two-way dialogue — not merely notify — and must be prepared to make changes based on Indigenous input.</w:t>
      </w:r>
    </w:p>
    <w:p w14:paraId="4130E5E9" w14:textId="77777777" w:rsidR="000E65F8" w:rsidRDefault="005F14D5">
      <w:pPr>
        <w:spacing w:before="120" w:after="40"/>
      </w:pPr>
      <w:proofErr w:type="spellStart"/>
      <w:r>
        <w:rPr>
          <w:b/>
          <w:bCs/>
          <w:i/>
          <w:iCs/>
          <w:color w:val="8B0000"/>
        </w:rPr>
        <w:t>Tsleil-Waututh</w:t>
      </w:r>
      <w:proofErr w:type="spellEnd"/>
      <w:r>
        <w:rPr>
          <w:b/>
          <w:bCs/>
          <w:i/>
          <w:iCs/>
          <w:color w:val="8B0000"/>
        </w:rPr>
        <w:t xml:space="preserve"> Nation v. Canada (Attorney General), 2018 FCA 153</w:t>
      </w:r>
    </w:p>
    <w:p w14:paraId="0BF0F5F0" w14:textId="77777777" w:rsidR="000E65F8" w:rsidRDefault="005F14D5">
      <w:pPr>
        <w:spacing w:before="40" w:after="100" w:line="300" w:lineRule="auto"/>
        <w:ind w:left="360"/>
        <w:jc w:val="both"/>
      </w:pPr>
      <w:r>
        <w:rPr>
          <w:sz w:val="20"/>
          <w:szCs w:val="20"/>
        </w:rPr>
        <w:t>Confirmed that the duty to consult requires ongoing, substantive dialogue throughout a project's life — not a one-time process. Established that cumulative impacts on Aboriginal and Treaty rights must be assessed as part of the consultation process.</w:t>
      </w:r>
    </w:p>
    <w:p w14:paraId="3617A6F2" w14:textId="77777777" w:rsidR="000E65F8" w:rsidRDefault="005F14D5">
      <w:pPr>
        <w:spacing w:before="120" w:after="40"/>
      </w:pPr>
      <w:r>
        <w:rPr>
          <w:b/>
          <w:bCs/>
          <w:i/>
          <w:iCs/>
          <w:color w:val="8B0000"/>
        </w:rPr>
        <w:t>Clyde River (Hamlet) v. Petroleum Geo-Services Inc., 2017 SCC 40</w:t>
      </w:r>
    </w:p>
    <w:p w14:paraId="446C5294" w14:textId="77777777" w:rsidR="000E65F8" w:rsidRDefault="005F14D5">
      <w:pPr>
        <w:spacing w:before="40" w:after="100" w:line="300" w:lineRule="auto"/>
        <w:ind w:left="360"/>
        <w:jc w:val="both"/>
      </w:pPr>
      <w:r>
        <w:rPr>
          <w:sz w:val="20"/>
          <w:szCs w:val="20"/>
        </w:rPr>
        <w:t>Confirmed that an environmental assessment process cannot by itself satisfy the Crown's duty to consult. Substantive consultation with rights-holders through their own representative institutions is required independently of regulatory review.</w:t>
      </w:r>
    </w:p>
    <w:p w14:paraId="0AA8C83E" w14:textId="77777777" w:rsidR="000E65F8" w:rsidRDefault="005F14D5">
      <w:pPr>
        <w:spacing w:before="120" w:after="40"/>
      </w:pPr>
      <w:proofErr w:type="spellStart"/>
      <w:r>
        <w:rPr>
          <w:b/>
          <w:bCs/>
          <w:i/>
          <w:iCs/>
          <w:color w:val="8B0000"/>
        </w:rPr>
        <w:t>Taku</w:t>
      </w:r>
      <w:proofErr w:type="spellEnd"/>
      <w:r>
        <w:rPr>
          <w:b/>
          <w:bCs/>
          <w:i/>
          <w:iCs/>
          <w:color w:val="8B0000"/>
        </w:rPr>
        <w:t xml:space="preserve"> River Tlingit First Nation v. British Columbia, 2004 SCC 74</w:t>
      </w:r>
    </w:p>
    <w:p w14:paraId="0816A926" w14:textId="77777777" w:rsidR="000E65F8" w:rsidRDefault="005F14D5">
      <w:pPr>
        <w:spacing w:before="40" w:after="100" w:line="300" w:lineRule="auto"/>
        <w:ind w:left="360"/>
        <w:jc w:val="both"/>
      </w:pPr>
      <w:r>
        <w:rPr>
          <w:sz w:val="20"/>
          <w:szCs w:val="20"/>
        </w:rPr>
        <w:t>Confirmed that the honour of the Crown requires that consultation be conducted in good faith and with the intention of substantially addressing First Nations concerns — not merely going through the motions of a process.</w:t>
      </w:r>
    </w:p>
    <w:p w14:paraId="6863DA3D" w14:textId="77777777" w:rsidR="000E65F8" w:rsidRDefault="000E65F8">
      <w:pPr>
        <w:spacing w:before="80"/>
      </w:pPr>
    </w:p>
    <w:p w14:paraId="59B84248" w14:textId="77777777" w:rsidR="000E65F8" w:rsidRDefault="005F14D5">
      <w:pPr>
        <w:spacing w:before="240" w:after="80"/>
      </w:pPr>
      <w:r>
        <w:rPr>
          <w:b/>
          <w:bCs/>
          <w:caps/>
          <w:color w:val="002147"/>
        </w:rPr>
        <w:t>2. Cumulative Impacts as Treaty Breach</w:t>
      </w:r>
    </w:p>
    <w:p w14:paraId="0CD3A21F" w14:textId="77777777" w:rsidR="000E65F8" w:rsidRDefault="000E65F8">
      <w:pPr>
        <w:pBdr>
          <w:bottom w:val="single" w:sz="2" w:space="1" w:color="555555"/>
        </w:pBdr>
        <w:spacing w:before="120" w:after="120"/>
      </w:pPr>
    </w:p>
    <w:p w14:paraId="2DFF2A32" w14:textId="77777777" w:rsidR="000E65F8" w:rsidRDefault="005F14D5">
      <w:pPr>
        <w:spacing w:before="120" w:after="40"/>
      </w:pPr>
      <w:proofErr w:type="spellStart"/>
      <w:r>
        <w:rPr>
          <w:b/>
          <w:bCs/>
          <w:i/>
          <w:iCs/>
          <w:color w:val="8B0000"/>
        </w:rPr>
        <w:t>Yahey</w:t>
      </w:r>
      <w:proofErr w:type="spellEnd"/>
      <w:r>
        <w:rPr>
          <w:b/>
          <w:bCs/>
          <w:i/>
          <w:iCs/>
          <w:color w:val="8B0000"/>
        </w:rPr>
        <w:t xml:space="preserve"> v. British Columbia, 2021 BCSC 1287</w:t>
      </w:r>
    </w:p>
    <w:p w14:paraId="31029D14" w14:textId="77777777" w:rsidR="000E65F8" w:rsidRDefault="005F14D5">
      <w:pPr>
        <w:spacing w:before="40" w:after="100" w:line="300" w:lineRule="auto"/>
        <w:ind w:left="360"/>
        <w:jc w:val="both"/>
      </w:pPr>
      <w:r>
        <w:rPr>
          <w:sz w:val="20"/>
          <w:szCs w:val="20"/>
        </w:rPr>
        <w:t xml:space="preserve">Landmark decision finding that the cumulative impact of industrial development within a First Nation's territory constituted a breach of treaty rights, even where individual projects had each been approved. Established that cumulative effects on the ability to exercise treaty rights must be assessed collectively, not project by project. Directly applicable to the sequential approvals of the Southwest Ontario Energy Hub within </w:t>
      </w:r>
      <w:proofErr w:type="spellStart"/>
      <w:r>
        <w:rPr>
          <w:sz w:val="20"/>
          <w:szCs w:val="20"/>
        </w:rPr>
        <w:t>Bkejwanong</w:t>
      </w:r>
      <w:proofErr w:type="spellEnd"/>
      <w:r>
        <w:rPr>
          <w:sz w:val="20"/>
          <w:szCs w:val="20"/>
        </w:rPr>
        <w:t xml:space="preserve"> Territory.</w:t>
      </w:r>
    </w:p>
    <w:p w14:paraId="4C50C4BB" w14:textId="77777777" w:rsidR="000E65F8" w:rsidRDefault="000E65F8">
      <w:pPr>
        <w:spacing w:before="80"/>
      </w:pPr>
    </w:p>
    <w:p w14:paraId="51982A2D" w14:textId="77777777" w:rsidR="000E65F8" w:rsidRDefault="005F14D5">
      <w:pPr>
        <w:spacing w:before="240" w:after="80"/>
      </w:pPr>
      <w:r>
        <w:rPr>
          <w:b/>
          <w:bCs/>
          <w:caps/>
          <w:color w:val="002147"/>
        </w:rPr>
        <w:t>3. Constitutional Framework — Federal Paramountcy</w:t>
      </w:r>
    </w:p>
    <w:p w14:paraId="5596DDEF" w14:textId="77777777" w:rsidR="000E65F8" w:rsidRDefault="000E65F8">
      <w:pPr>
        <w:pBdr>
          <w:bottom w:val="single" w:sz="2" w:space="1" w:color="555555"/>
        </w:pBdr>
        <w:spacing w:before="120" w:after="120"/>
      </w:pPr>
    </w:p>
    <w:p w14:paraId="17CCEEA5" w14:textId="77777777" w:rsidR="000E65F8" w:rsidRDefault="005F14D5">
      <w:pPr>
        <w:spacing w:before="120" w:after="40"/>
      </w:pPr>
      <w:r>
        <w:rPr>
          <w:b/>
          <w:bCs/>
          <w:i/>
          <w:iCs/>
          <w:color w:val="8B0000"/>
        </w:rPr>
        <w:t>Constitution Act, 1867 — Sections 91(24) and 92</w:t>
      </w:r>
    </w:p>
    <w:p w14:paraId="2BEBFB19" w14:textId="77777777" w:rsidR="000E65F8" w:rsidRDefault="005F14D5">
      <w:pPr>
        <w:spacing w:before="40" w:after="100" w:line="300" w:lineRule="auto"/>
        <w:ind w:left="360"/>
        <w:jc w:val="both"/>
      </w:pPr>
      <w:r>
        <w:rPr>
          <w:sz w:val="20"/>
          <w:szCs w:val="20"/>
        </w:rPr>
        <w:t>Section 91(24) places Indians and Lands reserved for Indians under exclusive federal jurisdiction. Section 92 grants provinces authority over local and private matters including municipal institutions under s. 92(8). Provincial powers under section 92 cannot be exercised in ways that infringe on federally protected Aboriginal and Treaty Rights. Municipalities derive their authority from provincial delegation under section 92(8) — they have no independent constitutional status and carry no independent treaty</w:t>
      </w:r>
      <w:r>
        <w:rPr>
          <w:sz w:val="20"/>
          <w:szCs w:val="20"/>
        </w:rPr>
        <w:t xml:space="preserve"> obligations.</w:t>
      </w:r>
    </w:p>
    <w:p w14:paraId="170CA8AE" w14:textId="77777777" w:rsidR="000E65F8" w:rsidRDefault="005F14D5">
      <w:pPr>
        <w:spacing w:before="120" w:after="40"/>
      </w:pPr>
      <w:r>
        <w:rPr>
          <w:b/>
          <w:bCs/>
          <w:i/>
          <w:iCs/>
          <w:color w:val="8B0000"/>
        </w:rPr>
        <w:t>Constitution Act, 1982 — Section 35</w:t>
      </w:r>
    </w:p>
    <w:p w14:paraId="5BAFD055" w14:textId="77777777" w:rsidR="000E65F8" w:rsidRDefault="005F14D5">
      <w:pPr>
        <w:spacing w:before="40" w:after="100" w:line="300" w:lineRule="auto"/>
        <w:ind w:left="360"/>
        <w:jc w:val="both"/>
      </w:pPr>
      <w:r>
        <w:rPr>
          <w:sz w:val="20"/>
          <w:szCs w:val="20"/>
        </w:rPr>
        <w:t>Guarantees existing Aboriginal and Treaty Rights of the Aboriginal peoples of Canada. These rights cannot be extinguished or overridden by provincial legislation. Bill 5, as a provincial statute, cannot diminish or remove the duty to consult arising from section 35 or the honour of the Crown.</w:t>
      </w:r>
    </w:p>
    <w:p w14:paraId="02D844C5" w14:textId="77777777" w:rsidR="000E65F8" w:rsidRDefault="005F14D5">
      <w:pPr>
        <w:spacing w:before="120" w:after="40"/>
      </w:pPr>
      <w:proofErr w:type="spellStart"/>
      <w:r>
        <w:rPr>
          <w:b/>
          <w:bCs/>
          <w:i/>
          <w:iCs/>
          <w:color w:val="8B0000"/>
        </w:rPr>
        <w:t>Delgamuukw</w:t>
      </w:r>
      <w:proofErr w:type="spellEnd"/>
      <w:r>
        <w:rPr>
          <w:b/>
          <w:bCs/>
          <w:i/>
          <w:iCs/>
          <w:color w:val="8B0000"/>
        </w:rPr>
        <w:t xml:space="preserve"> v. British Columbia, [1997] 3 SCR 1010</w:t>
      </w:r>
    </w:p>
    <w:p w14:paraId="3DD2DEA8" w14:textId="77777777" w:rsidR="000E65F8" w:rsidRDefault="005F14D5">
      <w:pPr>
        <w:spacing w:before="40" w:after="100" w:line="300" w:lineRule="auto"/>
        <w:ind w:left="360"/>
        <w:jc w:val="both"/>
      </w:pPr>
      <w:r>
        <w:rPr>
          <w:sz w:val="20"/>
          <w:szCs w:val="20"/>
        </w:rPr>
        <w:t>Affirmed that Aboriginal title and rights are constitutionally protected and that the Crown must justify any infringement of those rights — including showing that consultation occurred and that the infringement is as minimal as possible.</w:t>
      </w:r>
    </w:p>
    <w:p w14:paraId="5DB4A980" w14:textId="77777777" w:rsidR="000E65F8" w:rsidRDefault="005F14D5">
      <w:pPr>
        <w:spacing w:before="120" w:after="40"/>
      </w:pPr>
      <w:proofErr w:type="spellStart"/>
      <w:r>
        <w:rPr>
          <w:b/>
          <w:bCs/>
          <w:i/>
          <w:iCs/>
          <w:color w:val="8B0000"/>
        </w:rPr>
        <w:t>Tsilhqot'in</w:t>
      </w:r>
      <w:proofErr w:type="spellEnd"/>
      <w:r>
        <w:rPr>
          <w:b/>
          <w:bCs/>
          <w:i/>
          <w:iCs/>
          <w:color w:val="8B0000"/>
        </w:rPr>
        <w:t xml:space="preserve"> Nation v. British Columbia, 2014 SCC 44</w:t>
      </w:r>
    </w:p>
    <w:p w14:paraId="76D77581" w14:textId="77777777" w:rsidR="000E65F8" w:rsidRDefault="005F14D5">
      <w:pPr>
        <w:spacing w:before="40" w:after="100" w:line="300" w:lineRule="auto"/>
        <w:ind w:left="360"/>
        <w:jc w:val="both"/>
      </w:pPr>
      <w:r>
        <w:rPr>
          <w:sz w:val="20"/>
          <w:szCs w:val="20"/>
        </w:rPr>
        <w:t xml:space="preserve">Confirmed that Indigenous peoples hold Aboriginal title to </w:t>
      </w:r>
      <w:proofErr w:type="spellStart"/>
      <w:r>
        <w:rPr>
          <w:sz w:val="20"/>
          <w:szCs w:val="20"/>
        </w:rPr>
        <w:t>unceded</w:t>
      </w:r>
      <w:proofErr w:type="spellEnd"/>
      <w:r>
        <w:rPr>
          <w:sz w:val="20"/>
          <w:szCs w:val="20"/>
        </w:rPr>
        <w:t xml:space="preserve"> lands and that neither the federal nor provincial Crown can override that title without meeting a high constitutional standard including consultation, consent, and justification.</w:t>
      </w:r>
    </w:p>
    <w:p w14:paraId="42C3C62E" w14:textId="77777777" w:rsidR="000E65F8" w:rsidRDefault="000E65F8">
      <w:pPr>
        <w:spacing w:before="80"/>
      </w:pPr>
    </w:p>
    <w:p w14:paraId="6B96B756" w14:textId="77777777" w:rsidR="000E65F8" w:rsidRDefault="005F14D5">
      <w:pPr>
        <w:spacing w:before="240" w:after="80"/>
      </w:pPr>
      <w:r>
        <w:rPr>
          <w:b/>
          <w:bCs/>
          <w:caps/>
          <w:color w:val="002147"/>
        </w:rPr>
        <w:t>4. Honour of the Crown and Fiduciary Duty</w:t>
      </w:r>
    </w:p>
    <w:p w14:paraId="10045C46" w14:textId="77777777" w:rsidR="000E65F8" w:rsidRDefault="000E65F8">
      <w:pPr>
        <w:pBdr>
          <w:bottom w:val="single" w:sz="2" w:space="1" w:color="555555"/>
        </w:pBdr>
        <w:spacing w:before="120" w:after="120"/>
      </w:pPr>
    </w:p>
    <w:p w14:paraId="1254B0D7" w14:textId="77777777" w:rsidR="000E65F8" w:rsidRDefault="005F14D5">
      <w:pPr>
        <w:spacing w:before="120" w:after="40"/>
      </w:pPr>
      <w:r>
        <w:rPr>
          <w:b/>
          <w:bCs/>
          <w:i/>
          <w:iCs/>
          <w:color w:val="8B0000"/>
        </w:rPr>
        <w:t>Manitoba Metis Federation Inc. v. Canada (Attorney General), 2013 SCC 14</w:t>
      </w:r>
    </w:p>
    <w:p w14:paraId="5610DF8D" w14:textId="77777777" w:rsidR="000E65F8" w:rsidRDefault="005F14D5">
      <w:pPr>
        <w:spacing w:before="40" w:after="100" w:line="300" w:lineRule="auto"/>
        <w:ind w:left="360"/>
        <w:jc w:val="both"/>
      </w:pPr>
      <w:r>
        <w:rPr>
          <w:sz w:val="20"/>
          <w:szCs w:val="20"/>
        </w:rPr>
        <w:t>Confirmed that the honour of the Crown is a foundational constitutional principle that requires the Crown to act with integrity in all dealings with Indigenous peoples. Sharp dealing — including using procedural mechanisms to avoid substantive obligations — is inconsistent with the honour of the Crown.</w:t>
      </w:r>
    </w:p>
    <w:p w14:paraId="605D0DF2" w14:textId="77777777" w:rsidR="000E65F8" w:rsidRDefault="005F14D5">
      <w:pPr>
        <w:spacing w:before="120" w:after="40"/>
      </w:pPr>
      <w:r>
        <w:rPr>
          <w:b/>
          <w:bCs/>
          <w:i/>
          <w:iCs/>
          <w:color w:val="8B0000"/>
        </w:rPr>
        <w:t>Beckman v. Little Salmon/</w:t>
      </w:r>
      <w:proofErr w:type="spellStart"/>
      <w:r>
        <w:rPr>
          <w:b/>
          <w:bCs/>
          <w:i/>
          <w:iCs/>
          <w:color w:val="8B0000"/>
        </w:rPr>
        <w:t>Carmacks</w:t>
      </w:r>
      <w:proofErr w:type="spellEnd"/>
      <w:r>
        <w:rPr>
          <w:b/>
          <w:bCs/>
          <w:i/>
          <w:iCs/>
          <w:color w:val="8B0000"/>
        </w:rPr>
        <w:t xml:space="preserve"> First Nation, 2010 SCC 53</w:t>
      </w:r>
    </w:p>
    <w:p w14:paraId="6CECE211" w14:textId="77777777" w:rsidR="000E65F8" w:rsidRDefault="005F14D5">
      <w:pPr>
        <w:spacing w:before="40" w:after="100" w:line="300" w:lineRule="auto"/>
        <w:ind w:left="360"/>
        <w:jc w:val="both"/>
      </w:pPr>
      <w:r>
        <w:rPr>
          <w:sz w:val="20"/>
          <w:szCs w:val="20"/>
        </w:rPr>
        <w:t>Affirmed that elements of the duty to consult flow from the honour of the Crown in all circumstances involving Indigenous peoples, and that the Crown must approach its obligations with the intention of genuinely addressing Indigenous concerns.</w:t>
      </w:r>
    </w:p>
    <w:p w14:paraId="56A98842" w14:textId="77777777" w:rsidR="000E65F8" w:rsidRDefault="000E65F8">
      <w:pPr>
        <w:spacing w:before="80"/>
      </w:pPr>
    </w:p>
    <w:p w14:paraId="40DD1CF9" w14:textId="77777777" w:rsidR="000E65F8" w:rsidRDefault="005F14D5">
      <w:pPr>
        <w:spacing w:before="240" w:after="80"/>
      </w:pPr>
      <w:r>
        <w:rPr>
          <w:b/>
          <w:bCs/>
          <w:caps/>
          <w:color w:val="002147"/>
        </w:rPr>
        <w:t>5. International Law — United Nations Declaration on the Rights of Indigenous Peoples</w:t>
      </w:r>
    </w:p>
    <w:p w14:paraId="7DAD63DB" w14:textId="77777777" w:rsidR="000E65F8" w:rsidRDefault="000E65F8">
      <w:pPr>
        <w:pBdr>
          <w:bottom w:val="single" w:sz="2" w:space="1" w:color="555555"/>
        </w:pBdr>
        <w:spacing w:before="120" w:after="120"/>
      </w:pPr>
    </w:p>
    <w:p w14:paraId="7FDCBBDF" w14:textId="77777777" w:rsidR="000E65F8" w:rsidRDefault="005F14D5">
      <w:pPr>
        <w:spacing w:before="120" w:after="40"/>
      </w:pPr>
      <w:r>
        <w:rPr>
          <w:b/>
          <w:bCs/>
          <w:color w:val="8B0000"/>
        </w:rPr>
        <w:t>United Nations Declaration on the Rights of Indigenous Peoples Act (Bill C-15), S.C. 2021, c. 14</w:t>
      </w:r>
    </w:p>
    <w:p w14:paraId="522048D4" w14:textId="77777777" w:rsidR="000E65F8" w:rsidRDefault="005F14D5">
      <w:pPr>
        <w:spacing w:before="40" w:after="100" w:line="300" w:lineRule="auto"/>
        <w:ind w:left="360"/>
        <w:jc w:val="both"/>
      </w:pPr>
      <w:r>
        <w:rPr>
          <w:sz w:val="20"/>
          <w:szCs w:val="20"/>
        </w:rPr>
        <w:t>Canada affirmed UNDRIP as binding interpretive law in 2021. Decision-makers exercising statutory discretion are required to demonstrate alignment with Canada's UNDRIP commitments. Key Articles engaged by Bill 5: Article 10 (no forcible removal without consent), Article 18 (participation through chosen representatives), Article 19 (consultation before legislative measures), Article 25 (spiritual relationship with lands and waters), Article 29(2) (no hazardous materials on Indigenous lands without consent), A</w:t>
      </w:r>
      <w:r>
        <w:rPr>
          <w:sz w:val="20"/>
          <w:szCs w:val="20"/>
        </w:rPr>
        <w:t>rticle 32(2) (consent before project approvals affecting territories).</w:t>
      </w:r>
    </w:p>
    <w:p w14:paraId="3B96DFBB" w14:textId="77777777" w:rsidR="000E65F8" w:rsidRDefault="000E65F8">
      <w:pPr>
        <w:spacing w:before="80"/>
      </w:pPr>
    </w:p>
    <w:p w14:paraId="2611E64C" w14:textId="77777777" w:rsidR="000E65F8" w:rsidRDefault="005F14D5">
      <w:pPr>
        <w:spacing w:before="240" w:after="80"/>
      </w:pPr>
      <w:r>
        <w:rPr>
          <w:b/>
          <w:bCs/>
          <w:caps/>
          <w:color w:val="002147"/>
        </w:rPr>
        <w:t>6. Environmental Assessment and Species at Risk</w:t>
      </w:r>
    </w:p>
    <w:p w14:paraId="17BCB187" w14:textId="77777777" w:rsidR="000E65F8" w:rsidRDefault="000E65F8">
      <w:pPr>
        <w:pBdr>
          <w:bottom w:val="single" w:sz="2" w:space="1" w:color="555555"/>
        </w:pBdr>
        <w:spacing w:before="120" w:after="120"/>
      </w:pPr>
    </w:p>
    <w:p w14:paraId="3CF33932" w14:textId="77777777" w:rsidR="000E65F8" w:rsidRDefault="005F14D5">
      <w:pPr>
        <w:spacing w:before="120" w:after="40"/>
      </w:pPr>
      <w:r>
        <w:rPr>
          <w:b/>
          <w:bCs/>
          <w:i/>
          <w:iCs/>
          <w:color w:val="8B0000"/>
        </w:rPr>
        <w:t xml:space="preserve">Dene </w:t>
      </w:r>
      <w:proofErr w:type="spellStart"/>
      <w:r>
        <w:rPr>
          <w:b/>
          <w:bCs/>
          <w:i/>
          <w:iCs/>
          <w:color w:val="8B0000"/>
        </w:rPr>
        <w:t>Tha</w:t>
      </w:r>
      <w:proofErr w:type="spellEnd"/>
      <w:r>
        <w:rPr>
          <w:b/>
          <w:bCs/>
          <w:i/>
          <w:iCs/>
          <w:color w:val="8B0000"/>
        </w:rPr>
        <w:t>' First Nation v. Canada (Minister of Environment), [2007] 1 CNLR 1</w:t>
      </w:r>
    </w:p>
    <w:p w14:paraId="59E612FF" w14:textId="77777777" w:rsidR="000E65F8" w:rsidRDefault="005F14D5">
      <w:pPr>
        <w:spacing w:before="40" w:after="100" w:line="300" w:lineRule="auto"/>
        <w:ind w:left="360"/>
        <w:jc w:val="both"/>
      </w:pPr>
      <w:r>
        <w:rPr>
          <w:sz w:val="20"/>
          <w:szCs w:val="20"/>
        </w:rPr>
        <w:t>Confirmed that if an environmental assessment is relied upon to satisfy aspects of the duty to consult, First Nations must be provided full and transparent involvement in both planning and implementation of the assessment — not merely notified of results.</w:t>
      </w:r>
    </w:p>
    <w:p w14:paraId="6A73A6B0" w14:textId="77777777" w:rsidR="000E65F8" w:rsidRDefault="005F14D5">
      <w:pPr>
        <w:spacing w:before="120" w:after="40"/>
      </w:pPr>
      <w:r>
        <w:rPr>
          <w:b/>
          <w:bCs/>
          <w:i/>
          <w:iCs/>
          <w:color w:val="8B0000"/>
        </w:rPr>
        <w:t>West Moberly First Nations v. British Columbia (Chief Inspector of Mines), 2010 BCSC 359</w:t>
      </w:r>
    </w:p>
    <w:p w14:paraId="71CE96E9" w14:textId="77777777" w:rsidR="000E65F8" w:rsidRDefault="005F14D5">
      <w:pPr>
        <w:spacing w:before="40" w:after="100" w:line="300" w:lineRule="auto"/>
        <w:ind w:left="360"/>
        <w:jc w:val="both"/>
      </w:pPr>
      <w:r>
        <w:rPr>
          <w:sz w:val="20"/>
          <w:szCs w:val="20"/>
        </w:rPr>
        <w:t>Established that where accommodation measures are directed by First Nations, the Crown must report back to those First Nations on how their concerns have been addressed. Silence or inaction following consultation is not sufficient.</w:t>
      </w:r>
    </w:p>
    <w:p w14:paraId="1D8054D8" w14:textId="77777777" w:rsidR="000E65F8" w:rsidRDefault="000E65F8">
      <w:pPr>
        <w:spacing w:before="80"/>
      </w:pPr>
    </w:p>
    <w:p w14:paraId="5F43A108" w14:textId="77777777" w:rsidR="000E65F8" w:rsidRDefault="005F14D5">
      <w:pPr>
        <w:spacing w:before="240" w:after="80"/>
      </w:pPr>
      <w:r>
        <w:rPr>
          <w:b/>
          <w:bCs/>
          <w:caps/>
          <w:color w:val="002147"/>
        </w:rPr>
        <w:t>7. Boundary Waters and International Obligations</w:t>
      </w:r>
    </w:p>
    <w:p w14:paraId="4085A372" w14:textId="77777777" w:rsidR="000E65F8" w:rsidRDefault="000E65F8">
      <w:pPr>
        <w:pBdr>
          <w:bottom w:val="single" w:sz="2" w:space="1" w:color="555555"/>
        </w:pBdr>
        <w:spacing w:before="120" w:after="120"/>
      </w:pPr>
    </w:p>
    <w:p w14:paraId="61DC29B3" w14:textId="77777777" w:rsidR="000E65F8" w:rsidRDefault="005F14D5">
      <w:pPr>
        <w:spacing w:before="120" w:after="40"/>
      </w:pPr>
      <w:r>
        <w:rPr>
          <w:b/>
          <w:bCs/>
          <w:color w:val="8B0000"/>
        </w:rPr>
        <w:t>Boundary Waters Treaty, 1909 — Canada and United States</w:t>
      </w:r>
    </w:p>
    <w:p w14:paraId="56389756" w14:textId="77777777" w:rsidR="000E65F8" w:rsidRDefault="005F14D5">
      <w:pPr>
        <w:spacing w:before="40" w:after="100" w:line="300" w:lineRule="auto"/>
        <w:ind w:left="360"/>
        <w:jc w:val="both"/>
      </w:pPr>
      <w:r>
        <w:rPr>
          <w:sz w:val="20"/>
          <w:szCs w:val="20"/>
        </w:rPr>
        <w:t xml:space="preserve">Governs the use and pollution of boundary waters including Lake St. Clair and the St. Clair River — waters that receive the Thames River system downstream of </w:t>
      </w:r>
      <w:proofErr w:type="spellStart"/>
      <w:r>
        <w:rPr>
          <w:sz w:val="20"/>
          <w:szCs w:val="20"/>
        </w:rPr>
        <w:t>Bkejwanong</w:t>
      </w:r>
      <w:proofErr w:type="spellEnd"/>
      <w:r>
        <w:rPr>
          <w:sz w:val="20"/>
          <w:szCs w:val="20"/>
        </w:rPr>
        <w:t xml:space="preserve"> Territory. Article IV prohibits pollution of boundary waters to the injury of health or property on either side. The International Joint Commission was established to prevent and resolve disputes. Provincial Environmental Compliance Approvals cannot authorize discharge that places Canada in breach of this Treaty.</w:t>
      </w:r>
    </w:p>
    <w:p w14:paraId="541299E1" w14:textId="77777777" w:rsidR="000E65F8" w:rsidRDefault="005F14D5">
      <w:pPr>
        <w:spacing w:before="120" w:after="40"/>
      </w:pPr>
      <w:r>
        <w:rPr>
          <w:b/>
          <w:bCs/>
          <w:color w:val="8B0000"/>
        </w:rPr>
        <w:t>Great Lakes Water Quality Agreement — Canada and United States</w:t>
      </w:r>
    </w:p>
    <w:p w14:paraId="68A62C32" w14:textId="77777777" w:rsidR="000E65F8" w:rsidRDefault="005F14D5">
      <w:pPr>
        <w:spacing w:before="40" w:after="100" w:line="300" w:lineRule="auto"/>
        <w:ind w:left="360"/>
        <w:jc w:val="both"/>
      </w:pPr>
      <w:r>
        <w:rPr>
          <w:sz w:val="20"/>
          <w:szCs w:val="20"/>
        </w:rPr>
        <w:t>Commits both countries to preventing degradation of the Great Lakes Basin ecosystem including Lake St. Clair. Approvals authorizing industrial discharge into the Thames River system must be assessed for consistency with these binational commitments before they can be lawfully issued.</w:t>
      </w:r>
    </w:p>
    <w:p w14:paraId="49FA63BD" w14:textId="77777777" w:rsidR="000E65F8" w:rsidRDefault="000E65F8">
      <w:pPr>
        <w:spacing w:before="200"/>
      </w:pPr>
    </w:p>
    <w:p w14:paraId="25D120E1" w14:textId="77777777" w:rsidR="000E65F8" w:rsidRDefault="000E65F8">
      <w:pPr>
        <w:pBdr>
          <w:bottom w:val="single" w:sz="6" w:space="1" w:color="8B0000"/>
        </w:pBdr>
        <w:spacing w:before="200" w:after="200"/>
      </w:pPr>
    </w:p>
    <w:p w14:paraId="62E71BB2" w14:textId="77777777" w:rsidR="000E65F8" w:rsidRDefault="005F14D5">
      <w:pPr>
        <w:spacing w:before="80" w:after="40"/>
        <w:jc w:val="center"/>
      </w:pPr>
      <w:r>
        <w:rPr>
          <w:color w:val="555555"/>
          <w:sz w:val="18"/>
          <w:szCs w:val="18"/>
        </w:rPr>
        <w:t xml:space="preserve">This Schedule is filed as a supporting reference document. It does not constitute legal advice. Full legal submissions are contained in the formal ERO objections filed concurrently by the Sovereign Grandmothers of the Hereditary Line of </w:t>
      </w:r>
      <w:proofErr w:type="spellStart"/>
      <w:r>
        <w:rPr>
          <w:color w:val="555555"/>
          <w:sz w:val="18"/>
          <w:szCs w:val="18"/>
        </w:rPr>
        <w:t>Bkejwanong</w:t>
      </w:r>
      <w:proofErr w:type="spellEnd"/>
      <w:r>
        <w:rPr>
          <w:color w:val="555555"/>
          <w:sz w:val="18"/>
          <w:szCs w:val="18"/>
        </w:rPr>
        <w:t xml:space="preserve"> Territory.</w:t>
      </w:r>
    </w:p>
    <w:p w14:paraId="571E7233" w14:textId="77777777" w:rsidR="000E65F8" w:rsidRDefault="005F14D5">
      <w:pPr>
        <w:spacing w:before="40" w:after="60"/>
        <w:jc w:val="center"/>
      </w:pPr>
      <w:proofErr w:type="spellStart"/>
      <w:r>
        <w:rPr>
          <w:b/>
          <w:bCs/>
          <w:color w:val="8B0000"/>
          <w:sz w:val="20"/>
          <w:szCs w:val="20"/>
        </w:rPr>
        <w:t>Bkejwanong</w:t>
      </w:r>
      <w:proofErr w:type="spellEnd"/>
      <w:r>
        <w:rPr>
          <w:b/>
          <w:bCs/>
          <w:color w:val="8B0000"/>
          <w:sz w:val="20"/>
          <w:szCs w:val="20"/>
        </w:rPr>
        <w:t xml:space="preserve"> — the place where the waters divide — has never been surrendered.</w:t>
      </w:r>
    </w:p>
    <w:sectPr w:rsidR="000E65F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32622"/>
    <w:multiLevelType w:val="hybridMultilevel"/>
    <w:tmpl w:val="FFFFFFFF"/>
    <w:lvl w:ilvl="0" w:tplc="3342DDC6">
      <w:start w:val="1"/>
      <w:numFmt w:val="bullet"/>
      <w:lvlText w:val="●"/>
      <w:lvlJc w:val="left"/>
      <w:pPr>
        <w:ind w:left="720" w:hanging="360"/>
      </w:pPr>
    </w:lvl>
    <w:lvl w:ilvl="1" w:tplc="A7A61BB0">
      <w:start w:val="1"/>
      <w:numFmt w:val="bullet"/>
      <w:lvlText w:val="○"/>
      <w:lvlJc w:val="left"/>
      <w:pPr>
        <w:ind w:left="1440" w:hanging="360"/>
      </w:pPr>
    </w:lvl>
    <w:lvl w:ilvl="2" w:tplc="B0486892">
      <w:start w:val="1"/>
      <w:numFmt w:val="bullet"/>
      <w:lvlText w:val="■"/>
      <w:lvlJc w:val="left"/>
      <w:pPr>
        <w:ind w:left="2160" w:hanging="360"/>
      </w:pPr>
    </w:lvl>
    <w:lvl w:ilvl="3" w:tplc="166819CC">
      <w:start w:val="1"/>
      <w:numFmt w:val="bullet"/>
      <w:lvlText w:val="●"/>
      <w:lvlJc w:val="left"/>
      <w:pPr>
        <w:ind w:left="2880" w:hanging="360"/>
      </w:pPr>
    </w:lvl>
    <w:lvl w:ilvl="4" w:tplc="16B0D64C">
      <w:start w:val="1"/>
      <w:numFmt w:val="bullet"/>
      <w:lvlText w:val="○"/>
      <w:lvlJc w:val="left"/>
      <w:pPr>
        <w:ind w:left="3600" w:hanging="360"/>
      </w:pPr>
    </w:lvl>
    <w:lvl w:ilvl="5" w:tplc="BF40AC6C">
      <w:start w:val="1"/>
      <w:numFmt w:val="bullet"/>
      <w:lvlText w:val="■"/>
      <w:lvlJc w:val="left"/>
      <w:pPr>
        <w:ind w:left="4320" w:hanging="360"/>
      </w:pPr>
    </w:lvl>
    <w:lvl w:ilvl="6" w:tplc="476ECC6C">
      <w:start w:val="1"/>
      <w:numFmt w:val="bullet"/>
      <w:lvlText w:val="●"/>
      <w:lvlJc w:val="left"/>
      <w:pPr>
        <w:ind w:left="5040" w:hanging="360"/>
      </w:pPr>
    </w:lvl>
    <w:lvl w:ilvl="7" w:tplc="EC68FE4E">
      <w:start w:val="1"/>
      <w:numFmt w:val="bullet"/>
      <w:lvlText w:val="●"/>
      <w:lvlJc w:val="left"/>
      <w:pPr>
        <w:ind w:left="5760" w:hanging="360"/>
      </w:pPr>
    </w:lvl>
    <w:lvl w:ilvl="8" w:tplc="B72244AA">
      <w:start w:val="1"/>
      <w:numFmt w:val="bullet"/>
      <w:lvlText w:val="●"/>
      <w:lvlJc w:val="left"/>
      <w:pPr>
        <w:ind w:left="6480" w:hanging="360"/>
      </w:pPr>
    </w:lvl>
  </w:abstractNum>
  <w:num w:numId="1" w16cid:durableId="2365942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isplayBackgroundShape/>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5F8"/>
    <w:rsid w:val="000E65F8"/>
    <w:rsid w:val="005F14D5"/>
    <w:rsid w:val="00C10E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7C13A6A"/>
  <w15:docId w15:val="{27D3F59E-99BF-6C40-98B6-E288B351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1164</Words>
  <Characters>6639</Characters>
  <Application>Microsoft Office Word</Application>
  <DocSecurity>0</DocSecurity>
  <Lines>55</Lines>
  <Paragraphs>15</Paragraphs>
  <ScaleCrop>false</ScaleCrop>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amy white</cp:lastModifiedBy>
  <cp:revision>2</cp:revision>
  <dcterms:created xsi:type="dcterms:W3CDTF">2026-06-02T09:33:00Z</dcterms:created>
  <dcterms:modified xsi:type="dcterms:W3CDTF">2026-06-02T09:33:00Z</dcterms:modified>
</cp:coreProperties>
</file>